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w:t>
      </w:r>
      <w:r w:rsidR="000635C1">
        <w:rPr>
          <w:noProof w:val="0"/>
          <w:sz w:val="24"/>
          <w:lang w:val="en-GB"/>
        </w:rPr>
        <w:t>9</w:t>
      </w:r>
      <w:r w:rsidR="00453CE7">
        <w:rPr>
          <w:noProof w:val="0"/>
          <w:sz w:val="24"/>
          <w:lang w:val="en-GB"/>
        </w:rPr>
        <w:t>7</w:t>
      </w:r>
      <w:r w:rsidRPr="0002651C">
        <w:rPr>
          <w:bCs/>
          <w:noProof w:val="0"/>
          <w:sz w:val="24"/>
          <w:lang w:val="en-GB" w:eastAsia="ja-JP"/>
        </w:rPr>
        <w:tab/>
      </w:r>
      <w:r w:rsidR="0062331A" w:rsidRPr="0062331A">
        <w:rPr>
          <w:bCs/>
          <w:noProof w:val="0"/>
          <w:sz w:val="24"/>
          <w:lang w:val="en-GB" w:eastAsia="ja-JP"/>
        </w:rPr>
        <w:t>R1-1907318</w:t>
      </w:r>
      <w:bookmarkStart w:id="3" w:name="_GoBack"/>
      <w:bookmarkEnd w:id="3"/>
    </w:p>
    <w:bookmarkEnd w:id="0"/>
    <w:bookmarkEnd w:id="1"/>
    <w:p w:rsidR="001A20CF" w:rsidRPr="00453CE7" w:rsidRDefault="00453CE7" w:rsidP="00B12B1E">
      <w:pPr>
        <w:tabs>
          <w:tab w:val="center" w:pos="4536"/>
          <w:tab w:val="right" w:pos="9072"/>
        </w:tabs>
        <w:jc w:val="both"/>
        <w:rPr>
          <w:rFonts w:ascii="Arial" w:eastAsia="MS Mincho" w:hAnsi="Arial" w:cs="Arial"/>
          <w:b/>
          <w:bCs/>
          <w:szCs w:val="24"/>
          <w:lang w:eastAsia="ja-JP"/>
        </w:rPr>
      </w:pPr>
      <w:r w:rsidRPr="00453CE7">
        <w:rPr>
          <w:rFonts w:ascii="Arial" w:eastAsia="MS Mincho" w:hAnsi="Arial" w:cs="Arial"/>
          <w:b/>
          <w:bCs/>
          <w:sz w:val="24"/>
          <w:lang w:eastAsia="ja-JP"/>
        </w:rPr>
        <w:t>Reno, USA, May 13</w:t>
      </w:r>
      <w:r w:rsidRPr="00453CE7">
        <w:rPr>
          <w:rFonts w:ascii="Arial" w:eastAsia="MS Mincho" w:hAnsi="Arial" w:cs="Arial"/>
          <w:b/>
          <w:bCs/>
          <w:sz w:val="24"/>
          <w:vertAlign w:val="superscript"/>
          <w:lang w:eastAsia="ja-JP"/>
        </w:rPr>
        <w:t>th</w:t>
      </w:r>
      <w:r w:rsidRPr="00453CE7">
        <w:rPr>
          <w:rFonts w:ascii="Arial" w:eastAsia="MS Mincho" w:hAnsi="Arial" w:cs="Arial"/>
          <w:b/>
          <w:bCs/>
          <w:sz w:val="24"/>
          <w:lang w:eastAsia="ja-JP"/>
        </w:rPr>
        <w:t xml:space="preserve"> – 17</w:t>
      </w:r>
      <w:r w:rsidRPr="00453CE7">
        <w:rPr>
          <w:rFonts w:ascii="Arial" w:eastAsia="MS Mincho" w:hAnsi="Arial" w:cs="Arial"/>
          <w:b/>
          <w:bCs/>
          <w:sz w:val="24"/>
          <w:vertAlign w:val="superscript"/>
          <w:lang w:eastAsia="ja-JP"/>
        </w:rPr>
        <w:t>th</w:t>
      </w:r>
      <w:r w:rsidRPr="00453CE7">
        <w:rPr>
          <w:rFonts w:ascii="Arial" w:eastAsia="MS Mincho" w:hAnsi="Arial" w:cs="Arial"/>
          <w:b/>
          <w:bCs/>
          <w:sz w:val="24"/>
          <w:lang w:eastAsia="ja-JP"/>
        </w:rPr>
        <w:t>, 2019</w:t>
      </w:r>
      <w:r w:rsidR="00EA017E" w:rsidRPr="00453CE7">
        <w:rPr>
          <w:rFonts w:ascii="Arial" w:eastAsia="MS Mincho" w:hAnsi="Arial" w:cs="Arial"/>
          <w:b/>
          <w:bCs/>
          <w:szCs w:val="24"/>
          <w:lang w:eastAsia="ja-JP"/>
        </w:rPr>
        <w:t xml:space="preserve"> </w:t>
      </w:r>
      <w:r w:rsidR="001A20CF" w:rsidRPr="00453CE7">
        <w:rPr>
          <w:rFonts w:ascii="Arial" w:eastAsia="MS Mincho" w:hAnsi="Arial" w:cs="Arial"/>
          <w:b/>
          <w:bCs/>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635C1">
        <w:rPr>
          <w:rFonts w:ascii="Arial" w:hAnsi="Arial" w:cs="Arial"/>
          <w:b/>
          <w:bCs/>
          <w:sz w:val="24"/>
        </w:rPr>
        <w:t>O</w:t>
      </w:r>
      <w:r w:rsidR="00FC7FF0">
        <w:rPr>
          <w:rFonts w:ascii="Arial" w:hAnsi="Arial" w:cs="Arial"/>
          <w:b/>
          <w:bCs/>
          <w:sz w:val="24"/>
        </w:rPr>
        <w:t>n</w:t>
      </w:r>
      <w:r w:rsidR="005D1092">
        <w:rPr>
          <w:rFonts w:ascii="Arial" w:hAnsi="Arial" w:cs="Arial"/>
          <w:b/>
          <w:bCs/>
          <w:sz w:val="24"/>
        </w:rPr>
        <w:t xml:space="preserve"> </w:t>
      </w:r>
      <w:r w:rsidR="000635C1">
        <w:rPr>
          <w:rFonts w:ascii="Arial" w:hAnsi="Arial" w:cs="Arial"/>
          <w:b/>
          <w:bCs/>
          <w:sz w:val="24"/>
        </w:rPr>
        <w:t>the f</w:t>
      </w:r>
      <w:r w:rsidR="00577EEA">
        <w:rPr>
          <w:rFonts w:ascii="Arial" w:hAnsi="Arial" w:cs="Arial"/>
          <w:b/>
          <w:bCs/>
          <w:sz w:val="24"/>
        </w:rPr>
        <w:t>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453CE7" w:rsidRPr="00453CE7" w:rsidRDefault="00453CE7" w:rsidP="00DC338E">
      <w:pPr>
        <w:jc w:val="both"/>
        <w:rPr>
          <w:rFonts w:ascii="Times New Roman" w:hAnsi="Times New Roman" w:cs="Times New Roman"/>
          <w:kern w:val="2"/>
          <w:sz w:val="20"/>
          <w:szCs w:val="20"/>
        </w:rPr>
      </w:pPr>
      <w:r>
        <w:rPr>
          <w:rFonts w:ascii="Times New Roman" w:hAnsi="Times New Roman" w:cs="Times New Roman"/>
          <w:kern w:val="2"/>
          <w:sz w:val="20"/>
          <w:szCs w:val="20"/>
        </w:rPr>
        <w:t>In RAN1 #96bis meeting, progress has been made for UL full power Tx capability signaling with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3CE7" w:rsidRPr="00453CE7" w:rsidTr="007527EB">
        <w:tc>
          <w:tcPr>
            <w:tcW w:w="9629" w:type="dxa"/>
            <w:shd w:val="clear" w:color="auto" w:fill="auto"/>
          </w:tcPr>
          <w:p w:rsidR="00453CE7" w:rsidRPr="00453CE7" w:rsidRDefault="00453CE7" w:rsidP="00453CE7">
            <w:pPr>
              <w:rPr>
                <w:rFonts w:ascii="Times New Roman" w:hAnsi="Times New Roman" w:cs="Times New Roman"/>
                <w:b/>
                <w:sz w:val="20"/>
                <w:szCs w:val="20"/>
                <w:highlight w:val="green"/>
              </w:rPr>
            </w:pPr>
            <w:r w:rsidRPr="00453CE7">
              <w:rPr>
                <w:rFonts w:ascii="Times New Roman" w:hAnsi="Times New Roman" w:cs="Times New Roman"/>
                <w:b/>
                <w:sz w:val="20"/>
                <w:szCs w:val="20"/>
                <w:highlight w:val="green"/>
              </w:rPr>
              <w:t>Agreement</w:t>
            </w:r>
          </w:p>
          <w:p w:rsidR="00453CE7" w:rsidRPr="00453CE7" w:rsidRDefault="00453CE7" w:rsidP="00453CE7">
            <w:pPr>
              <w:pStyle w:val="ListParagraph"/>
              <w:ind w:left="0"/>
              <w:rPr>
                <w:rFonts w:ascii="Times New Roman" w:hAnsi="Times New Roman" w:cs="Times New Roman"/>
                <w:sz w:val="20"/>
                <w:szCs w:val="20"/>
              </w:rPr>
            </w:pPr>
            <w:r w:rsidRPr="00453CE7">
              <w:rPr>
                <w:rFonts w:ascii="Times New Roman" w:hAnsi="Times New Roman" w:cs="Times New Roman"/>
                <w:sz w:val="20"/>
                <w:szCs w:val="20"/>
              </w:rPr>
              <w:t>Regardless of UE capability 1, 2, or 3, signalling of “UL full power tx capability” is supported for UEs with full power uplink transmission capability</w:t>
            </w:r>
          </w:p>
          <w:p w:rsidR="00453CE7" w:rsidRPr="00453CE7" w:rsidRDefault="00453CE7" w:rsidP="00453CE7">
            <w:pPr>
              <w:pStyle w:val="LGTdoc"/>
              <w:numPr>
                <w:ilvl w:val="0"/>
                <w:numId w:val="32"/>
              </w:numPr>
              <w:spacing w:afterLines="0" w:line="240" w:lineRule="auto"/>
              <w:contextualSpacing/>
              <w:rPr>
                <w:sz w:val="20"/>
                <w:szCs w:val="20"/>
                <w:lang w:val="en-US"/>
              </w:rPr>
            </w:pPr>
            <w:r w:rsidRPr="00453CE7">
              <w:rPr>
                <w:sz w:val="20"/>
                <w:szCs w:val="20"/>
                <w:lang w:val="en-US"/>
              </w:rPr>
              <w:t>FFS: For UE capability 1, if any other information is necessary</w:t>
            </w:r>
          </w:p>
          <w:p w:rsidR="00453CE7" w:rsidRPr="00453CE7" w:rsidRDefault="00453CE7" w:rsidP="00453CE7">
            <w:pPr>
              <w:numPr>
                <w:ilvl w:val="0"/>
                <w:numId w:val="32"/>
              </w:numPr>
              <w:spacing w:after="0" w:line="240" w:lineRule="auto"/>
              <w:ind w:left="720" w:hanging="320"/>
              <w:rPr>
                <w:rFonts w:ascii="Times New Roman" w:hAnsi="Times New Roman" w:cs="Times New Roman"/>
                <w:sz w:val="20"/>
                <w:szCs w:val="20"/>
                <w:lang w:eastAsia="x-none"/>
              </w:rPr>
            </w:pPr>
            <w:r w:rsidRPr="00453CE7">
              <w:rPr>
                <w:rFonts w:ascii="Times New Roman" w:hAnsi="Times New Roman" w:cs="Times New Roman"/>
                <w:sz w:val="20"/>
                <w:szCs w:val="20"/>
                <w:lang w:eastAsia="x-none"/>
              </w:rPr>
              <w:t>For UE capability 2 and UE capability 3, in addition to signalling “UL full power tx capability”, further information on UE capability are signalled if needed</w:t>
            </w:r>
          </w:p>
          <w:p w:rsidR="00453CE7" w:rsidRPr="00453CE7" w:rsidRDefault="00453CE7" w:rsidP="00453CE7">
            <w:pPr>
              <w:pStyle w:val="LGTdoc"/>
              <w:numPr>
                <w:ilvl w:val="1"/>
                <w:numId w:val="32"/>
              </w:numPr>
              <w:spacing w:afterLines="0" w:line="240" w:lineRule="auto"/>
              <w:contextualSpacing/>
              <w:rPr>
                <w:sz w:val="20"/>
                <w:szCs w:val="20"/>
                <w:lang w:val="en-US"/>
              </w:rPr>
            </w:pPr>
            <w:r w:rsidRPr="00453CE7">
              <w:rPr>
                <w:sz w:val="20"/>
                <w:szCs w:val="20"/>
                <w:lang w:val="en-US"/>
              </w:rPr>
              <w:t>FFS: Details such as support of UE capability signaling of supported one or group of TPMI precoder(s) for full power transmission, support different number of SRS ports for resources for codebook, and other UE capability signaling can be introduced</w:t>
            </w:r>
          </w:p>
          <w:p w:rsidR="00453CE7" w:rsidRPr="00453CE7" w:rsidRDefault="00453CE7" w:rsidP="00453CE7">
            <w:pPr>
              <w:pStyle w:val="LGTdoc"/>
              <w:numPr>
                <w:ilvl w:val="1"/>
                <w:numId w:val="32"/>
              </w:numPr>
              <w:spacing w:afterLines="0" w:line="240" w:lineRule="auto"/>
              <w:contextualSpacing/>
              <w:rPr>
                <w:sz w:val="20"/>
                <w:szCs w:val="20"/>
                <w:lang w:val="en-US"/>
              </w:rPr>
            </w:pPr>
            <w:r w:rsidRPr="00453CE7">
              <w:rPr>
                <w:sz w:val="20"/>
                <w:szCs w:val="20"/>
                <w:lang w:val="en-US"/>
              </w:rPr>
              <w:t>FFS: Whether full uplink TX power capability can be explicitly/implicitly derived from the TPMI/TPMI group precoders for full power transmission</w:t>
            </w:r>
          </w:p>
          <w:p w:rsidR="00453CE7" w:rsidRPr="00453CE7" w:rsidRDefault="00453CE7" w:rsidP="00453CE7">
            <w:pPr>
              <w:pStyle w:val="ListParagraph"/>
              <w:ind w:left="0"/>
              <w:rPr>
                <w:rFonts w:ascii="Times New Roman" w:hAnsi="Times New Roman" w:cs="Times New Roman"/>
                <w:sz w:val="20"/>
                <w:szCs w:val="20"/>
              </w:rPr>
            </w:pPr>
            <w:r w:rsidRPr="00453CE7">
              <w:rPr>
                <w:rFonts w:ascii="Times New Roman" w:hAnsi="Times New Roman" w:cs="Times New Roman"/>
                <w:sz w:val="20"/>
                <w:szCs w:val="20"/>
              </w:rPr>
              <w:t>UEs with full power uplink transmissions are those Rel-16 UEs which can transmit at full power at least for rank1</w:t>
            </w:r>
          </w:p>
          <w:p w:rsidR="00453CE7" w:rsidRPr="00453CE7" w:rsidRDefault="00453CE7" w:rsidP="00453CE7">
            <w:pPr>
              <w:pStyle w:val="ListParagraph"/>
              <w:ind w:left="0"/>
              <w:rPr>
                <w:rFonts w:ascii="Times New Roman" w:hAnsi="Times New Roman"/>
                <w:sz w:val="20"/>
                <w:szCs w:val="20"/>
              </w:rPr>
            </w:pPr>
            <w:r w:rsidRPr="00453CE7">
              <w:rPr>
                <w:rFonts w:ascii="Times New Roman" w:hAnsi="Times New Roman" w:cs="Times New Roman"/>
                <w:sz w:val="20"/>
                <w:szCs w:val="20"/>
              </w:rPr>
              <w:t>The signalling of above information does not imply any specific UE PA architecture implementation.</w:t>
            </w:r>
          </w:p>
        </w:tc>
      </w:tr>
    </w:tbl>
    <w:p w:rsidR="00453CE7" w:rsidRDefault="00453CE7" w:rsidP="00453CE7">
      <w:pPr>
        <w:rPr>
          <w:rFonts w:ascii="Times New Roman" w:hAnsi="Times New Roman" w:cs="Times New Roman"/>
          <w:sz w:val="20"/>
          <w:szCs w:val="20"/>
        </w:rPr>
      </w:pPr>
    </w:p>
    <w:p w:rsidR="00453CE7" w:rsidRDefault="00453CE7"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This agreement defines one UE capability signaling as “UL full power Tx capability”. However, additional signalling is needed at least for UE capability 2 and UE capability 3. The details of such signaling are dependent on the specific solutions to reach full Tx power.</w:t>
      </w:r>
    </w:p>
    <w:p w:rsidR="00453CE7" w:rsidRDefault="00453CE7" w:rsidP="00DC338E">
      <w:pPr>
        <w:jc w:val="both"/>
        <w:rPr>
          <w:rFonts w:ascii="Times New Roman" w:hAnsi="Times New Roman" w:cs="Times New Roman"/>
          <w:kern w:val="2"/>
          <w:sz w:val="20"/>
          <w:szCs w:val="20"/>
        </w:rPr>
      </w:pPr>
      <w:r>
        <w:rPr>
          <w:rFonts w:ascii="Times New Roman" w:hAnsi="Times New Roman" w:cs="Times New Roman"/>
          <w:kern w:val="2"/>
          <w:sz w:val="20"/>
          <w:szCs w:val="20"/>
        </w:rPr>
        <w:t>In RAN1 #96bis, this agreement has been reached on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3CE7" w:rsidRPr="00453CE7" w:rsidTr="007527EB">
        <w:tc>
          <w:tcPr>
            <w:tcW w:w="9629" w:type="dxa"/>
            <w:shd w:val="clear" w:color="auto" w:fill="auto"/>
          </w:tcPr>
          <w:p w:rsidR="00453CE7" w:rsidRPr="00453CE7" w:rsidRDefault="00453CE7" w:rsidP="00453CE7">
            <w:pPr>
              <w:ind w:left="1440" w:hanging="1440"/>
              <w:rPr>
                <w:rFonts w:ascii="Times New Roman" w:hAnsi="Times New Roman" w:cs="Times New Roman"/>
                <w:b/>
                <w:sz w:val="20"/>
                <w:szCs w:val="20"/>
                <w:highlight w:val="green"/>
                <w:lang w:eastAsia="x-none"/>
              </w:rPr>
            </w:pPr>
            <w:r w:rsidRPr="00453CE7">
              <w:rPr>
                <w:rFonts w:ascii="Times New Roman" w:hAnsi="Times New Roman" w:cs="Times New Roman"/>
                <w:b/>
                <w:sz w:val="20"/>
                <w:szCs w:val="20"/>
                <w:highlight w:val="green"/>
                <w:lang w:eastAsia="x-none"/>
              </w:rPr>
              <w:t>Agreement</w:t>
            </w:r>
          </w:p>
          <w:p w:rsidR="00453CE7" w:rsidRPr="00453CE7" w:rsidRDefault="00453CE7" w:rsidP="00453CE7">
            <w:pPr>
              <w:rPr>
                <w:rFonts w:ascii="Times New Roman" w:hAnsi="Times New Roman" w:cs="Times New Roman"/>
                <w:sz w:val="20"/>
                <w:szCs w:val="20"/>
                <w:highlight w:val="cyan"/>
              </w:rPr>
            </w:pPr>
            <w:r w:rsidRPr="00453CE7">
              <w:rPr>
                <w:rFonts w:ascii="Times New Roman" w:hAnsi="Times New Roman" w:cs="Times New Roman"/>
                <w:sz w:val="20"/>
                <w:szCs w:val="20"/>
                <w:lang w:val="fr-FR"/>
              </w:rPr>
              <w:t>RAN1 will select one of the</w:t>
            </w:r>
            <w:r w:rsidRPr="00453CE7">
              <w:rPr>
                <w:rFonts w:ascii="Times New Roman" w:hAnsi="Times New Roman" w:cs="Times New Roman"/>
                <w:sz w:val="20"/>
                <w:szCs w:val="20"/>
              </w:rPr>
              <w:t xml:space="preserve"> alternative solutions below to support UE capability 2. Further clarification or details are needed for Alt1, Alt3-1, Alt3-2, and Alt5. </w:t>
            </w:r>
            <w:r w:rsidRPr="00453CE7">
              <w:rPr>
                <w:rFonts w:ascii="Times New Roman" w:hAnsi="Times New Roman" w:cs="Times New Roman"/>
                <w:sz w:val="20"/>
                <w:szCs w:val="20"/>
                <w:highlight w:val="cyan"/>
              </w:rPr>
              <w:t>Email discussion by 17</w:t>
            </w:r>
            <w:r w:rsidRPr="00453CE7">
              <w:rPr>
                <w:rFonts w:ascii="Times New Roman" w:hAnsi="Times New Roman" w:cs="Times New Roman"/>
                <w:sz w:val="20"/>
                <w:szCs w:val="20"/>
                <w:highlight w:val="cyan"/>
                <w:vertAlign w:val="superscript"/>
              </w:rPr>
              <w:t>th</w:t>
            </w:r>
            <w:r w:rsidRPr="00453CE7">
              <w:rPr>
                <w:rFonts w:ascii="Times New Roman" w:hAnsi="Times New Roman" w:cs="Times New Roman"/>
                <w:sz w:val="20"/>
                <w:szCs w:val="20"/>
                <w:highlight w:val="cyan"/>
              </w:rPr>
              <w:t xml:space="preserve"> of April for companies to provide clarification on Alt1, Alt3-1, Alt3-2, and Alt5. To be coordinated by Rakesh (vivo).</w:t>
            </w:r>
          </w:p>
          <w:p w:rsidR="00453CE7" w:rsidRPr="00453CE7" w:rsidRDefault="00453CE7" w:rsidP="00453CE7">
            <w:pPr>
              <w:numPr>
                <w:ilvl w:val="0"/>
                <w:numId w:val="32"/>
              </w:numPr>
              <w:spacing w:after="0" w:line="240" w:lineRule="auto"/>
              <w:ind w:left="720" w:hanging="320"/>
              <w:rPr>
                <w:rFonts w:ascii="Times New Roman" w:hAnsi="Times New Roman" w:cs="Times New Roman"/>
                <w:sz w:val="20"/>
                <w:szCs w:val="20"/>
                <w:lang w:eastAsia="x-none"/>
              </w:rPr>
            </w:pPr>
            <w:r w:rsidRPr="00453CE7">
              <w:rPr>
                <w:rFonts w:ascii="Times New Roman" w:hAnsi="Times New Roman" w:cs="Times New Roman"/>
                <w:sz w:val="20"/>
                <w:szCs w:val="20"/>
                <w:lang w:eastAsia="x-none"/>
              </w:rPr>
              <w:t>Alt1: Option1-1 (Support a new codebookSubset for non-coherent and partial-coherent transmission capable UEs, e.g. for 2Tx the new codeboookSubset is all non-antenna selection TPMIs or with only TPMI [1 1] for rank 1)</w:t>
            </w:r>
          </w:p>
          <w:p w:rsidR="00453CE7" w:rsidRPr="00453CE7" w:rsidRDefault="00453CE7" w:rsidP="00453CE7">
            <w:pPr>
              <w:numPr>
                <w:ilvl w:val="0"/>
                <w:numId w:val="32"/>
              </w:numPr>
              <w:spacing w:after="0" w:line="240" w:lineRule="auto"/>
              <w:ind w:left="720" w:hanging="320"/>
              <w:rPr>
                <w:rFonts w:ascii="Times New Roman" w:hAnsi="Times New Roman" w:cs="Times New Roman"/>
                <w:sz w:val="20"/>
                <w:szCs w:val="20"/>
                <w:lang w:eastAsia="x-none"/>
              </w:rPr>
            </w:pPr>
            <w:r w:rsidRPr="00453CE7">
              <w:rPr>
                <w:rFonts w:ascii="Times New Roman" w:hAnsi="Times New Roman" w:cs="Times New Roman"/>
                <w:sz w:val="20"/>
                <w:szCs w:val="20"/>
                <w:lang w:eastAsia="x-none"/>
              </w:rPr>
              <w:t>Alt3-1: Option3+Option2 (Multiple SRS resources with different number of SRS port(s) in each resource)</w:t>
            </w:r>
          </w:p>
          <w:p w:rsidR="00453CE7" w:rsidRPr="00453CE7" w:rsidRDefault="00453CE7" w:rsidP="00453CE7">
            <w:pPr>
              <w:pStyle w:val="ListParagraph"/>
              <w:numPr>
                <w:ilvl w:val="1"/>
                <w:numId w:val="42"/>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453CE7">
              <w:rPr>
                <w:rFonts w:ascii="Times New Roman" w:hAnsi="Times New Roman" w:cs="Times New Roman"/>
                <w:sz w:val="20"/>
                <w:szCs w:val="20"/>
              </w:rPr>
              <w:t>FFS: Whether to additionally support Option 1-2</w:t>
            </w:r>
          </w:p>
          <w:p w:rsidR="00453CE7" w:rsidRPr="00453CE7" w:rsidRDefault="00453CE7" w:rsidP="00453CE7">
            <w:pPr>
              <w:numPr>
                <w:ilvl w:val="0"/>
                <w:numId w:val="32"/>
              </w:numPr>
              <w:spacing w:after="0" w:line="240" w:lineRule="auto"/>
              <w:ind w:left="720" w:hanging="320"/>
              <w:rPr>
                <w:rFonts w:ascii="Times New Roman" w:hAnsi="Times New Roman" w:cs="Times New Roman"/>
                <w:sz w:val="20"/>
                <w:szCs w:val="20"/>
                <w:lang w:eastAsia="x-none"/>
              </w:rPr>
            </w:pPr>
            <w:r w:rsidRPr="00453CE7">
              <w:rPr>
                <w:rFonts w:ascii="Times New Roman" w:hAnsi="Times New Roman" w:cs="Times New Roman"/>
                <w:sz w:val="20"/>
                <w:szCs w:val="20"/>
                <w:lang w:eastAsia="x-none"/>
              </w:rPr>
              <w:t>Alt3-2: Option3+Option2+ Option1-1 (Multiple SRS resources with different number of SRS port(s) in each resource)</w:t>
            </w:r>
          </w:p>
          <w:p w:rsidR="00453CE7" w:rsidRPr="00453CE7" w:rsidRDefault="00453CE7" w:rsidP="00453CE7">
            <w:pPr>
              <w:numPr>
                <w:ilvl w:val="0"/>
                <w:numId w:val="32"/>
              </w:numPr>
              <w:spacing w:after="0" w:line="240" w:lineRule="auto"/>
              <w:ind w:left="720" w:hanging="320"/>
              <w:rPr>
                <w:rFonts w:ascii="Times New Roman" w:hAnsi="Times New Roman" w:cs="Times New Roman"/>
                <w:sz w:val="20"/>
                <w:szCs w:val="20"/>
                <w:lang w:eastAsia="x-none"/>
              </w:rPr>
            </w:pPr>
            <w:r w:rsidRPr="00453CE7">
              <w:rPr>
                <w:rFonts w:ascii="Times New Roman" w:hAnsi="Times New Roman" w:cs="Times New Roman"/>
                <w:sz w:val="20"/>
                <w:szCs w:val="20"/>
                <w:lang w:eastAsia="x-none"/>
              </w:rPr>
              <w:t>Alt5: FDM multi-port simultaneous transmission</w:t>
            </w:r>
          </w:p>
          <w:p w:rsidR="00453CE7" w:rsidRPr="00453CE7" w:rsidRDefault="00453CE7" w:rsidP="007527EB">
            <w:pPr>
              <w:pStyle w:val="ListParagraph"/>
              <w:ind w:left="0"/>
              <w:rPr>
                <w:rFonts w:ascii="Times New Roman" w:hAnsi="Times New Roman"/>
                <w:sz w:val="20"/>
                <w:szCs w:val="20"/>
              </w:rPr>
            </w:pPr>
          </w:p>
        </w:tc>
      </w:tr>
    </w:tbl>
    <w:p w:rsidR="00453CE7" w:rsidRDefault="00453CE7" w:rsidP="00453CE7">
      <w:pPr>
        <w:rPr>
          <w:rFonts w:ascii="Times New Roman" w:hAnsi="Times New Roman" w:cs="Times New Roman"/>
          <w:sz w:val="20"/>
          <w:szCs w:val="20"/>
        </w:rPr>
      </w:pPr>
    </w:p>
    <w:p w:rsidR="00453CE7" w:rsidRDefault="00453CE7"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email discussion is captured in </w:t>
      </w:r>
      <w:r w:rsidR="001E3E39">
        <w:rPr>
          <w:rFonts w:ascii="Times New Roman" w:hAnsi="Times New Roman" w:cs="Times New Roman"/>
          <w:kern w:val="2"/>
          <w:sz w:val="20"/>
          <w:szCs w:val="20"/>
        </w:rPr>
        <w:t>one tdoc R1-1905911, which provides more details of the remaining solutions. Copied from R1-1905911, the remaining alternatives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3E39" w:rsidRPr="00453CE7" w:rsidTr="007527EB">
        <w:tc>
          <w:tcPr>
            <w:tcW w:w="9629" w:type="dxa"/>
            <w:shd w:val="clear" w:color="auto" w:fill="auto"/>
          </w:tcPr>
          <w:p w:rsidR="001E3E39" w:rsidRDefault="001E3E39" w:rsidP="001E3E39">
            <w:pPr>
              <w:numPr>
                <w:ilvl w:val="0"/>
                <w:numId w:val="43"/>
              </w:numPr>
              <w:spacing w:after="0" w:line="240" w:lineRule="auto"/>
              <w:rPr>
                <w:rFonts w:ascii="Times New Roman" w:hAnsi="Times New Roman" w:cs="Times New Roman"/>
                <w:sz w:val="20"/>
                <w:szCs w:val="20"/>
                <w:lang w:eastAsia="x-none"/>
              </w:rPr>
            </w:pPr>
            <w:r w:rsidRPr="00F72415">
              <w:rPr>
                <w:rFonts w:ascii="Times New Roman" w:hAnsi="Times New Roman" w:cs="Times New Roman"/>
                <w:sz w:val="20"/>
                <w:szCs w:val="20"/>
                <w:lang w:eastAsia="x-none"/>
              </w:rPr>
              <w:lastRenderedPageBreak/>
              <w:t>Alt1: Option1-1 (Support a new codebookSubset for non-coherent and partial-coherent transmission capable UEs, e.g. for 2Tx the new codeboookSubset is all non-antenna selection TPMIs or with only TPMI [1 1] for rank 1)</w:t>
            </w:r>
          </w:p>
          <w:p w:rsidR="001E3E39" w:rsidRPr="00AF77A3" w:rsidRDefault="001E3E39" w:rsidP="001E3E39">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Summary:</w:t>
            </w:r>
          </w:p>
          <w:p w:rsidR="001E3E39" w:rsidRPr="00AF77A3"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Small delay CDD, if applied, is transparent to RAN1 specification</w:t>
            </w:r>
          </w:p>
          <w:p w:rsidR="001E3E39" w:rsidRPr="00CE15E4"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new codebookSubset is introduced only for the rank value(s) where full power transmission in UL is not achievable, includes the TPMI precoders in </w:t>
            </w:r>
            <w:r w:rsidRPr="00CE15E4">
              <w:rPr>
                <w:i/>
                <w:sz w:val="20"/>
                <w:szCs w:val="20"/>
              </w:rPr>
              <w:t>codebookSubset</w:t>
            </w:r>
            <w:r w:rsidRPr="00CE15E4">
              <w:rPr>
                <w:rFonts w:hint="eastAsia"/>
                <w:sz w:val="20"/>
                <w:szCs w:val="20"/>
              </w:rPr>
              <w:t xml:space="preserve"> = </w:t>
            </w:r>
            <w:r w:rsidRPr="00CE15E4">
              <w:rPr>
                <w:i/>
                <w:sz w:val="20"/>
                <w:szCs w:val="20"/>
              </w:rPr>
              <w:t>partialAndNonCoherent</w:t>
            </w:r>
            <w:r w:rsidRPr="00CE15E4">
              <w:rPr>
                <w:rFonts w:ascii="Times New Roman" w:hAnsi="Times New Roman" w:cs="Times New Roman"/>
                <w:sz w:val="20"/>
                <w:szCs w:val="20"/>
              </w:rPr>
              <w:t xml:space="preserve"> and </w:t>
            </w:r>
            <w:r w:rsidRPr="00CE15E4">
              <w:rPr>
                <w:i/>
                <w:sz w:val="20"/>
                <w:szCs w:val="20"/>
              </w:rPr>
              <w:t>fullyAndPartialAndNonCoherent</w:t>
            </w:r>
            <w:r>
              <w:rPr>
                <w:i/>
                <w:sz w:val="20"/>
                <w:szCs w:val="20"/>
              </w:rPr>
              <w:t xml:space="preserve"> </w:t>
            </w:r>
            <w:r w:rsidRPr="00986C37">
              <w:rPr>
                <w:rFonts w:ascii="Times New Roman" w:hAnsi="Times New Roman" w:cs="Times New Roman"/>
                <w:sz w:val="20"/>
                <w:szCs w:val="20"/>
              </w:rPr>
              <w:t>defined in Rel-15</w:t>
            </w:r>
          </w:p>
          <w:p w:rsidR="001E3E39" w:rsidRPr="00CE15E4"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Alt1: Only a subset of the </w:t>
            </w:r>
            <w:r>
              <w:rPr>
                <w:rFonts w:ascii="Times New Roman" w:hAnsi="Times New Roman" w:cs="Times New Roman" w:hint="eastAsia"/>
                <w:sz w:val="20"/>
                <w:szCs w:val="20"/>
              </w:rPr>
              <w:t xml:space="preserve">non-antenna selection </w:t>
            </w:r>
            <w:r>
              <w:rPr>
                <w:rFonts w:ascii="Times New Roman" w:hAnsi="Times New Roman" w:cs="Times New Roman"/>
                <w:sz w:val="20"/>
                <w:szCs w:val="20"/>
              </w:rPr>
              <w:t>TPMI precoder(s) is(are) supported</w:t>
            </w:r>
          </w:p>
          <w:p w:rsidR="001E3E39" w:rsidRPr="00A177BA"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Alt2: All of the </w:t>
            </w:r>
            <w:r>
              <w:rPr>
                <w:rFonts w:ascii="Times New Roman" w:hAnsi="Times New Roman" w:cs="Times New Roman" w:hint="eastAsia"/>
                <w:sz w:val="20"/>
                <w:szCs w:val="20"/>
              </w:rPr>
              <w:t>non-antenna selection</w:t>
            </w:r>
            <w:r>
              <w:rPr>
                <w:rFonts w:ascii="Times New Roman" w:hAnsi="Times New Roman" w:cs="Times New Roman"/>
                <w:sz w:val="20"/>
                <w:szCs w:val="20"/>
              </w:rPr>
              <w:t xml:space="preserve"> TPMI precoders are supported</w:t>
            </w:r>
          </w:p>
          <w:p w:rsidR="001E3E39" w:rsidRDefault="001E3E39" w:rsidP="001E3E39">
            <w:pPr>
              <w:spacing w:after="0" w:line="240" w:lineRule="auto"/>
              <w:ind w:left="720"/>
              <w:rPr>
                <w:rFonts w:ascii="Times New Roman" w:hAnsi="Times New Roman" w:cs="Times New Roman"/>
                <w:sz w:val="20"/>
                <w:szCs w:val="20"/>
                <w:lang w:eastAsia="x-none"/>
              </w:rPr>
            </w:pPr>
          </w:p>
          <w:p w:rsidR="001E3E39" w:rsidRPr="00F72415" w:rsidRDefault="001E3E39" w:rsidP="001E3E39">
            <w:pPr>
              <w:numPr>
                <w:ilvl w:val="0"/>
                <w:numId w:val="43"/>
              </w:numPr>
              <w:spacing w:after="0" w:line="240" w:lineRule="auto"/>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Alt3-1: Option3+Option2 (Multiple SRS resources with different number of SRS port(s) in each resource)</w:t>
            </w:r>
          </w:p>
          <w:p w:rsidR="001E3E39" w:rsidRDefault="001E3E39" w:rsidP="001E3E39">
            <w:pPr>
              <w:pStyle w:val="ListParagraph"/>
              <w:numPr>
                <w:ilvl w:val="1"/>
                <w:numId w:val="43"/>
              </w:numPr>
              <w:overflowPunct w:val="0"/>
              <w:autoSpaceDE w:val="0"/>
              <w:autoSpaceDN w:val="0"/>
              <w:spacing w:after="0" w:line="240" w:lineRule="auto"/>
              <w:jc w:val="both"/>
              <w:textAlignment w:val="baseline"/>
              <w:rPr>
                <w:rFonts w:ascii="Times New Roman" w:hAnsi="Times New Roman" w:cs="Times New Roman"/>
                <w:sz w:val="20"/>
                <w:szCs w:val="20"/>
                <w:lang w:eastAsia="x-none"/>
              </w:rPr>
            </w:pPr>
            <w:r w:rsidRPr="00F72415">
              <w:rPr>
                <w:rFonts w:ascii="Times New Roman" w:hAnsi="Times New Roman" w:cs="Times New Roman"/>
                <w:sz w:val="20"/>
                <w:szCs w:val="20"/>
              </w:rPr>
              <w:t>FFS: Whether to additionally support Option 1-2</w:t>
            </w:r>
          </w:p>
          <w:p w:rsidR="001E3E39" w:rsidRPr="00792DB6" w:rsidRDefault="001E3E39" w:rsidP="001E3E39">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w:t>
            </w:r>
            <w:r w:rsidRPr="00D66655">
              <w:rPr>
                <w:rFonts w:ascii="Times New Roman" w:hAnsi="Times New Roman" w:cs="Times New Roman" w:hint="eastAsia"/>
                <w:sz w:val="20"/>
                <w:szCs w:val="20"/>
                <w:highlight w:val="yellow"/>
                <w:u w:val="single"/>
                <w:lang w:eastAsia="x-none"/>
              </w:rPr>
              <w:t>ummary:</w:t>
            </w:r>
          </w:p>
          <w:p w:rsidR="001E3E39"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UE is configured with m</w:t>
            </w:r>
            <w:r w:rsidRPr="00AB2F0D">
              <w:rPr>
                <w:rFonts w:ascii="Times New Roman" w:hAnsi="Times New Roman" w:cs="Times New Roman" w:hint="eastAsia"/>
                <w:sz w:val="20"/>
                <w:szCs w:val="20"/>
              </w:rPr>
              <w:t>ultiple SRS</w:t>
            </w:r>
            <w:r w:rsidRPr="00AB2F0D">
              <w:rPr>
                <w:rFonts w:ascii="Times New Roman" w:hAnsi="Times New Roman" w:cs="Times New Roman"/>
                <w:sz w:val="20"/>
                <w:szCs w:val="20"/>
              </w:rPr>
              <w:t xml:space="preserve"> resources in a set </w:t>
            </w:r>
            <w:r>
              <w:rPr>
                <w:rFonts w:ascii="Times New Roman" w:hAnsi="Times New Roman" w:cs="Times New Roman"/>
                <w:sz w:val="20"/>
                <w:szCs w:val="20"/>
              </w:rPr>
              <w:t>each with different number of SRS ports, e.g. 1 SRS source is configured with 1 port and another SRS resource is configured with 2 ports for the UE with 2 Tx chains.</w:t>
            </w:r>
          </w:p>
          <w:p w:rsidR="001E3E39" w:rsidRPr="00AE54B8" w:rsidRDefault="001E3E39" w:rsidP="001E3E39">
            <w:pPr>
              <w:pStyle w:val="ListParagraph"/>
              <w:numPr>
                <w:ilvl w:val="2"/>
                <w:numId w:val="43"/>
              </w:numPr>
              <w:spacing w:after="0" w:line="240" w:lineRule="auto"/>
              <w:contextualSpacing w:val="0"/>
              <w:rPr>
                <w:rFonts w:ascii="Times New Roman" w:hAnsi="Times New Roman" w:cs="Times New Roman"/>
                <w:sz w:val="20"/>
                <w:szCs w:val="20"/>
                <w:lang w:eastAsia="x-none"/>
              </w:rPr>
            </w:pPr>
            <w:r w:rsidRPr="00B41770">
              <w:rPr>
                <w:rFonts w:ascii="Times New Roman" w:hAnsi="Times New Roman" w:cs="Times New Roman"/>
                <w:sz w:val="20"/>
                <w:szCs w:val="20"/>
              </w:rPr>
              <w:t>UE virtualizes Tx chains when configured with an SRS resource that has fewer ports than the number of Tx chains</w:t>
            </w:r>
            <w:r>
              <w:rPr>
                <w:rFonts w:ascii="Times New Roman" w:hAnsi="Times New Roman" w:cs="Times New Roman"/>
                <w:sz w:val="20"/>
                <w:szCs w:val="20"/>
              </w:rPr>
              <w:t>, e.g. 2 Tx chains are virtualized to transmit 1 port SRS resource</w:t>
            </w:r>
          </w:p>
          <w:p w:rsidR="001E3E39" w:rsidRPr="00FD4160" w:rsidRDefault="001E3E39" w:rsidP="001E3E39">
            <w:pPr>
              <w:pStyle w:val="ListParagraph"/>
              <w:numPr>
                <w:ilvl w:val="3"/>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lang w:eastAsia="x-none"/>
              </w:rPr>
              <w:t>Small delay CDD or other virtualization mechanism is applied in spec transparent manner</w:t>
            </w:r>
          </w:p>
          <w:p w:rsidR="001E3E39" w:rsidRDefault="001E3E39" w:rsidP="001E3E39">
            <w:pPr>
              <w:pStyle w:val="ListParagraph"/>
              <w:numPr>
                <w:ilvl w:val="2"/>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lang w:eastAsia="x-none"/>
              </w:rPr>
              <w:t>UE does not virtualize Tx chains when configured with an SRS resource with number of ports equal to the number of Tx chains, e.g. 2 Tx chains transmit 2 ports SRS resource</w:t>
            </w:r>
            <w:r w:rsidRPr="00B41770">
              <w:rPr>
                <w:rFonts w:ascii="Times New Roman" w:hAnsi="Times New Roman" w:cs="Times New Roman"/>
                <w:sz w:val="20"/>
                <w:szCs w:val="20"/>
                <w:lang w:eastAsia="x-none"/>
              </w:rPr>
              <w:t>.</w:t>
            </w:r>
          </w:p>
          <w:p w:rsidR="001E3E39" w:rsidRDefault="001E3E39" w:rsidP="001E3E39">
            <w:pPr>
              <w:ind w:left="1440" w:hanging="1440"/>
              <w:rPr>
                <w:rFonts w:ascii="Times New Roman" w:hAnsi="Times New Roman"/>
                <w:sz w:val="20"/>
                <w:szCs w:val="20"/>
              </w:rPr>
            </w:pPr>
          </w:p>
          <w:p w:rsidR="001E3E39" w:rsidRDefault="001E3E39" w:rsidP="001E3E39">
            <w:pPr>
              <w:numPr>
                <w:ilvl w:val="0"/>
                <w:numId w:val="43"/>
              </w:numPr>
              <w:spacing w:after="0" w:line="240" w:lineRule="auto"/>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Alt3-2: Option3+Option2+ Option1-1 (Multiple SRS resources with different number of SRS port(s) in each resource)</w:t>
            </w:r>
          </w:p>
          <w:p w:rsidR="001E3E39" w:rsidRPr="00543BC0" w:rsidRDefault="001E3E39" w:rsidP="001E3E39">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w:t>
            </w:r>
            <w:r w:rsidRPr="00D66655">
              <w:rPr>
                <w:rFonts w:ascii="Times New Roman" w:hAnsi="Times New Roman" w:cs="Times New Roman" w:hint="eastAsia"/>
                <w:sz w:val="20"/>
                <w:szCs w:val="20"/>
                <w:highlight w:val="yellow"/>
                <w:u w:val="single"/>
                <w:lang w:eastAsia="x-none"/>
              </w:rPr>
              <w:t>ummary:</w:t>
            </w:r>
          </w:p>
          <w:p w:rsidR="001E3E39" w:rsidRPr="00880709"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UE is configured with</w:t>
            </w:r>
            <w:r w:rsidRPr="00880709">
              <w:rPr>
                <w:rFonts w:ascii="Times New Roman" w:hAnsi="Times New Roman" w:cs="Times New Roman"/>
                <w:sz w:val="20"/>
                <w:szCs w:val="20"/>
              </w:rPr>
              <w:t xml:space="preserve"> one SRS resource (</w:t>
            </w:r>
            <w:r>
              <w:rPr>
                <w:rFonts w:ascii="Times New Roman" w:hAnsi="Times New Roman" w:cs="Times New Roman"/>
                <w:sz w:val="20"/>
                <w:szCs w:val="20"/>
              </w:rPr>
              <w:t xml:space="preserve">without </w:t>
            </w:r>
            <w:r w:rsidRPr="00880709">
              <w:rPr>
                <w:rFonts w:ascii="Times New Roman" w:hAnsi="Times New Roman" w:cs="Times New Roman"/>
                <w:sz w:val="20"/>
                <w:szCs w:val="20"/>
              </w:rPr>
              <w:t>virtualiz</w:t>
            </w:r>
            <w:r>
              <w:rPr>
                <w:rFonts w:ascii="Times New Roman" w:hAnsi="Times New Roman" w:cs="Times New Roman"/>
                <w:sz w:val="20"/>
                <w:szCs w:val="20"/>
              </w:rPr>
              <w:t>ation</w:t>
            </w:r>
            <w:r w:rsidRPr="00880709">
              <w:rPr>
                <w:rFonts w:ascii="Times New Roman" w:hAnsi="Times New Roman" w:cs="Times New Roman"/>
                <w:sz w:val="20"/>
                <w:szCs w:val="20"/>
              </w:rPr>
              <w:t>)</w:t>
            </w:r>
          </w:p>
          <w:p w:rsidR="001E3E39" w:rsidRPr="00880709"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sidRPr="00880709">
              <w:rPr>
                <w:rFonts w:ascii="Times New Roman" w:hAnsi="Times New Roman" w:cs="Times New Roman"/>
                <w:sz w:val="20"/>
                <w:szCs w:val="20"/>
              </w:rPr>
              <w:t>gNB can configure the UE to use a subset of TPMIs that combine ports in a layer to produce full power transmission.</w:t>
            </w:r>
          </w:p>
          <w:p w:rsidR="001E3E39" w:rsidRPr="003E39F0"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rPr>
              <w:t>A</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new codebookSubset is introduced only for the rank value(s) where full power transmission in UL is not achievable, includes the TPMI precoders in </w:t>
            </w:r>
            <w:r w:rsidRPr="00CE15E4">
              <w:rPr>
                <w:i/>
                <w:sz w:val="20"/>
                <w:szCs w:val="20"/>
              </w:rPr>
              <w:t>codebookSubset</w:t>
            </w:r>
            <w:r w:rsidRPr="00CE15E4">
              <w:rPr>
                <w:rFonts w:hint="eastAsia"/>
                <w:sz w:val="20"/>
                <w:szCs w:val="20"/>
              </w:rPr>
              <w:t xml:space="preserve"> = </w:t>
            </w:r>
            <w:r w:rsidRPr="00CE15E4">
              <w:rPr>
                <w:i/>
                <w:sz w:val="20"/>
                <w:szCs w:val="20"/>
              </w:rPr>
              <w:t>partialAndNonCoherent</w:t>
            </w:r>
            <w:r w:rsidRPr="00CE15E4">
              <w:rPr>
                <w:rFonts w:ascii="Times New Roman" w:hAnsi="Times New Roman" w:cs="Times New Roman"/>
                <w:sz w:val="20"/>
                <w:szCs w:val="20"/>
              </w:rPr>
              <w:t xml:space="preserve"> and </w:t>
            </w:r>
            <w:r w:rsidRPr="00CE15E4">
              <w:rPr>
                <w:i/>
                <w:sz w:val="20"/>
                <w:szCs w:val="20"/>
              </w:rPr>
              <w:t>fullyAndPartialAndNonCoherent</w:t>
            </w:r>
            <w:r>
              <w:rPr>
                <w:i/>
                <w:sz w:val="20"/>
                <w:szCs w:val="20"/>
              </w:rPr>
              <w:t xml:space="preserve"> </w:t>
            </w:r>
            <w:r w:rsidRPr="00986C37">
              <w:rPr>
                <w:rFonts w:ascii="Times New Roman" w:hAnsi="Times New Roman" w:cs="Times New Roman"/>
                <w:sz w:val="20"/>
                <w:szCs w:val="20"/>
              </w:rPr>
              <w:t>defined in Rel-15</w:t>
            </w:r>
          </w:p>
          <w:p w:rsidR="001E3E39" w:rsidRPr="00CE15E4"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Alt1: Only a subset of the </w:t>
            </w:r>
            <w:r>
              <w:rPr>
                <w:rFonts w:ascii="Times New Roman" w:hAnsi="Times New Roman" w:cs="Times New Roman" w:hint="eastAsia"/>
                <w:sz w:val="20"/>
                <w:szCs w:val="20"/>
              </w:rPr>
              <w:t xml:space="preserve">non-antenna selection </w:t>
            </w:r>
            <w:r>
              <w:rPr>
                <w:rFonts w:ascii="Times New Roman" w:hAnsi="Times New Roman" w:cs="Times New Roman"/>
                <w:sz w:val="20"/>
                <w:szCs w:val="20"/>
              </w:rPr>
              <w:t>TPMI precoder(s) is(are) supported</w:t>
            </w:r>
          </w:p>
          <w:p w:rsidR="001E3E39" w:rsidRPr="00A177BA"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Alt2: All of the </w:t>
            </w:r>
            <w:r>
              <w:rPr>
                <w:rFonts w:ascii="Times New Roman" w:hAnsi="Times New Roman" w:cs="Times New Roman" w:hint="eastAsia"/>
                <w:sz w:val="20"/>
                <w:szCs w:val="20"/>
              </w:rPr>
              <w:t xml:space="preserve">non-antenna selection </w:t>
            </w:r>
            <w:r>
              <w:rPr>
                <w:rFonts w:ascii="Times New Roman" w:hAnsi="Times New Roman" w:cs="Times New Roman"/>
                <w:sz w:val="20"/>
                <w:szCs w:val="20"/>
              </w:rPr>
              <w:t>TPMI precoders are supported</w:t>
            </w:r>
          </w:p>
          <w:p w:rsidR="001E3E39" w:rsidRPr="0018715C"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A different SRS port is transmitted on each Tx chain</w:t>
            </w:r>
            <w:r>
              <w:rPr>
                <w:rFonts w:ascii="Times New Roman" w:hAnsi="Times New Roman" w:cs="Times New Roman"/>
                <w:sz w:val="20"/>
                <w:szCs w:val="20"/>
                <w:lang w:eastAsia="x-none"/>
              </w:rPr>
              <w:t xml:space="preserve"> (small delay CDD maybe transparently applied)</w:t>
            </w:r>
          </w:p>
          <w:p w:rsidR="001E3E39"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880709">
              <w:rPr>
                <w:rFonts w:ascii="Times New Roman" w:hAnsi="Times New Roman" w:cs="Times New Roman"/>
                <w:sz w:val="20"/>
                <w:szCs w:val="20"/>
                <w:lang w:eastAsia="x-none"/>
              </w:rPr>
              <w:t>gNB can coherently combine channel estimates from SRS according to TPMI when determining CQI/TPMI/RI</w:t>
            </w:r>
          </w:p>
          <w:p w:rsidR="001E3E39" w:rsidRDefault="001E3E39" w:rsidP="001E3E39">
            <w:pPr>
              <w:pStyle w:val="ListParagraph"/>
              <w:spacing w:after="0" w:line="240" w:lineRule="auto"/>
              <w:ind w:left="1440"/>
              <w:contextualSpacing w:val="0"/>
              <w:rPr>
                <w:rFonts w:ascii="Times New Roman" w:hAnsi="Times New Roman" w:cs="Times New Roman"/>
                <w:sz w:val="20"/>
                <w:szCs w:val="20"/>
                <w:lang w:eastAsia="x-none"/>
              </w:rPr>
            </w:pPr>
          </w:p>
          <w:p w:rsidR="001E3E39" w:rsidRDefault="001E3E39" w:rsidP="001E3E39">
            <w:pPr>
              <w:numPr>
                <w:ilvl w:val="0"/>
                <w:numId w:val="43"/>
              </w:numPr>
              <w:spacing w:after="0" w:line="240" w:lineRule="auto"/>
              <w:rPr>
                <w:rFonts w:ascii="Times New Roman" w:hAnsi="Times New Roman" w:cs="Times New Roman"/>
                <w:sz w:val="20"/>
                <w:szCs w:val="20"/>
                <w:lang w:eastAsia="x-none"/>
              </w:rPr>
            </w:pPr>
            <w:r w:rsidRPr="00F72415">
              <w:rPr>
                <w:rFonts w:ascii="Times New Roman" w:hAnsi="Times New Roman" w:cs="Times New Roman"/>
                <w:sz w:val="20"/>
                <w:szCs w:val="20"/>
                <w:lang w:eastAsia="x-none"/>
              </w:rPr>
              <w:t>Alt5: FDM multi-port simultaneous transmission</w:t>
            </w:r>
          </w:p>
          <w:p w:rsidR="001E3E39" w:rsidRPr="006D48D6" w:rsidRDefault="001E3E39" w:rsidP="001E3E39">
            <w:pPr>
              <w:ind w:left="720"/>
              <w:rPr>
                <w:rFonts w:ascii="Times New Roman" w:hAnsi="Times New Roman" w:cs="Times New Roman"/>
                <w:sz w:val="20"/>
                <w:szCs w:val="20"/>
                <w:u w:val="single"/>
                <w:lang w:eastAsia="x-none"/>
              </w:rPr>
            </w:pPr>
            <w:r w:rsidRPr="00D66655">
              <w:rPr>
                <w:rFonts w:ascii="Times New Roman" w:hAnsi="Times New Roman" w:cs="Times New Roman"/>
                <w:sz w:val="20"/>
                <w:szCs w:val="20"/>
                <w:highlight w:val="yellow"/>
                <w:u w:val="single"/>
                <w:lang w:eastAsia="x-none"/>
              </w:rPr>
              <w:t>Summary:</w:t>
            </w:r>
          </w:p>
          <w:p w:rsidR="001E3E39" w:rsidRDefault="001E3E39" w:rsidP="001E3E39">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x-none"/>
              </w:rPr>
              <w:t>The scheduled RBs are divided into several RB sets, each of which is associated with a respective antenna port or antenna port set (ports of which should be coherent)</w:t>
            </w:r>
          </w:p>
          <w:p w:rsidR="001E3E39" w:rsidRPr="00D30320"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x-none"/>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rsidR="001E3E39" w:rsidRPr="00D30320"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is applicable to both CP-OFDM and DFT-s-OFDM</w:t>
            </w:r>
          </w:p>
          <w:p w:rsidR="001E3E39" w:rsidRPr="00D30320" w:rsidRDefault="001E3E39" w:rsidP="001E3E39">
            <w:pPr>
              <w:pStyle w:val="ListParagraph"/>
              <w:numPr>
                <w:ilvl w:val="2"/>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For DFT-s-OFDM, one DFT is applied to one RB set</w:t>
            </w:r>
          </w:p>
          <w:p w:rsidR="001E3E39" w:rsidRPr="00D30320"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does not have spec impact on PRB bundling</w:t>
            </w:r>
          </w:p>
          <w:p w:rsidR="001E3E39" w:rsidRPr="00D30320" w:rsidRDefault="001E3E39" w:rsidP="001E3E39">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The minimal size of a RB set is 1 RB</w:t>
            </w:r>
          </w:p>
          <w:p w:rsidR="001E3E39" w:rsidRPr="002B35C5" w:rsidRDefault="001E3E39" w:rsidP="001E3E39">
            <w:pPr>
              <w:pStyle w:val="ListParagraph"/>
              <w:numPr>
                <w:ilvl w:val="2"/>
                <w:numId w:val="43"/>
              </w:numPr>
              <w:spacing w:after="0" w:line="240" w:lineRule="auto"/>
              <w:contextualSpacing w:val="0"/>
              <w:rPr>
                <w:rFonts w:ascii="Times New Roman" w:hAnsi="Times New Roman" w:cs="Times New Roman"/>
                <w:sz w:val="20"/>
                <w:szCs w:val="20"/>
              </w:rPr>
            </w:pPr>
          </w:p>
          <w:p w:rsidR="001E3E39" w:rsidRPr="00453CE7" w:rsidRDefault="001E3E39" w:rsidP="001E3E39">
            <w:pPr>
              <w:ind w:left="1440" w:hanging="1440"/>
              <w:rPr>
                <w:rFonts w:ascii="Times New Roman" w:hAnsi="Times New Roman"/>
                <w:sz w:val="20"/>
                <w:szCs w:val="20"/>
              </w:rPr>
            </w:pPr>
          </w:p>
        </w:tc>
      </w:tr>
    </w:tbl>
    <w:p w:rsidR="001E3E39" w:rsidRDefault="001E3E39" w:rsidP="001E3E39">
      <w:pPr>
        <w:rPr>
          <w:rFonts w:ascii="Times New Roman" w:hAnsi="Times New Roman" w:cs="Times New Roman"/>
          <w:sz w:val="20"/>
          <w:szCs w:val="20"/>
        </w:rPr>
      </w:pPr>
    </w:p>
    <w:p w:rsidR="00EA017E" w:rsidRDefault="004C1CBE" w:rsidP="00EA017E">
      <w:pPr>
        <w:pStyle w:val="Heading1"/>
      </w:pPr>
      <w:r>
        <w:lastRenderedPageBreak/>
        <w:t>2</w:t>
      </w:r>
      <w:r w:rsidR="00EA017E" w:rsidRPr="00791982">
        <w:tab/>
      </w:r>
      <w:r w:rsidR="001E3E39">
        <w:t>Discussion</w:t>
      </w:r>
    </w:p>
    <w:p w:rsidR="001E3E39" w:rsidRDefault="001E3E39" w:rsidP="001E3E39">
      <w:pPr>
        <w:pStyle w:val="Heading2"/>
      </w:pPr>
      <w:r>
        <w:t>2.1</w:t>
      </w:r>
      <w:r>
        <w:tab/>
      </w:r>
      <w:r w:rsidR="007527EB">
        <w:t xml:space="preserve">Alt-1 </w:t>
      </w:r>
      <w:r>
        <w:t>Solution</w:t>
      </w:r>
      <w:r w:rsidR="00353071">
        <w:t>: codebook subset</w:t>
      </w:r>
    </w:p>
    <w:p w:rsidR="001E3E39" w:rsidRPr="007527EB" w:rsidRDefault="001E3E39" w:rsidP="001E3E39">
      <w:pPr>
        <w:rPr>
          <w:rFonts w:ascii="Times New Roman" w:hAnsi="Times New Roman" w:cs="Times New Roman"/>
          <w:sz w:val="20"/>
          <w:szCs w:val="20"/>
        </w:rPr>
      </w:pPr>
      <w:r>
        <w:rPr>
          <w:rFonts w:ascii="Times New Roman" w:hAnsi="Times New Roman" w:cs="Times New Roman"/>
          <w:sz w:val="20"/>
          <w:szCs w:val="20"/>
        </w:rPr>
        <w:t>In general, we support Alt 1</w:t>
      </w:r>
      <w:r w:rsidR="007527EB">
        <w:rPr>
          <w:rFonts w:ascii="Times New Roman" w:hAnsi="Times New Roman" w:cs="Times New Roman"/>
          <w:sz w:val="20"/>
          <w:szCs w:val="20"/>
        </w:rPr>
        <w:t xml:space="preserve">, where extra TPMI is supported for </w:t>
      </w:r>
      <w:r w:rsidR="007527EB">
        <w:rPr>
          <w:rFonts w:ascii="Times New Roman" w:hAnsi="Times New Roman" w:cs="Times New Roman"/>
          <w:i/>
          <w:sz w:val="20"/>
          <w:szCs w:val="20"/>
        </w:rPr>
        <w:t>codebookSubset = nonCoherent</w:t>
      </w:r>
      <w:r w:rsidR="007527EB">
        <w:rPr>
          <w:rFonts w:ascii="Times New Roman" w:hAnsi="Times New Roman" w:cs="Times New Roman"/>
          <w:sz w:val="20"/>
          <w:szCs w:val="20"/>
        </w:rPr>
        <w:t xml:space="preserve"> and </w:t>
      </w:r>
      <w:r w:rsidR="007527EB" w:rsidRPr="007527EB">
        <w:rPr>
          <w:rFonts w:ascii="Times New Roman" w:hAnsi="Times New Roman" w:cs="Times New Roman"/>
          <w:i/>
          <w:sz w:val="20"/>
          <w:szCs w:val="20"/>
        </w:rPr>
        <w:t>partialAndNonCoherent</w:t>
      </w:r>
      <w:r w:rsidR="007527EB">
        <w:rPr>
          <w:rFonts w:ascii="Times New Roman" w:hAnsi="Times New Roman" w:cs="Times New Roman"/>
          <w:i/>
          <w:sz w:val="20"/>
          <w:szCs w:val="20"/>
        </w:rPr>
        <w:t>..</w:t>
      </w:r>
      <w:r w:rsidR="007527EB">
        <w:rPr>
          <w:rFonts w:ascii="Times New Roman" w:hAnsi="Times New Roman" w:cs="Times New Roman" w:hint="eastAsia"/>
          <w:sz w:val="20"/>
          <w:szCs w:val="20"/>
        </w:rPr>
        <w:t xml:space="preserve"> </w:t>
      </w:r>
      <w:r w:rsidR="007527EB">
        <w:rPr>
          <w:rFonts w:ascii="Times New Roman" w:hAnsi="Times New Roman" w:cs="Times New Roman"/>
          <w:sz w:val="20"/>
          <w:szCs w:val="20"/>
        </w:rPr>
        <w:t>The details are discussed below.</w:t>
      </w:r>
      <w:r w:rsidR="007527EB">
        <w:rPr>
          <w:rFonts w:ascii="Times New Roman" w:hAnsi="Times New Roman" w:cs="Times New Roman"/>
          <w:i/>
          <w:sz w:val="20"/>
          <w:szCs w:val="20"/>
        </w:rPr>
        <w:t xml:space="preserve"> </w:t>
      </w:r>
    </w:p>
    <w:p w:rsidR="001E3E39" w:rsidRPr="008C5EF3" w:rsidRDefault="007527EB" w:rsidP="001E3E39">
      <w:pPr>
        <w:rPr>
          <w:rFonts w:ascii="Times New Roman" w:hAnsi="Times New Roman" w:cs="Times New Roman"/>
          <w:sz w:val="20"/>
          <w:szCs w:val="20"/>
        </w:rPr>
      </w:pPr>
      <w:r>
        <w:rPr>
          <w:rFonts w:ascii="Times New Roman" w:hAnsi="Times New Roman" w:cs="Times New Roman"/>
          <w:sz w:val="20"/>
          <w:szCs w:val="20"/>
        </w:rPr>
        <w:t>The</w:t>
      </w:r>
      <w:r w:rsidR="00B3535F">
        <w:rPr>
          <w:rFonts w:ascii="Times New Roman" w:hAnsi="Times New Roman" w:cs="Times New Roman"/>
          <w:sz w:val="20"/>
          <w:szCs w:val="20"/>
        </w:rPr>
        <w:t xml:space="preserve"> Rel-15</w:t>
      </w:r>
      <w:r>
        <w:rPr>
          <w:rFonts w:ascii="Times New Roman" w:hAnsi="Times New Roman" w:cs="Times New Roman"/>
          <w:sz w:val="20"/>
          <w:szCs w:val="20"/>
        </w:rPr>
        <w:t xml:space="preserve"> </w:t>
      </w:r>
      <w:r w:rsidR="001E3E39">
        <w:rPr>
          <w:rFonts w:ascii="Times New Roman" w:hAnsi="Times New Roman" w:cs="Times New Roman"/>
          <w:sz w:val="20"/>
          <w:szCs w:val="20"/>
        </w:rPr>
        <w:t>2Tx rank-1 codebook are shown here from TS 38.211.</w:t>
      </w:r>
    </w:p>
    <w:p w:rsidR="001E3E39" w:rsidRDefault="001E3E39" w:rsidP="001E3E39">
      <w:pPr>
        <w:pStyle w:val="TH"/>
        <w:rPr>
          <w:rFonts w:eastAsia="Times New Roman" w:cs="Times New Roman"/>
          <w:sz w:val="20"/>
          <w:szCs w:val="20"/>
        </w:rPr>
      </w:pPr>
      <w:r>
        <w:t xml:space="preserve">Table 6.3.1.5-1: Precoding matrix </w:t>
      </w:r>
      <w:r>
        <w:rPr>
          <w:rFonts w:eastAsia="Times New Roman" w:cs="Times New Roman"/>
          <w:position w:val="-6"/>
          <w:sz w:val="20"/>
          <w:szCs w:val="20"/>
        </w:rPr>
        <w:object w:dxaOrig="252" w:dyaOrig="240">
          <v:shape id="_x0000_i1026" type="#_x0000_t75" style="width:12.75pt;height:12pt" o:ole="">
            <v:imagedata r:id="rId14" o:title=""/>
          </v:shape>
          <o:OLEObject Type="Embed" ProgID="Equation.3" ShapeID="_x0000_i1026" DrawAspect="Content" ObjectID="_1618422871" r:id="rId15"/>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56"/>
        <w:gridCol w:w="851"/>
        <w:gridCol w:w="1140"/>
      </w:tblGrid>
      <w:tr w:rsidR="001E3E39" w:rsidTr="007527EB">
        <w:trPr>
          <w:jc w:val="center"/>
        </w:trPr>
        <w:tc>
          <w:tcPr>
            <w:tcW w:w="1229"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H"/>
              <w:rPr>
                <w:rFonts w:eastAsia="Batang"/>
              </w:rPr>
            </w:pPr>
            <w:r>
              <w:rPr>
                <w:rFonts w:eastAsia="Batang" w:cs="Times New Roman"/>
                <w:szCs w:val="20"/>
              </w:rPr>
              <w:object w:dxaOrig="264" w:dyaOrig="240">
                <v:shape id="_x0000_i1027" type="#_x0000_t75" style="width:12.75pt;height:12pt" o:ole="">
                  <v:imagedata r:id="rId16" o:title=""/>
                </v:shape>
                <o:OLEObject Type="Embed" ProgID="Equation.3" ShapeID="_x0000_i1027" DrawAspect="Content" ObjectID="_1618422872" r:id="rId17"/>
              </w:object>
            </w:r>
            <w:r>
              <w:rPr>
                <w:rFonts w:eastAsia="Batang"/>
              </w:rPr>
              <w:br/>
              <w:t>(ordered from left to right in increasing order of TPMI index)</w:t>
            </w:r>
          </w:p>
        </w:tc>
      </w:tr>
      <w:tr w:rsidR="001E3E39" w:rsidTr="007527EB">
        <w:trPr>
          <w:jc w:val="center"/>
        </w:trPr>
        <w:tc>
          <w:tcPr>
            <w:tcW w:w="1229"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cs="Times New Roman"/>
                <w:position w:val="-26"/>
                <w:szCs w:val="20"/>
              </w:rPr>
              <w:object w:dxaOrig="648" w:dyaOrig="612">
                <v:shape id="_x0000_i1028" type="#_x0000_t75" style="width:32.25pt;height:30.75pt" o:ole="">
                  <v:imagedata r:id="rId18" o:title=""/>
                </v:shape>
                <o:OLEObject Type="Embed" ProgID="Equation.3" ShapeID="_x0000_i1028" DrawAspect="Content" ObjectID="_1618422873" r:id="rId19"/>
              </w:object>
            </w:r>
          </w:p>
        </w:tc>
        <w:tc>
          <w:tcPr>
            <w:tcW w:w="999"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cs="Times New Roman"/>
                <w:position w:val="-26"/>
                <w:szCs w:val="20"/>
              </w:rPr>
              <w:object w:dxaOrig="648" w:dyaOrig="612">
                <v:shape id="_x0000_i1029" type="#_x0000_t75" style="width:32.25pt;height:30.75pt" o:ole="">
                  <v:imagedata r:id="rId20" o:title=""/>
                </v:shape>
                <o:OLEObject Type="Embed" ProgID="Equation.3" ShapeID="_x0000_i1029" DrawAspect="Content" ObjectID="_1618422874" r:id="rId21"/>
              </w:object>
            </w:r>
          </w:p>
        </w:tc>
        <w:tc>
          <w:tcPr>
            <w:tcW w:w="906"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noProof/>
                <w:lang w:eastAsia="en-GB"/>
              </w:rPr>
              <w:drawing>
                <wp:inline distT="0" distB="0" distL="0" distR="0" wp14:anchorId="5A88250F" wp14:editId="34028904">
                  <wp:extent cx="408940" cy="387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noProof/>
                <w:lang w:eastAsia="en-GB"/>
              </w:rPr>
              <w:drawing>
                <wp:inline distT="0" distB="0" distL="0" distR="0" wp14:anchorId="604F2CC0" wp14:editId="5874BAD5">
                  <wp:extent cx="498475"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noProof/>
                <w:lang w:eastAsia="en-GB"/>
              </w:rPr>
              <w:drawing>
                <wp:inline distT="0" distB="0" distL="0" distR="0" wp14:anchorId="11306B9A" wp14:editId="099CADD8">
                  <wp:extent cx="429260" cy="38798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rPr>
                <w:rFonts w:eastAsia="Batang"/>
              </w:rPr>
            </w:pPr>
            <w:r>
              <w:rPr>
                <w:rFonts w:eastAsia="Batang"/>
                <w:noProof/>
                <w:lang w:eastAsia="en-GB"/>
              </w:rPr>
              <w:drawing>
                <wp:inline distT="0" distB="0" distL="0" distR="0" wp14:anchorId="5AC5E21A" wp14:editId="747FE6D8">
                  <wp:extent cx="526415" cy="38798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rPr>
                <w:rFonts w:eastAsia="Batang"/>
              </w:rPr>
            </w:pPr>
            <w:r>
              <w:t>-</w:t>
            </w:r>
          </w:p>
        </w:tc>
      </w:tr>
    </w:tbl>
    <w:p w:rsidR="001E3E39" w:rsidRDefault="001E3E39" w:rsidP="001E3E39">
      <w:pPr>
        <w:rPr>
          <w:rFonts w:ascii="Times New Roman" w:hAnsi="Times New Roman" w:cs="Times New Roman"/>
          <w:sz w:val="20"/>
          <w:szCs w:val="20"/>
        </w:rPr>
      </w:pPr>
    </w:p>
    <w:p w:rsidR="001E3E39" w:rsidRPr="008C5EF3" w:rsidRDefault="001E3E39" w:rsidP="001E3E39">
      <w:pPr>
        <w:rPr>
          <w:rFonts w:ascii="Times New Roman" w:hAnsi="Times New Roman" w:cs="Times New Roman"/>
          <w:sz w:val="20"/>
          <w:szCs w:val="20"/>
        </w:rPr>
      </w:pPr>
      <w:r>
        <w:rPr>
          <w:rFonts w:ascii="Times New Roman" w:hAnsi="Times New Roman" w:cs="Times New Roman"/>
          <w:sz w:val="20"/>
          <w:szCs w:val="20"/>
        </w:rPr>
        <w:t>In TS 38.212, we have this “precoding information and number of layers” in DCI format 0_1 to specify UE precoding operation with different coherence levels.</w:t>
      </w:r>
    </w:p>
    <w:p w:rsidR="001E3E39" w:rsidRDefault="001E3E39" w:rsidP="001E3E39">
      <w:pPr>
        <w:pStyle w:val="TH"/>
        <w:overflowPunct w:val="0"/>
        <w:autoSpaceDE w:val="0"/>
        <w:autoSpaceDN w:val="0"/>
        <w:adjustRightInd w:val="0"/>
        <w:textAlignment w:val="baseline"/>
        <w:rPr>
          <w:rFonts w:eastAsia="SimSun" w:cs="Times New Roman"/>
          <w:sz w:val="20"/>
          <w:szCs w:val="20"/>
        </w:rPr>
      </w:pPr>
      <w:r>
        <w:t xml:space="preserve">Table 7.3.1.1.2-5: Precoding information and number of layers, for 2 antenna ports, if </w:t>
      </w:r>
      <w:r>
        <w:rPr>
          <w:i/>
        </w:rPr>
        <w:t>transformPrecoder= enabled</w:t>
      </w:r>
      <w:r>
        <w:t xml:space="preserve">, or if </w:t>
      </w:r>
      <w:r>
        <w:rPr>
          <w:i/>
        </w:rPr>
        <w:t xml:space="preserve">transformPrecoder= disabled </w:t>
      </w:r>
      <w:r>
        <w:t>and</w:t>
      </w:r>
      <w:r>
        <w:rPr>
          <w:i/>
          <w:iCs/>
        </w:rPr>
        <w:t xml:space="preserve"> maxRank</w:t>
      </w:r>
      <w:r>
        <w:rPr>
          <w:iCs/>
        </w:rPr>
        <w:t xml:space="preserve"> = 1 (</w:t>
      </w:r>
      <w:r w:rsidRPr="00A57414">
        <w:rPr>
          <w:i/>
          <w:iCs/>
        </w:rPr>
        <w:t>The highlighted item is new proposal</w:t>
      </w:r>
      <w:r>
        <w:rPr>
          <w:iCs/>
        </w:rPr>
        <w:t>)</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1E3E39" w:rsidTr="007527EB">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rPr>
                <w:i/>
              </w:rPr>
              <w:t>codebookSubset</w:t>
            </w:r>
            <w:r>
              <w:t xml:space="preserve"> = </w:t>
            </w:r>
            <w:r>
              <w:rPr>
                <w:i/>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rPr>
                <w:i/>
              </w:rPr>
              <w:t>codebookSubset</w:t>
            </w:r>
            <w:r>
              <w:t xml:space="preserve"> = </w:t>
            </w:r>
            <w:r>
              <w:rPr>
                <w:i/>
              </w:rPr>
              <w:t>nonCoherent</w:t>
            </w: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0</w:t>
            </w:r>
          </w:p>
        </w:tc>
        <w:tc>
          <w:tcPr>
            <w:tcW w:w="266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TPMI=0</w:t>
            </w: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1</w:t>
            </w:r>
          </w:p>
        </w:tc>
        <w:tc>
          <w:tcPr>
            <w:tcW w:w="266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1</w:t>
            </w:r>
          </w:p>
        </w:tc>
        <w:tc>
          <w:tcPr>
            <w:tcW w:w="182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TPMI=1</w:t>
            </w: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2</w:t>
            </w:r>
          </w:p>
        </w:tc>
        <w:tc>
          <w:tcPr>
            <w:tcW w:w="266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1E3E39" w:rsidRPr="00A57414" w:rsidRDefault="001E3E39" w:rsidP="007527EB">
            <w:pPr>
              <w:pStyle w:val="TAC"/>
              <w:rPr>
                <w:highlight w:val="yellow"/>
              </w:rPr>
            </w:pPr>
            <w:r w:rsidRPr="00A57414">
              <w:rPr>
                <w:highlight w:val="yellow"/>
              </w:rPr>
              <w:t>2</w:t>
            </w:r>
          </w:p>
        </w:tc>
        <w:tc>
          <w:tcPr>
            <w:tcW w:w="1828" w:type="dxa"/>
            <w:tcBorders>
              <w:top w:val="single" w:sz="4" w:space="0" w:color="auto"/>
              <w:left w:val="single" w:sz="4" w:space="0" w:color="auto"/>
              <w:bottom w:val="single" w:sz="4" w:space="0" w:color="auto"/>
              <w:right w:val="single" w:sz="4" w:space="0" w:color="auto"/>
            </w:tcBorders>
            <w:vAlign w:val="center"/>
          </w:tcPr>
          <w:p w:rsidR="001E3E39" w:rsidRPr="00A57414" w:rsidRDefault="001E3E39" w:rsidP="007527EB">
            <w:pPr>
              <w:pStyle w:val="TAC"/>
              <w:rPr>
                <w:highlight w:val="yellow"/>
              </w:rPr>
            </w:pPr>
            <w:r w:rsidRPr="00A57414">
              <w:rPr>
                <w:highlight w:val="yellow"/>
              </w:rPr>
              <w:t>1 layer: TPMI=2</w:t>
            </w: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3</w:t>
            </w:r>
          </w:p>
        </w:tc>
        <w:tc>
          <w:tcPr>
            <w:tcW w:w="266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1E3E39" w:rsidRDefault="001E3E39" w:rsidP="007527EB">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1E3E39" w:rsidRDefault="001E3E39" w:rsidP="007527EB">
            <w:pPr>
              <w:pStyle w:val="TAC"/>
            </w:pP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4</w:t>
            </w:r>
          </w:p>
        </w:tc>
        <w:tc>
          <w:tcPr>
            <w:tcW w:w="266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828"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5</w:t>
            </w:r>
          </w:p>
        </w:tc>
        <w:tc>
          <w:tcPr>
            <w:tcW w:w="266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828"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r w:rsidR="001E3E39" w:rsidTr="007527EB">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6-7</w:t>
            </w:r>
          </w:p>
        </w:tc>
        <w:tc>
          <w:tcPr>
            <w:tcW w:w="266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828"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bl>
    <w:p w:rsidR="001E3E39" w:rsidRDefault="001E3E39" w:rsidP="001E3E39">
      <w:pPr>
        <w:rPr>
          <w:rFonts w:ascii="Times New Roman" w:hAnsi="Times New Roman" w:cs="Times New Roman"/>
          <w:sz w:val="20"/>
          <w:szCs w:val="20"/>
          <w:u w:val="single"/>
        </w:rPr>
      </w:pP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The “precoding information and number of layers” of DCI format 0_1 is also show here. When the non-coherent codebook is selected, there are only two TPMI=0, and 1, related to the two precoders:</w:t>
      </w:r>
    </w:p>
    <w:p w:rsidR="001E3E39" w:rsidRDefault="001E3E39" w:rsidP="001E3E39">
      <w:pPr>
        <w:jc w:val="center"/>
        <w:rPr>
          <w:rFonts w:ascii="Times New Roman" w:hAnsi="Times New Roman" w:cs="Times New Roman"/>
          <w:sz w:val="20"/>
          <w:szCs w:val="20"/>
        </w:rPr>
      </w:pPr>
      <w:r>
        <w:rPr>
          <w:rFonts w:eastAsia="Batang" w:cs="Times New Roman"/>
          <w:position w:val="-26"/>
          <w:szCs w:val="20"/>
        </w:rPr>
        <w:object w:dxaOrig="648" w:dyaOrig="612">
          <v:shape id="_x0000_i1030" type="#_x0000_t75" style="width:32.25pt;height:30.75pt" o:ole="">
            <v:imagedata r:id="rId18" o:title=""/>
          </v:shape>
          <o:OLEObject Type="Embed" ProgID="Equation.3" ShapeID="_x0000_i1030" DrawAspect="Content" ObjectID="_1618422875" r:id="rId26"/>
        </w:object>
      </w:r>
      <w:r>
        <w:rPr>
          <w:rFonts w:eastAsia="Batang" w:cs="Times New Roman"/>
          <w:szCs w:val="20"/>
        </w:rPr>
        <w:t xml:space="preserve">, </w:t>
      </w:r>
      <w:r>
        <w:rPr>
          <w:rFonts w:eastAsia="Batang" w:cs="Times New Roman"/>
          <w:position w:val="-26"/>
          <w:szCs w:val="20"/>
        </w:rPr>
        <w:object w:dxaOrig="648" w:dyaOrig="612">
          <v:shape id="_x0000_i1031" type="#_x0000_t75" style="width:32.25pt;height:30.75pt" o:ole="">
            <v:imagedata r:id="rId20" o:title=""/>
          </v:shape>
          <o:OLEObject Type="Embed" ProgID="Equation.3" ShapeID="_x0000_i1031" DrawAspect="Content" ObjectID="_1618422876" r:id="rId27"/>
        </w:object>
      </w: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 xml:space="preserve">We may adjust the codebook to let non-coherent codebook also supports this precoder </w:t>
      </w:r>
    </w:p>
    <w:p w:rsidR="001E3E39" w:rsidRDefault="001E3E39" w:rsidP="001E3E39">
      <w:pPr>
        <w:jc w:val="center"/>
        <w:rPr>
          <w:rFonts w:ascii="Times New Roman" w:hAnsi="Times New Roman" w:cs="Times New Roman"/>
          <w:sz w:val="20"/>
          <w:szCs w:val="20"/>
        </w:rPr>
      </w:pPr>
      <w:r>
        <w:rPr>
          <w:rFonts w:eastAsia="Batang"/>
          <w:noProof/>
          <w:lang w:eastAsia="en-GB"/>
        </w:rPr>
        <w:drawing>
          <wp:inline distT="0" distB="0" distL="0" distR="0" wp14:anchorId="69C7DFC8" wp14:editId="33E0EA7A">
            <wp:extent cx="408940"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rsidR="001E3E39" w:rsidRDefault="001E3E39" w:rsidP="001E3E39">
      <w:pPr>
        <w:jc w:val="both"/>
        <w:rPr>
          <w:rFonts w:ascii="Times New Roman" w:hAnsi="Times New Roman" w:cs="Times New Roman"/>
          <w:sz w:val="20"/>
          <w:szCs w:val="20"/>
        </w:rPr>
      </w:pPr>
      <w:r w:rsidRPr="00641FCC">
        <w:rPr>
          <w:rFonts w:ascii="Times New Roman" w:hAnsi="Times New Roman" w:cs="Times New Roman"/>
          <w:sz w:val="20"/>
          <w:szCs w:val="20"/>
        </w:rPr>
        <w:t>with TPMI=2</w:t>
      </w:r>
      <w:r>
        <w:rPr>
          <w:rFonts w:ascii="Times New Roman" w:hAnsi="Times New Roman" w:cs="Times New Roman"/>
          <w:sz w:val="20"/>
          <w:szCs w:val="20"/>
        </w:rPr>
        <w:t xml:space="preserve"> for single layer transmission. With this approach, UE can still use their two Tx ports for rank-1 transmission even though these two Tx ports are not coherent. If the UE has its maximum power limit at 20dBm per Tx port, the full 23dBm transmission power can be reached with two non-coherent transmission. Similar approach can be extended to other ranks and 4Tx-port transmission.</w:t>
      </w:r>
    </w:p>
    <w:p w:rsidR="001E3E39" w:rsidRPr="00E74C89" w:rsidRDefault="001E3E39" w:rsidP="001E3E39">
      <w:pPr>
        <w:rPr>
          <w:rFonts w:ascii="Times New Roman" w:hAnsi="Times New Roman" w:cs="Times New Roman"/>
          <w:sz w:val="20"/>
          <w:szCs w:val="20"/>
        </w:rPr>
      </w:pPr>
      <w:r>
        <w:rPr>
          <w:rFonts w:ascii="Times New Roman" w:hAnsi="Times New Roman" w:cs="Times New Roman"/>
          <w:sz w:val="20"/>
          <w:szCs w:val="20"/>
        </w:rPr>
        <w:lastRenderedPageBreak/>
        <w:t>The cost is the expanding of the size of non-coherent codebook size. In the 2Tx rank-1 transmission case, one more precoder will be added, which will increase the size of “precoding information and number of layers” in DCI from 1-bit to 2-bits.</w:t>
      </w:r>
    </w:p>
    <w:p w:rsidR="00584B2A" w:rsidRDefault="00584B2A" w:rsidP="001E3E39">
      <w:pPr>
        <w:jc w:val="both"/>
        <w:rPr>
          <w:rFonts w:ascii="Times New Roman" w:hAnsi="Times New Roman" w:cs="Times New Roman"/>
          <w:kern w:val="2"/>
          <w:sz w:val="20"/>
          <w:szCs w:val="20"/>
        </w:rPr>
      </w:pPr>
      <w:r>
        <w:rPr>
          <w:rFonts w:ascii="Times New Roman" w:hAnsi="Times New Roman" w:cs="Times New Roman"/>
          <w:sz w:val="20"/>
          <w:szCs w:val="20"/>
        </w:rPr>
        <w:t xml:space="preserve">One alternative, as proposed in </w:t>
      </w:r>
      <w:r>
        <w:rPr>
          <w:rFonts w:ascii="Times New Roman" w:hAnsi="Times New Roman" w:cs="Times New Roman"/>
          <w:kern w:val="2"/>
          <w:sz w:val="20"/>
          <w:szCs w:val="20"/>
        </w:rPr>
        <w:t>R1-1905911, calls that:</w:t>
      </w:r>
    </w:p>
    <w:p w:rsidR="00584B2A" w:rsidRPr="00A177BA" w:rsidRDefault="00584B2A" w:rsidP="00584B2A">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Alt2: All of the </w:t>
      </w:r>
      <w:r>
        <w:rPr>
          <w:rFonts w:ascii="Times New Roman" w:hAnsi="Times New Roman" w:cs="Times New Roman" w:hint="eastAsia"/>
          <w:sz w:val="20"/>
          <w:szCs w:val="20"/>
        </w:rPr>
        <w:t>non-antenna selection</w:t>
      </w:r>
      <w:r>
        <w:rPr>
          <w:rFonts w:ascii="Times New Roman" w:hAnsi="Times New Roman" w:cs="Times New Roman"/>
          <w:sz w:val="20"/>
          <w:szCs w:val="20"/>
        </w:rPr>
        <w:t xml:space="preserve"> TPMI precoders are supported</w:t>
      </w:r>
    </w:p>
    <w:p w:rsidR="00584B2A" w:rsidRDefault="00584B2A" w:rsidP="001E3E39">
      <w:pPr>
        <w:jc w:val="both"/>
        <w:rPr>
          <w:rFonts w:ascii="Times New Roman" w:hAnsi="Times New Roman" w:cs="Times New Roman"/>
          <w:sz w:val="20"/>
          <w:szCs w:val="20"/>
        </w:rPr>
      </w:pPr>
      <w:r>
        <w:rPr>
          <w:rFonts w:ascii="Times New Roman" w:hAnsi="Times New Roman" w:cs="Times New Roman"/>
          <w:sz w:val="20"/>
          <w:szCs w:val="20"/>
        </w:rPr>
        <w:t>This indicates that other TPMI choices, such as [1, -1], [1, j], and [1 -1], shall be included for the noncoherent case as well. Because of the noncoherent nature of 2Tx ports, UE won’t be able to control the relative phase between the two Tx ports. It is not necessary to include these precoders, other than single [1, 1] precoder. There is no need to support “all of the non-antenna selection TPMI precoders”.</w:t>
      </w: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For 4Tx rank-1 operation, we can follow the similar approach to include necessary precoders for partial/non-coherent codebook. One solution is to revise Table 7.3.1.1.2-3 of TS 38.212 with:</w:t>
      </w:r>
    </w:p>
    <w:p w:rsidR="001E3E39" w:rsidRPr="00A57414" w:rsidRDefault="001E3E39" w:rsidP="001E3E39">
      <w:pPr>
        <w:pStyle w:val="TH"/>
        <w:overflowPunct w:val="0"/>
        <w:autoSpaceDE w:val="0"/>
        <w:autoSpaceDN w:val="0"/>
        <w:adjustRightInd w:val="0"/>
        <w:textAlignment w:val="baseline"/>
        <w:rPr>
          <w:i/>
        </w:rPr>
      </w:pPr>
      <w:r>
        <w:t xml:space="preserve">Table 7.3.1.1.2-3: Precoding information and number of layers for 4 antenna ports, if </w:t>
      </w:r>
      <w:r>
        <w:rPr>
          <w:i/>
        </w:rPr>
        <w:t>transformPrecoder= enabled</w:t>
      </w:r>
      <w:r>
        <w:t xml:space="preserve">, or if </w:t>
      </w:r>
      <w:r>
        <w:rPr>
          <w:i/>
        </w:rPr>
        <w:t>transformPrecoder=disabled</w:t>
      </w:r>
      <w:r>
        <w:t xml:space="preserve"> and </w:t>
      </w:r>
      <w:r>
        <w:rPr>
          <w:i/>
          <w:iCs/>
        </w:rPr>
        <w:t>maxRank</w:t>
      </w:r>
      <w:r>
        <w:rPr>
          <w:iCs/>
        </w:rPr>
        <w:t xml:space="preserve"> = 1 (</w:t>
      </w:r>
      <w:r>
        <w:rPr>
          <w:i/>
          <w:iCs/>
        </w:rPr>
        <w:t>Highlighted items are new proposals)</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1E3E39" w:rsidTr="007527EB">
        <w:trPr>
          <w:trHeight w:val="424"/>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rPr>
                <w:i/>
              </w:rPr>
              <w:t>codebookSubset</w:t>
            </w:r>
            <w:r>
              <w:t xml:space="preserve"> = </w:t>
            </w:r>
            <w:r>
              <w:rPr>
                <w:i/>
              </w:rPr>
              <w:t>fullyAndPartialAndNonCoherent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rPr>
                <w:i/>
              </w:rPr>
              <w:t>codebookSubset</w:t>
            </w:r>
            <w:r>
              <w:t xml:space="preserve">= </w:t>
            </w:r>
            <w:r>
              <w:rPr>
                <w:i/>
              </w:rPr>
              <w:t>partialAndNonCoherent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rPr>
                <w:i/>
              </w:rPr>
              <w:t>codebookSubset</w:t>
            </w:r>
            <w:r>
              <w:t xml:space="preserve">= </w:t>
            </w:r>
            <w:r>
              <w:rPr>
                <w:i/>
              </w:rPr>
              <w:t>nonCoherent</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0</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TPMI=0</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TPMI=0</w:t>
            </w:r>
          </w:p>
        </w:tc>
        <w:tc>
          <w:tcPr>
            <w:tcW w:w="924"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0</w:t>
            </w:r>
          </w:p>
        </w:tc>
        <w:tc>
          <w:tcPr>
            <w:tcW w:w="1786"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TPMI=0</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1</w:t>
            </w:r>
          </w:p>
        </w:tc>
        <w:tc>
          <w:tcPr>
            <w:tcW w:w="275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TPMI=1</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1</w:t>
            </w:r>
          </w:p>
        </w:tc>
        <w:tc>
          <w:tcPr>
            <w:tcW w:w="209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TPMI=1</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1</w:t>
            </w:r>
          </w:p>
        </w:tc>
        <w:tc>
          <w:tcPr>
            <w:tcW w:w="1786"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TPMI=1</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w:t>
            </w:r>
          </w:p>
        </w:tc>
        <w:tc>
          <w:tcPr>
            <w:tcW w:w="275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w:t>
            </w:r>
          </w:p>
        </w:tc>
        <w:tc>
          <w:tcPr>
            <w:tcW w:w="209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3</w:t>
            </w:r>
          </w:p>
        </w:tc>
        <w:tc>
          <w:tcPr>
            <w:tcW w:w="275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TPMI=3</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3</w:t>
            </w:r>
          </w:p>
        </w:tc>
        <w:tc>
          <w:tcPr>
            <w:tcW w:w="2098"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TPMI=3</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E3E39" w:rsidRDefault="001E3E39" w:rsidP="007527EB">
            <w:pPr>
              <w:pStyle w:val="TAC"/>
            </w:pPr>
            <w:r>
              <w:t>3</w:t>
            </w:r>
          </w:p>
        </w:tc>
        <w:tc>
          <w:tcPr>
            <w:tcW w:w="1786" w:type="dxa"/>
            <w:tcBorders>
              <w:top w:val="single" w:sz="4" w:space="0" w:color="auto"/>
              <w:left w:val="single" w:sz="4" w:space="0" w:color="auto"/>
              <w:bottom w:val="single" w:sz="4" w:space="0" w:color="auto"/>
              <w:right w:val="single" w:sz="4" w:space="0" w:color="auto"/>
            </w:tcBorders>
            <w:vAlign w:val="center"/>
            <w:hideMark/>
          </w:tcPr>
          <w:p w:rsidR="001E3E39" w:rsidRDefault="001E3E39" w:rsidP="007527EB">
            <w:pPr>
              <w:pStyle w:val="TAC"/>
            </w:pPr>
            <w:r>
              <w:t>1 layer: TPMI=3</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4</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TPMI=4</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4</w:t>
            </w:r>
          </w:p>
        </w:tc>
        <w:tc>
          <w:tcPr>
            <w:tcW w:w="209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TPMI=4</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Pr="00EC4D55" w:rsidRDefault="001E3E39" w:rsidP="007527EB">
            <w:pPr>
              <w:pStyle w:val="TAC"/>
              <w:rPr>
                <w:highlight w:val="yellow"/>
              </w:rPr>
            </w:pPr>
            <w:r w:rsidRPr="00EC4D55">
              <w:rPr>
                <w:highlight w:val="yellow"/>
              </w:rPr>
              <w:t>4</w:t>
            </w:r>
          </w:p>
        </w:tc>
        <w:tc>
          <w:tcPr>
            <w:tcW w:w="1786" w:type="dxa"/>
            <w:tcBorders>
              <w:top w:val="single" w:sz="4" w:space="0" w:color="auto"/>
              <w:left w:val="single" w:sz="4" w:space="0" w:color="auto"/>
              <w:bottom w:val="single" w:sz="4" w:space="0" w:color="auto"/>
              <w:right w:val="single" w:sz="4" w:space="0" w:color="auto"/>
            </w:tcBorders>
          </w:tcPr>
          <w:p w:rsidR="001E3E39" w:rsidRPr="00EC4D55" w:rsidRDefault="001E3E39" w:rsidP="007527EB">
            <w:pPr>
              <w:pStyle w:val="TAC"/>
              <w:rPr>
                <w:highlight w:val="yellow"/>
              </w:rPr>
            </w:pPr>
            <w:r w:rsidRPr="00EC4D55">
              <w:rPr>
                <w:highlight w:val="yellow"/>
              </w:rPr>
              <w:t>1 layer: TPMI=4</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w:t>
            </w:r>
          </w:p>
        </w:tc>
        <w:tc>
          <w:tcPr>
            <w:tcW w:w="209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Pr="00EC4D55" w:rsidRDefault="001E3E39" w:rsidP="007527EB">
            <w:pPr>
              <w:pStyle w:val="TAC"/>
              <w:rPr>
                <w:highlight w:val="yellow"/>
              </w:rPr>
            </w:pPr>
            <w:r w:rsidRPr="00EC4D55">
              <w:rPr>
                <w:highlight w:val="yellow"/>
              </w:rPr>
              <w:t>5</w:t>
            </w:r>
          </w:p>
        </w:tc>
        <w:tc>
          <w:tcPr>
            <w:tcW w:w="1786" w:type="dxa"/>
            <w:tcBorders>
              <w:top w:val="single" w:sz="4" w:space="0" w:color="auto"/>
              <w:left w:val="single" w:sz="4" w:space="0" w:color="auto"/>
              <w:bottom w:val="single" w:sz="4" w:space="0" w:color="auto"/>
              <w:right w:val="single" w:sz="4" w:space="0" w:color="auto"/>
            </w:tcBorders>
          </w:tcPr>
          <w:p w:rsidR="001E3E39" w:rsidRPr="00EC4D55" w:rsidRDefault="001E3E39" w:rsidP="007527EB">
            <w:pPr>
              <w:pStyle w:val="TAC"/>
              <w:rPr>
                <w:highlight w:val="yellow"/>
              </w:rPr>
            </w:pPr>
            <w:r w:rsidRPr="00EC4D55">
              <w:rPr>
                <w:highlight w:val="yellow"/>
              </w:rPr>
              <w:t>1 layer: TPMI=8</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11</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TPMI=11</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11</w:t>
            </w:r>
          </w:p>
        </w:tc>
        <w:tc>
          <w:tcPr>
            <w:tcW w:w="209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 TPMI=11</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Pr="00EC4D55" w:rsidRDefault="001E3E39" w:rsidP="007527EB">
            <w:pPr>
              <w:pStyle w:val="TAC"/>
              <w:rPr>
                <w:highlight w:val="yellow"/>
              </w:rPr>
            </w:pPr>
            <w:r w:rsidRPr="00EC4D55">
              <w:rPr>
                <w:highlight w:val="yellow"/>
              </w:rPr>
              <w:t>6</w:t>
            </w:r>
          </w:p>
        </w:tc>
        <w:tc>
          <w:tcPr>
            <w:tcW w:w="1786" w:type="dxa"/>
            <w:tcBorders>
              <w:top w:val="single" w:sz="4" w:space="0" w:color="auto"/>
              <w:left w:val="single" w:sz="4" w:space="0" w:color="auto"/>
              <w:bottom w:val="single" w:sz="4" w:space="0" w:color="auto"/>
              <w:right w:val="single" w:sz="4" w:space="0" w:color="auto"/>
            </w:tcBorders>
          </w:tcPr>
          <w:p w:rsidR="001E3E39" w:rsidRPr="00EC4D55" w:rsidRDefault="001E3E39" w:rsidP="007527EB">
            <w:pPr>
              <w:pStyle w:val="TAC"/>
              <w:rPr>
                <w:highlight w:val="yellow"/>
              </w:rPr>
            </w:pPr>
            <w:r w:rsidRPr="00EC4D55">
              <w:rPr>
                <w:highlight w:val="yellow"/>
              </w:rPr>
              <w:t>1 layer: TPMI=12</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12</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layers: TPMI=12</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1E3E39" w:rsidRPr="00EC4D55" w:rsidRDefault="001E3E39" w:rsidP="007527EB">
            <w:pPr>
              <w:pStyle w:val="TAC"/>
              <w:rPr>
                <w:strike/>
                <w:highlight w:val="yellow"/>
              </w:rPr>
            </w:pPr>
            <w:r w:rsidRPr="00EC4D55">
              <w:rPr>
                <w:strike/>
                <w:highlight w:val="yellow"/>
              </w:rPr>
              <w:t>12-15</w:t>
            </w:r>
          </w:p>
        </w:tc>
        <w:tc>
          <w:tcPr>
            <w:tcW w:w="2098" w:type="dxa"/>
            <w:tcBorders>
              <w:top w:val="single" w:sz="4" w:space="0" w:color="auto"/>
              <w:left w:val="single" w:sz="4" w:space="0" w:color="auto"/>
              <w:bottom w:val="single" w:sz="4" w:space="0" w:color="auto"/>
              <w:right w:val="single" w:sz="4" w:space="0" w:color="auto"/>
            </w:tcBorders>
            <w:hideMark/>
          </w:tcPr>
          <w:p w:rsidR="001E3E39" w:rsidRPr="00EC4D55" w:rsidRDefault="001E3E39" w:rsidP="007527EB">
            <w:pPr>
              <w:pStyle w:val="TAC"/>
              <w:rPr>
                <w:strike/>
                <w:highlight w:val="yellow"/>
              </w:rPr>
            </w:pPr>
            <w:r w:rsidRPr="00EC4D55">
              <w:rPr>
                <w:strike/>
                <w:highlight w:val="yellow"/>
              </w:rPr>
              <w:t>reserved</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Pr="00EC4D55" w:rsidRDefault="001E3E39" w:rsidP="007527EB">
            <w:pPr>
              <w:pStyle w:val="TAC"/>
              <w:rPr>
                <w:highlight w:val="yellow"/>
              </w:rPr>
            </w:pPr>
            <w:r w:rsidRPr="00EC4D55">
              <w:rPr>
                <w:highlight w:val="yellow"/>
              </w:rPr>
              <w:t>7</w:t>
            </w:r>
          </w:p>
        </w:tc>
        <w:tc>
          <w:tcPr>
            <w:tcW w:w="1786" w:type="dxa"/>
            <w:tcBorders>
              <w:top w:val="single" w:sz="4" w:space="0" w:color="auto"/>
              <w:left w:val="single" w:sz="4" w:space="0" w:color="auto"/>
              <w:bottom w:val="single" w:sz="4" w:space="0" w:color="auto"/>
              <w:right w:val="single" w:sz="4" w:space="0" w:color="auto"/>
            </w:tcBorders>
          </w:tcPr>
          <w:p w:rsidR="001E3E39" w:rsidRPr="00EC4D55" w:rsidRDefault="001E3E39" w:rsidP="007527EB">
            <w:pPr>
              <w:pStyle w:val="TAC"/>
              <w:rPr>
                <w:highlight w:val="yellow"/>
              </w:rPr>
            </w:pPr>
            <w:r w:rsidRPr="00EC4D55">
              <w:rPr>
                <w:highlight w:val="yellow"/>
              </w:rPr>
              <w:t>reserved</w:t>
            </w: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1E3E39" w:rsidRPr="00EC4D55" w:rsidRDefault="001E3E39" w:rsidP="007527EB">
            <w:pPr>
              <w:pStyle w:val="TAC"/>
              <w:rPr>
                <w:highlight w:val="yellow"/>
              </w:rPr>
            </w:pPr>
            <w:r w:rsidRPr="00EC4D55">
              <w:rPr>
                <w:highlight w:val="yellow"/>
              </w:rPr>
              <w:t>12</w:t>
            </w:r>
          </w:p>
        </w:tc>
        <w:tc>
          <w:tcPr>
            <w:tcW w:w="2098" w:type="dxa"/>
            <w:tcBorders>
              <w:top w:val="single" w:sz="4" w:space="0" w:color="auto"/>
              <w:left w:val="single" w:sz="4" w:space="0" w:color="auto"/>
              <w:bottom w:val="single" w:sz="4" w:space="0" w:color="auto"/>
              <w:right w:val="single" w:sz="4" w:space="0" w:color="auto"/>
            </w:tcBorders>
          </w:tcPr>
          <w:p w:rsidR="001E3E39" w:rsidRPr="00EC4D55" w:rsidRDefault="001E3E39" w:rsidP="007527EB">
            <w:pPr>
              <w:pStyle w:val="TAC"/>
              <w:rPr>
                <w:highlight w:val="yellow"/>
              </w:rPr>
            </w:pPr>
            <w:r w:rsidRPr="00EC4D55">
              <w:rPr>
                <w:highlight w:val="yellow"/>
              </w:rPr>
              <w:t>1 layer: TPMI=12</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786"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27</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1 layers: TPMI=27</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2098"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786"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r w:rsidR="001E3E39" w:rsidTr="007527EB">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1E3E39" w:rsidRDefault="001E3E39" w:rsidP="007527EB">
            <w:pPr>
              <w:pStyle w:val="TAC"/>
            </w:pPr>
            <w:r>
              <w:t>28-31</w:t>
            </w:r>
          </w:p>
        </w:tc>
        <w:tc>
          <w:tcPr>
            <w:tcW w:w="2758" w:type="dxa"/>
            <w:tcBorders>
              <w:top w:val="single" w:sz="4" w:space="0" w:color="auto"/>
              <w:left w:val="single" w:sz="4" w:space="0" w:color="auto"/>
              <w:bottom w:val="single" w:sz="4" w:space="0" w:color="auto"/>
              <w:right w:val="single" w:sz="4" w:space="0" w:color="auto"/>
            </w:tcBorders>
            <w:hideMark/>
          </w:tcPr>
          <w:p w:rsidR="001E3E39" w:rsidRDefault="001E3E39" w:rsidP="007527EB">
            <w:pPr>
              <w:pStyle w:val="TAC"/>
            </w:pPr>
            <w:r>
              <w:t>reserved</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2098"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1E3E39" w:rsidRDefault="001E3E39" w:rsidP="007527EB">
            <w:pPr>
              <w:pStyle w:val="TAC"/>
            </w:pPr>
          </w:p>
        </w:tc>
        <w:tc>
          <w:tcPr>
            <w:tcW w:w="1786" w:type="dxa"/>
            <w:tcBorders>
              <w:top w:val="single" w:sz="4" w:space="0" w:color="auto"/>
              <w:left w:val="single" w:sz="4" w:space="0" w:color="auto"/>
              <w:bottom w:val="single" w:sz="4" w:space="0" w:color="auto"/>
              <w:right w:val="single" w:sz="4" w:space="0" w:color="auto"/>
            </w:tcBorders>
          </w:tcPr>
          <w:p w:rsidR="001E3E39" w:rsidRDefault="001E3E39" w:rsidP="007527EB">
            <w:pPr>
              <w:pStyle w:val="TAC"/>
            </w:pPr>
          </w:p>
        </w:tc>
      </w:tr>
    </w:tbl>
    <w:p w:rsidR="001E3E39" w:rsidRDefault="001E3E39" w:rsidP="001E3E39">
      <w:pPr>
        <w:rPr>
          <w:szCs w:val="20"/>
        </w:rPr>
      </w:pP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where highlighted lines are new items to be included for partial/non-coherence capable UE operation. In this case, TPMI=4, layer-1 corresponds to this precoder</w:t>
      </w:r>
    </w:p>
    <w:p w:rsidR="001E3E39" w:rsidRDefault="001E3E39" w:rsidP="001E3E39">
      <w:pPr>
        <w:jc w:val="center"/>
        <w:rPr>
          <w:rFonts w:ascii="Times New Roman" w:hAnsi="Times New Roman" w:cs="Times New Roman"/>
          <w:sz w:val="20"/>
          <w:szCs w:val="20"/>
        </w:rPr>
      </w:pPr>
      <w:r>
        <w:object w:dxaOrig="516" w:dyaOrig="1212">
          <v:shape id="_x0000_i1032" type="#_x0000_t75" style="width:25.5pt;height:60.75pt" o:ole="">
            <v:imagedata r:id="rId28" o:title=""/>
          </v:shape>
          <o:OLEObject Type="Embed" ProgID="Equation.3" ShapeID="_x0000_i1032" DrawAspect="Content" ObjectID="_1618422877" r:id="rId29"/>
        </w:object>
      </w: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for non-coherent Tx, where two of UE’s Tx chain can be used for 1-layer transmission. Also TPMI=12 is related to</w:t>
      </w:r>
    </w:p>
    <w:p w:rsidR="001E3E39" w:rsidRDefault="001E3E39" w:rsidP="001E3E39">
      <w:pPr>
        <w:jc w:val="center"/>
        <w:rPr>
          <w:rFonts w:ascii="Times New Roman" w:hAnsi="Times New Roman" w:cs="Times New Roman"/>
          <w:sz w:val="20"/>
          <w:szCs w:val="20"/>
        </w:rPr>
      </w:pPr>
      <w:r>
        <w:rPr>
          <w:position w:val="-56"/>
        </w:rPr>
        <w:object w:dxaOrig="480" w:dyaOrig="1212">
          <v:shape id="_x0000_i1033" type="#_x0000_t75" style="width:24pt;height:60.75pt" o:ole="">
            <v:imagedata r:id="rId30" o:title=""/>
          </v:shape>
          <o:OLEObject Type="Embed" ProgID="Equation.3" ShapeID="_x0000_i1033" DrawAspect="Content" ObjectID="_1618422878" r:id="rId31"/>
        </w:object>
      </w:r>
    </w:p>
    <w:p w:rsidR="001E3E39" w:rsidRDefault="001E3E39" w:rsidP="001E3E39">
      <w:pPr>
        <w:jc w:val="both"/>
        <w:rPr>
          <w:rFonts w:ascii="Times New Roman" w:hAnsi="Times New Roman" w:cs="Times New Roman"/>
          <w:sz w:val="20"/>
          <w:szCs w:val="20"/>
        </w:rPr>
      </w:pPr>
      <w:r>
        <w:rPr>
          <w:rFonts w:ascii="Times New Roman" w:hAnsi="Times New Roman" w:cs="Times New Roman"/>
          <w:sz w:val="20"/>
          <w:szCs w:val="20"/>
        </w:rPr>
        <w:t>w</w:t>
      </w:r>
      <w:r w:rsidRPr="006A0065">
        <w:rPr>
          <w:rFonts w:ascii="Times New Roman" w:hAnsi="Times New Roman" w:cs="Times New Roman"/>
          <w:sz w:val="20"/>
          <w:szCs w:val="20"/>
        </w:rPr>
        <w:t>here</w:t>
      </w:r>
      <w:r>
        <w:rPr>
          <w:rFonts w:ascii="Times New Roman" w:hAnsi="Times New Roman" w:cs="Times New Roman"/>
          <w:sz w:val="20"/>
          <w:szCs w:val="20"/>
        </w:rPr>
        <w:t xml:space="preserve"> all UE’s 4 Tx chains are combined with 1-layer transmission. This solution shall solve the full Tx power transmission issue that the partial/non-coherent UE may experience.</w:t>
      </w:r>
    </w:p>
    <w:p w:rsidR="001E3E39" w:rsidRDefault="007527EB" w:rsidP="00577EEA">
      <w:pPr>
        <w:rPr>
          <w:rFonts w:ascii="Times New Roman" w:hAnsi="Times New Roman" w:cs="Times New Roman"/>
          <w:sz w:val="20"/>
          <w:szCs w:val="20"/>
        </w:rPr>
      </w:pPr>
      <w:r>
        <w:rPr>
          <w:rFonts w:ascii="Times New Roman" w:hAnsi="Times New Roman" w:cs="Times New Roman"/>
          <w:sz w:val="20"/>
          <w:szCs w:val="20"/>
        </w:rPr>
        <w:lastRenderedPageBreak/>
        <w:t>Here is our proposal to support Alt 1 (Option 1-1)</w:t>
      </w:r>
    </w:p>
    <w:p w:rsidR="007527EB" w:rsidRPr="007527EB" w:rsidRDefault="007527EB" w:rsidP="007527EB">
      <w:pPr>
        <w:spacing w:after="0" w:line="240" w:lineRule="auto"/>
        <w:jc w:val="both"/>
        <w:rPr>
          <w:rFonts w:ascii="Times New Roman" w:hAnsi="Times New Roman" w:cs="Times New Roman"/>
          <w:b/>
          <w:sz w:val="20"/>
          <w:szCs w:val="20"/>
        </w:rPr>
      </w:pPr>
      <w:r w:rsidRPr="007527EB">
        <w:rPr>
          <w:rFonts w:ascii="Times New Roman" w:hAnsi="Times New Roman" w:cs="Times New Roman"/>
          <w:b/>
          <w:sz w:val="20"/>
          <w:szCs w:val="20"/>
        </w:rPr>
        <w:t>Proposal 1: Support a</w:t>
      </w:r>
      <w:r w:rsidRPr="007527EB">
        <w:rPr>
          <w:rFonts w:ascii="Times New Roman" w:hAnsi="Times New Roman" w:cs="Times New Roman" w:hint="eastAsia"/>
          <w:b/>
          <w:sz w:val="20"/>
          <w:szCs w:val="20"/>
        </w:rPr>
        <w:t xml:space="preserve"> </w:t>
      </w:r>
      <w:r w:rsidRPr="007527EB">
        <w:rPr>
          <w:rFonts w:ascii="Times New Roman" w:hAnsi="Times New Roman" w:cs="Times New Roman"/>
          <w:b/>
          <w:sz w:val="20"/>
          <w:szCs w:val="20"/>
        </w:rPr>
        <w:t xml:space="preserve">new codebookSubset is introduced only for the rank value(s) where full power transmission in UL is not achievable, includes the TPMI precoders in </w:t>
      </w:r>
      <w:r w:rsidRPr="007527EB">
        <w:rPr>
          <w:b/>
          <w:i/>
          <w:sz w:val="20"/>
          <w:szCs w:val="20"/>
        </w:rPr>
        <w:t>codebookSubset</w:t>
      </w:r>
      <w:r w:rsidRPr="007527EB">
        <w:rPr>
          <w:rFonts w:hint="eastAsia"/>
          <w:b/>
          <w:sz w:val="20"/>
          <w:szCs w:val="20"/>
        </w:rPr>
        <w:t xml:space="preserve"> = </w:t>
      </w:r>
      <w:r w:rsidRPr="007527EB">
        <w:rPr>
          <w:b/>
          <w:i/>
          <w:sz w:val="20"/>
          <w:szCs w:val="20"/>
        </w:rPr>
        <w:t>partialAndNonCoherent</w:t>
      </w:r>
      <w:r w:rsidRPr="007527EB">
        <w:rPr>
          <w:rFonts w:ascii="Times New Roman" w:hAnsi="Times New Roman" w:cs="Times New Roman"/>
          <w:b/>
          <w:sz w:val="20"/>
          <w:szCs w:val="20"/>
        </w:rPr>
        <w:t xml:space="preserve"> and </w:t>
      </w:r>
      <w:r w:rsidRPr="007527EB">
        <w:rPr>
          <w:b/>
          <w:i/>
          <w:sz w:val="20"/>
          <w:szCs w:val="20"/>
        </w:rPr>
        <w:t xml:space="preserve">fullyAndPartialAndNonCoherent </w:t>
      </w:r>
      <w:r w:rsidRPr="007527EB">
        <w:rPr>
          <w:rFonts w:ascii="Times New Roman" w:hAnsi="Times New Roman" w:cs="Times New Roman"/>
          <w:b/>
          <w:sz w:val="20"/>
          <w:szCs w:val="20"/>
        </w:rPr>
        <w:t>defined in Rel-15</w:t>
      </w:r>
    </w:p>
    <w:p w:rsidR="007527EB" w:rsidRPr="007527EB" w:rsidRDefault="007527EB" w:rsidP="007527EB">
      <w:pPr>
        <w:pStyle w:val="ListParagraph"/>
        <w:numPr>
          <w:ilvl w:val="0"/>
          <w:numId w:val="44"/>
        </w:numPr>
        <w:spacing w:after="0" w:line="240" w:lineRule="auto"/>
        <w:jc w:val="both"/>
        <w:rPr>
          <w:rFonts w:ascii="Times New Roman" w:hAnsi="Times New Roman" w:cs="Times New Roman"/>
          <w:b/>
          <w:sz w:val="20"/>
          <w:szCs w:val="20"/>
        </w:rPr>
      </w:pPr>
      <w:r w:rsidRPr="007527EB">
        <w:rPr>
          <w:rFonts w:ascii="Times New Roman" w:hAnsi="Times New Roman" w:cs="Times New Roman"/>
          <w:b/>
          <w:sz w:val="20"/>
          <w:szCs w:val="20"/>
        </w:rPr>
        <w:t xml:space="preserve">Alt1: Only a subset of the </w:t>
      </w:r>
      <w:r w:rsidRPr="007527EB">
        <w:rPr>
          <w:rFonts w:ascii="Times New Roman" w:hAnsi="Times New Roman" w:cs="Times New Roman" w:hint="eastAsia"/>
          <w:b/>
          <w:sz w:val="20"/>
          <w:szCs w:val="20"/>
        </w:rPr>
        <w:t xml:space="preserve">non-antenna selection </w:t>
      </w:r>
      <w:r w:rsidRPr="007527EB">
        <w:rPr>
          <w:rFonts w:ascii="Times New Roman" w:hAnsi="Times New Roman" w:cs="Times New Roman"/>
          <w:b/>
          <w:sz w:val="20"/>
          <w:szCs w:val="20"/>
        </w:rPr>
        <w:t>TPMI precoder(s) is(are) supported</w:t>
      </w:r>
    </w:p>
    <w:p w:rsidR="007527EB" w:rsidRDefault="007527EB" w:rsidP="00577EEA">
      <w:pPr>
        <w:rPr>
          <w:rFonts w:ascii="Times New Roman" w:hAnsi="Times New Roman" w:cs="Times New Roman"/>
          <w:sz w:val="20"/>
          <w:szCs w:val="20"/>
        </w:rPr>
      </w:pPr>
    </w:p>
    <w:p w:rsidR="00353071" w:rsidRDefault="00353071" w:rsidP="00353071">
      <w:pPr>
        <w:pStyle w:val="Heading2"/>
      </w:pPr>
      <w:r>
        <w:t>2.2</w:t>
      </w:r>
      <w:r>
        <w:tab/>
        <w:t>Alt 3-1 Solution: multiple SRS resource</w:t>
      </w:r>
    </w:p>
    <w:p w:rsidR="001E3E39" w:rsidRDefault="00584B2A" w:rsidP="00577EEA">
      <w:pPr>
        <w:rPr>
          <w:rFonts w:ascii="Times New Roman" w:hAnsi="Times New Roman" w:cs="Times New Roman"/>
          <w:sz w:val="20"/>
          <w:szCs w:val="20"/>
        </w:rPr>
      </w:pPr>
      <w:r>
        <w:rPr>
          <w:rFonts w:ascii="Times New Roman" w:hAnsi="Times New Roman" w:cs="Times New Roman"/>
          <w:sz w:val="20"/>
          <w:szCs w:val="20"/>
        </w:rPr>
        <w:t>This solution is using multiple SRS resource to visualize Tx ports, with these details.</w:t>
      </w:r>
    </w:p>
    <w:p w:rsidR="00584B2A" w:rsidRDefault="00584B2A" w:rsidP="00584B2A">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UE is configured with m</w:t>
      </w:r>
      <w:r w:rsidRPr="00AB2F0D">
        <w:rPr>
          <w:rFonts w:ascii="Times New Roman" w:hAnsi="Times New Roman" w:cs="Times New Roman" w:hint="eastAsia"/>
          <w:sz w:val="20"/>
          <w:szCs w:val="20"/>
        </w:rPr>
        <w:t>ultiple SRS</w:t>
      </w:r>
      <w:r w:rsidRPr="00AB2F0D">
        <w:rPr>
          <w:rFonts w:ascii="Times New Roman" w:hAnsi="Times New Roman" w:cs="Times New Roman"/>
          <w:sz w:val="20"/>
          <w:szCs w:val="20"/>
        </w:rPr>
        <w:t xml:space="preserve"> resources in a set </w:t>
      </w:r>
      <w:r>
        <w:rPr>
          <w:rFonts w:ascii="Times New Roman" w:hAnsi="Times New Roman" w:cs="Times New Roman"/>
          <w:sz w:val="20"/>
          <w:szCs w:val="20"/>
        </w:rPr>
        <w:t>each with different number of SRS ports, e.g. 1 SRS source is configured with 1 port and another SRS resource is configured with 2 ports for the UE with 2 Tx chains.</w:t>
      </w:r>
    </w:p>
    <w:p w:rsidR="00584B2A" w:rsidRPr="00AE54B8" w:rsidRDefault="00584B2A" w:rsidP="00584B2A">
      <w:pPr>
        <w:pStyle w:val="ListParagraph"/>
        <w:numPr>
          <w:ilvl w:val="2"/>
          <w:numId w:val="43"/>
        </w:numPr>
        <w:spacing w:after="0" w:line="240" w:lineRule="auto"/>
        <w:contextualSpacing w:val="0"/>
        <w:rPr>
          <w:rFonts w:ascii="Times New Roman" w:hAnsi="Times New Roman" w:cs="Times New Roman"/>
          <w:sz w:val="20"/>
          <w:szCs w:val="20"/>
          <w:lang w:eastAsia="x-none"/>
        </w:rPr>
      </w:pPr>
      <w:r w:rsidRPr="00B41770">
        <w:rPr>
          <w:rFonts w:ascii="Times New Roman" w:hAnsi="Times New Roman" w:cs="Times New Roman"/>
          <w:sz w:val="20"/>
          <w:szCs w:val="20"/>
        </w:rPr>
        <w:t>UE virtualizes Tx chains when configured with an SRS resource that has fewer ports than the number of Tx chains</w:t>
      </w:r>
      <w:r>
        <w:rPr>
          <w:rFonts w:ascii="Times New Roman" w:hAnsi="Times New Roman" w:cs="Times New Roman"/>
          <w:sz w:val="20"/>
          <w:szCs w:val="20"/>
        </w:rPr>
        <w:t>, e.g. 2 Tx chains are virtualized to transmit 1 port SRS resource</w:t>
      </w:r>
    </w:p>
    <w:p w:rsidR="00584B2A" w:rsidRPr="00FD4160" w:rsidRDefault="00584B2A" w:rsidP="00584B2A">
      <w:pPr>
        <w:pStyle w:val="ListParagraph"/>
        <w:numPr>
          <w:ilvl w:val="3"/>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lang w:eastAsia="x-none"/>
        </w:rPr>
        <w:t>Small delay CDD or other virtualization mechanism is applied in spec transparent manner</w:t>
      </w:r>
    </w:p>
    <w:p w:rsidR="00584B2A" w:rsidRDefault="00584B2A" w:rsidP="00584B2A">
      <w:pPr>
        <w:pStyle w:val="ListParagraph"/>
        <w:numPr>
          <w:ilvl w:val="2"/>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lang w:eastAsia="x-none"/>
        </w:rPr>
        <w:t>UE does not virtualize Tx chains when configured with an SRS resource with number of ports equal to the number of Tx chains, e.g. 2 Tx chains transmit 2 ports SRS resource</w:t>
      </w:r>
      <w:r w:rsidRPr="00B41770">
        <w:rPr>
          <w:rFonts w:ascii="Times New Roman" w:hAnsi="Times New Roman" w:cs="Times New Roman"/>
          <w:sz w:val="20"/>
          <w:szCs w:val="20"/>
          <w:lang w:eastAsia="x-none"/>
        </w:rPr>
        <w:t>.</w:t>
      </w:r>
    </w:p>
    <w:p w:rsidR="00584B2A" w:rsidRDefault="00584B2A" w:rsidP="00584B2A">
      <w:pPr>
        <w:ind w:left="1440" w:hanging="1440"/>
        <w:rPr>
          <w:rFonts w:ascii="Times New Roman" w:hAnsi="Times New Roman"/>
          <w:sz w:val="20"/>
          <w:szCs w:val="20"/>
        </w:rPr>
      </w:pPr>
    </w:p>
    <w:p w:rsidR="00584B2A" w:rsidRDefault="00584B2A" w:rsidP="006A4C07">
      <w:pPr>
        <w:jc w:val="both"/>
        <w:rPr>
          <w:rFonts w:ascii="Times New Roman" w:hAnsi="Times New Roman"/>
          <w:sz w:val="20"/>
          <w:szCs w:val="20"/>
        </w:rPr>
      </w:pPr>
      <w:r>
        <w:rPr>
          <w:rFonts w:ascii="Times New Roman" w:hAnsi="Times New Roman"/>
          <w:sz w:val="20"/>
          <w:szCs w:val="20"/>
        </w:rPr>
        <w:t xml:space="preserve">This approach would work for UE capability 2, when </w:t>
      </w:r>
      <w:r w:rsidR="006A4C07">
        <w:rPr>
          <w:rFonts w:ascii="Times New Roman" w:hAnsi="Times New Roman"/>
          <w:sz w:val="20"/>
          <w:szCs w:val="20"/>
        </w:rPr>
        <w:t xml:space="preserve">one SRS resource with 1 port can have 2 Tx chains or more Tx chains. This configuration is based on UE’s intention: for 2Tx case, UE can have two SRS resources, where one SRS resource is configured with 2 ports, and another SRS resource is configured with 1 port. For 4Tx case, SRS resource can be configured to have 1 port, 2 port, and/or 4 port. The “port virtualization” is implemented between the mapping of SRS resource ports to its physical Tx chains. </w:t>
      </w:r>
    </w:p>
    <w:p w:rsidR="006A4C07" w:rsidRDefault="006A4C07" w:rsidP="006A4C07">
      <w:pPr>
        <w:jc w:val="both"/>
        <w:rPr>
          <w:rFonts w:ascii="Times New Roman" w:hAnsi="Times New Roman"/>
          <w:sz w:val="20"/>
          <w:szCs w:val="20"/>
        </w:rPr>
      </w:pPr>
      <w:r>
        <w:rPr>
          <w:rFonts w:ascii="Times New Roman" w:hAnsi="Times New Roman"/>
          <w:sz w:val="20"/>
          <w:szCs w:val="20"/>
        </w:rPr>
        <w:t>This approach has its favor of no change of the codebook subset. However, it still has other potential specification impact. Operation with SRS resource, together with the maximum number of SRS resource for codebook-based transmission, is needed to be revised to accommodate this process.</w:t>
      </w:r>
    </w:p>
    <w:p w:rsidR="006A4C07" w:rsidRDefault="006A4C07" w:rsidP="006A4C07">
      <w:pPr>
        <w:jc w:val="both"/>
        <w:rPr>
          <w:rFonts w:ascii="Times New Roman" w:hAnsi="Times New Roman"/>
          <w:sz w:val="20"/>
          <w:szCs w:val="20"/>
        </w:rPr>
      </w:pPr>
    </w:p>
    <w:p w:rsidR="006A4C07" w:rsidRDefault="006A4C07" w:rsidP="006A4C07">
      <w:pPr>
        <w:pStyle w:val="Heading2"/>
      </w:pPr>
      <w:r>
        <w:t>2.3</w:t>
      </w:r>
      <w:r>
        <w:tab/>
        <w:t xml:space="preserve">Alt 3-2 Solution: </w:t>
      </w:r>
      <w:r w:rsidR="00AA389C">
        <w:t>single</w:t>
      </w:r>
      <w:r>
        <w:t xml:space="preserve"> SRS resource</w:t>
      </w:r>
      <w:r w:rsidR="00AA389C">
        <w:t xml:space="preserve"> and codebook subset</w:t>
      </w:r>
    </w:p>
    <w:p w:rsidR="007527EB" w:rsidRDefault="00AA389C" w:rsidP="00577EEA">
      <w:pPr>
        <w:rPr>
          <w:rFonts w:ascii="Times New Roman" w:hAnsi="Times New Roman"/>
          <w:sz w:val="20"/>
          <w:szCs w:val="20"/>
        </w:rPr>
      </w:pPr>
      <w:r>
        <w:rPr>
          <w:rFonts w:ascii="Times New Roman" w:hAnsi="Times New Roman"/>
          <w:sz w:val="20"/>
          <w:szCs w:val="20"/>
        </w:rPr>
        <w:t>This approach is similar to Alt 1, with these details:</w:t>
      </w:r>
    </w:p>
    <w:p w:rsidR="00AA389C" w:rsidRPr="00880709" w:rsidRDefault="00AA389C" w:rsidP="00AA389C">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UE is configured with</w:t>
      </w:r>
      <w:r w:rsidRPr="00880709">
        <w:rPr>
          <w:rFonts w:ascii="Times New Roman" w:hAnsi="Times New Roman" w:cs="Times New Roman"/>
          <w:sz w:val="20"/>
          <w:szCs w:val="20"/>
        </w:rPr>
        <w:t xml:space="preserve"> one SRS resource (</w:t>
      </w:r>
      <w:r>
        <w:rPr>
          <w:rFonts w:ascii="Times New Roman" w:hAnsi="Times New Roman" w:cs="Times New Roman"/>
          <w:sz w:val="20"/>
          <w:szCs w:val="20"/>
        </w:rPr>
        <w:t xml:space="preserve">without </w:t>
      </w:r>
      <w:r w:rsidRPr="00880709">
        <w:rPr>
          <w:rFonts w:ascii="Times New Roman" w:hAnsi="Times New Roman" w:cs="Times New Roman"/>
          <w:sz w:val="20"/>
          <w:szCs w:val="20"/>
        </w:rPr>
        <w:t>virtualiz</w:t>
      </w:r>
      <w:r>
        <w:rPr>
          <w:rFonts w:ascii="Times New Roman" w:hAnsi="Times New Roman" w:cs="Times New Roman"/>
          <w:sz w:val="20"/>
          <w:szCs w:val="20"/>
        </w:rPr>
        <w:t>ation</w:t>
      </w:r>
      <w:r w:rsidRPr="00880709">
        <w:rPr>
          <w:rFonts w:ascii="Times New Roman" w:hAnsi="Times New Roman" w:cs="Times New Roman"/>
          <w:sz w:val="20"/>
          <w:szCs w:val="20"/>
        </w:rPr>
        <w:t>)</w:t>
      </w:r>
    </w:p>
    <w:p w:rsidR="00AA389C" w:rsidRPr="00880709" w:rsidRDefault="00AA389C" w:rsidP="00AA389C">
      <w:pPr>
        <w:pStyle w:val="ListParagraph"/>
        <w:numPr>
          <w:ilvl w:val="1"/>
          <w:numId w:val="43"/>
        </w:numPr>
        <w:spacing w:after="0" w:line="240" w:lineRule="auto"/>
        <w:contextualSpacing w:val="0"/>
        <w:rPr>
          <w:rFonts w:ascii="Times New Roman" w:hAnsi="Times New Roman" w:cs="Times New Roman"/>
          <w:sz w:val="20"/>
          <w:szCs w:val="20"/>
        </w:rPr>
      </w:pPr>
      <w:r w:rsidRPr="00880709">
        <w:rPr>
          <w:rFonts w:ascii="Times New Roman" w:hAnsi="Times New Roman" w:cs="Times New Roman"/>
          <w:sz w:val="20"/>
          <w:szCs w:val="20"/>
        </w:rPr>
        <w:t>gNB can configure the UE to use a subset of TPMIs that combine ports in a layer to produce full power transmission.</w:t>
      </w:r>
    </w:p>
    <w:p w:rsidR="00AA389C" w:rsidRPr="003E39F0" w:rsidRDefault="00AA389C" w:rsidP="00AA389C">
      <w:pPr>
        <w:pStyle w:val="ListParagraph"/>
        <w:numPr>
          <w:ilvl w:val="1"/>
          <w:numId w:val="43"/>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rPr>
        <w:t>A</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new codebookSubset is introduced only for the rank value(s) where full power transmission in UL is not achievable, includes the TPMI precoders in </w:t>
      </w:r>
      <w:r w:rsidRPr="00CE15E4">
        <w:rPr>
          <w:i/>
          <w:sz w:val="20"/>
          <w:szCs w:val="20"/>
        </w:rPr>
        <w:t>codebookSubset</w:t>
      </w:r>
      <w:r w:rsidRPr="00CE15E4">
        <w:rPr>
          <w:rFonts w:hint="eastAsia"/>
          <w:sz w:val="20"/>
          <w:szCs w:val="20"/>
        </w:rPr>
        <w:t xml:space="preserve"> = </w:t>
      </w:r>
      <w:r w:rsidRPr="00CE15E4">
        <w:rPr>
          <w:i/>
          <w:sz w:val="20"/>
          <w:szCs w:val="20"/>
        </w:rPr>
        <w:t>partialAndNonCoherent</w:t>
      </w:r>
      <w:r w:rsidRPr="00CE15E4">
        <w:rPr>
          <w:rFonts w:ascii="Times New Roman" w:hAnsi="Times New Roman" w:cs="Times New Roman"/>
          <w:sz w:val="20"/>
          <w:szCs w:val="20"/>
        </w:rPr>
        <w:t xml:space="preserve"> and </w:t>
      </w:r>
      <w:r w:rsidRPr="00CE15E4">
        <w:rPr>
          <w:i/>
          <w:sz w:val="20"/>
          <w:szCs w:val="20"/>
        </w:rPr>
        <w:t>fullyAndPartialAndNonCoherent</w:t>
      </w:r>
      <w:r>
        <w:rPr>
          <w:i/>
          <w:sz w:val="20"/>
          <w:szCs w:val="20"/>
        </w:rPr>
        <w:t xml:space="preserve"> </w:t>
      </w:r>
      <w:r w:rsidRPr="00986C37">
        <w:rPr>
          <w:rFonts w:ascii="Times New Roman" w:hAnsi="Times New Roman" w:cs="Times New Roman"/>
          <w:sz w:val="20"/>
          <w:szCs w:val="20"/>
        </w:rPr>
        <w:t>defined in Rel-15</w:t>
      </w:r>
    </w:p>
    <w:p w:rsidR="00AA389C" w:rsidRPr="00CE15E4" w:rsidRDefault="00AA389C" w:rsidP="00AA389C">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Alt1: Only a subset of the </w:t>
      </w:r>
      <w:r>
        <w:rPr>
          <w:rFonts w:ascii="Times New Roman" w:hAnsi="Times New Roman" w:cs="Times New Roman" w:hint="eastAsia"/>
          <w:sz w:val="20"/>
          <w:szCs w:val="20"/>
        </w:rPr>
        <w:t xml:space="preserve">non-antenna selection </w:t>
      </w:r>
      <w:r>
        <w:rPr>
          <w:rFonts w:ascii="Times New Roman" w:hAnsi="Times New Roman" w:cs="Times New Roman"/>
          <w:sz w:val="20"/>
          <w:szCs w:val="20"/>
        </w:rPr>
        <w:t>TPMI precoder(s) is(are) supported</w:t>
      </w:r>
    </w:p>
    <w:p w:rsidR="00AA389C" w:rsidRPr="00A177BA" w:rsidRDefault="00AA389C" w:rsidP="00AA389C">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Alt2: All of the </w:t>
      </w:r>
      <w:r>
        <w:rPr>
          <w:rFonts w:ascii="Times New Roman" w:hAnsi="Times New Roman" w:cs="Times New Roman" w:hint="eastAsia"/>
          <w:sz w:val="20"/>
          <w:szCs w:val="20"/>
        </w:rPr>
        <w:t xml:space="preserve">non-antenna selection </w:t>
      </w:r>
      <w:r>
        <w:rPr>
          <w:rFonts w:ascii="Times New Roman" w:hAnsi="Times New Roman" w:cs="Times New Roman"/>
          <w:sz w:val="20"/>
          <w:szCs w:val="20"/>
        </w:rPr>
        <w:t>TPMI precoders are supported</w:t>
      </w:r>
    </w:p>
    <w:p w:rsidR="00AA389C" w:rsidRPr="0018715C" w:rsidRDefault="00AA389C" w:rsidP="00AA389C">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18715C">
        <w:rPr>
          <w:rFonts w:ascii="Times New Roman" w:hAnsi="Times New Roman" w:cs="Times New Roman"/>
          <w:sz w:val="20"/>
          <w:szCs w:val="20"/>
          <w:lang w:eastAsia="x-none"/>
        </w:rPr>
        <w:t>A different SRS port is transmitted on each Tx chain</w:t>
      </w:r>
      <w:r>
        <w:rPr>
          <w:rFonts w:ascii="Times New Roman" w:hAnsi="Times New Roman" w:cs="Times New Roman"/>
          <w:sz w:val="20"/>
          <w:szCs w:val="20"/>
          <w:lang w:eastAsia="x-none"/>
        </w:rPr>
        <w:t xml:space="preserve"> (small delay CDD maybe transparently applied)</w:t>
      </w:r>
    </w:p>
    <w:p w:rsidR="00AA389C" w:rsidRDefault="00AA389C" w:rsidP="00AA389C">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880709">
        <w:rPr>
          <w:rFonts w:ascii="Times New Roman" w:hAnsi="Times New Roman" w:cs="Times New Roman"/>
          <w:sz w:val="20"/>
          <w:szCs w:val="20"/>
          <w:lang w:eastAsia="x-none"/>
        </w:rPr>
        <w:t>gNB can coherently combine channel estimates from SRS according to TPMI when determining CQI/TPMI/RI</w:t>
      </w:r>
    </w:p>
    <w:p w:rsidR="00AA389C" w:rsidRDefault="00AA389C" w:rsidP="00AA389C">
      <w:pPr>
        <w:spacing w:after="0" w:line="240" w:lineRule="auto"/>
        <w:rPr>
          <w:rFonts w:ascii="Times New Roman" w:hAnsi="Times New Roman" w:cs="Times New Roman"/>
          <w:sz w:val="20"/>
          <w:szCs w:val="20"/>
          <w:lang w:eastAsia="x-none"/>
        </w:rPr>
      </w:pPr>
    </w:p>
    <w:p w:rsidR="00AA389C" w:rsidRPr="00AA389C" w:rsidRDefault="00AA389C" w:rsidP="00AA389C">
      <w:p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In principle, the approach summarized in [2] will be quite similar to Alt 1. Since this could be the converging result after discussion, we can support this approach.</w:t>
      </w:r>
    </w:p>
    <w:p w:rsidR="00AA389C" w:rsidRPr="00AA389C" w:rsidRDefault="00AA389C" w:rsidP="00577EEA"/>
    <w:p w:rsidR="001B06A6" w:rsidRDefault="001B06A6" w:rsidP="001B06A6">
      <w:pPr>
        <w:pStyle w:val="Heading2"/>
      </w:pPr>
      <w:r>
        <w:t>2.4</w:t>
      </w:r>
      <w:r>
        <w:tab/>
        <w:t>Alt-5 Solution: FDM</w:t>
      </w:r>
    </w:p>
    <w:p w:rsidR="007527EB" w:rsidRDefault="001B06A6" w:rsidP="00577EEA">
      <w:pPr>
        <w:rPr>
          <w:rFonts w:ascii="Times New Roman" w:hAnsi="Times New Roman" w:cs="Times New Roman"/>
          <w:sz w:val="20"/>
          <w:szCs w:val="20"/>
        </w:rPr>
      </w:pPr>
      <w:r>
        <w:rPr>
          <w:rFonts w:ascii="Times New Roman" w:hAnsi="Times New Roman" w:cs="Times New Roman"/>
          <w:sz w:val="20"/>
          <w:szCs w:val="20"/>
        </w:rPr>
        <w:t>Alt-5 introduces the FDM approach of simultaneous transmission Tx ports at different PRBs:</w:t>
      </w:r>
    </w:p>
    <w:p w:rsidR="001B06A6" w:rsidRDefault="001B06A6" w:rsidP="001B06A6">
      <w:pPr>
        <w:pStyle w:val="ListParagraph"/>
        <w:numPr>
          <w:ilvl w:val="1"/>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x-none"/>
        </w:rPr>
        <w:t>The scheduled RBs are divided into several RB sets, each of which is associated with a respective antenna port or antenna port set (ports of which should be coherent)</w:t>
      </w:r>
    </w:p>
    <w:p w:rsidR="001B06A6" w:rsidRPr="00D30320" w:rsidRDefault="001B06A6" w:rsidP="001B06A6">
      <w:pPr>
        <w:pStyle w:val="ListParagraph"/>
        <w:numPr>
          <w:ilvl w:val="2"/>
          <w:numId w:val="43"/>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x-none"/>
        </w:rPr>
        <w:lastRenderedPageBreak/>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rsidR="001B06A6" w:rsidRPr="00D30320" w:rsidRDefault="001B06A6" w:rsidP="001B06A6">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is applicable to both CP-OFDM and DFT-s-OFDM</w:t>
      </w:r>
    </w:p>
    <w:p w:rsidR="001B06A6" w:rsidRPr="00D30320" w:rsidRDefault="001B06A6" w:rsidP="001B06A6">
      <w:pPr>
        <w:pStyle w:val="ListParagraph"/>
        <w:numPr>
          <w:ilvl w:val="2"/>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For DFT-s-OFDM, one DFT is applied to one RB set</w:t>
      </w:r>
    </w:p>
    <w:p w:rsidR="001B06A6" w:rsidRPr="00D30320" w:rsidRDefault="001B06A6" w:rsidP="001B06A6">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This does not have spec impact on PRB bundling</w:t>
      </w:r>
    </w:p>
    <w:p w:rsidR="001B06A6" w:rsidRPr="00D30320" w:rsidRDefault="001B06A6" w:rsidP="001B06A6">
      <w:pPr>
        <w:pStyle w:val="ListParagraph"/>
        <w:numPr>
          <w:ilvl w:val="1"/>
          <w:numId w:val="43"/>
        </w:numPr>
        <w:spacing w:after="0" w:line="240" w:lineRule="auto"/>
        <w:contextualSpacing w:val="0"/>
        <w:rPr>
          <w:rFonts w:ascii="Times New Roman" w:hAnsi="Times New Roman" w:cs="Times New Roman"/>
          <w:sz w:val="20"/>
          <w:szCs w:val="20"/>
          <w:lang w:eastAsia="x-none"/>
        </w:rPr>
      </w:pPr>
      <w:r w:rsidRPr="00D30320">
        <w:rPr>
          <w:rFonts w:ascii="Times New Roman" w:hAnsi="Times New Roman" w:cs="Times New Roman"/>
          <w:sz w:val="20"/>
          <w:szCs w:val="20"/>
          <w:lang w:eastAsia="x-none"/>
        </w:rPr>
        <w:t>The minimal size of a RB set is 1 RB</w:t>
      </w:r>
    </w:p>
    <w:p w:rsidR="00A13F5D" w:rsidRDefault="00A13F5D" w:rsidP="00577EEA">
      <w:pPr>
        <w:rPr>
          <w:rFonts w:ascii="Times New Roman" w:hAnsi="Times New Roman" w:cs="Times New Roman"/>
          <w:sz w:val="20"/>
          <w:szCs w:val="20"/>
        </w:rPr>
      </w:pPr>
    </w:p>
    <w:p w:rsidR="00A13F5D" w:rsidRDefault="00A13F5D" w:rsidP="00577EEA">
      <w:pPr>
        <w:rPr>
          <w:rFonts w:ascii="Times New Roman" w:hAnsi="Times New Roman" w:cs="Times New Roman"/>
          <w:sz w:val="20"/>
          <w:szCs w:val="20"/>
        </w:rPr>
      </w:pPr>
      <w:r>
        <w:rPr>
          <w:rFonts w:ascii="Times New Roman" w:hAnsi="Times New Roman" w:cs="Times New Roman"/>
          <w:sz w:val="20"/>
          <w:szCs w:val="20"/>
        </w:rPr>
        <w:t>Single PRB won’t work for this scheme, because the port-wise PRB is PRB based.</w:t>
      </w:r>
      <w:r w:rsidR="00670E2C">
        <w:rPr>
          <w:rFonts w:ascii="Times New Roman" w:hAnsi="Times New Roman" w:cs="Times New Roman"/>
          <w:sz w:val="20"/>
          <w:szCs w:val="20"/>
        </w:rPr>
        <w:t xml:space="preserve"> Besides, further studies are needed to address these potential issues:</w:t>
      </w:r>
    </w:p>
    <w:p w:rsidR="00670E2C" w:rsidRDefault="00670E2C" w:rsidP="00670E2C">
      <w:pPr>
        <w:pStyle w:val="ListParagraph"/>
        <w:numPr>
          <w:ilvl w:val="0"/>
          <w:numId w:val="45"/>
        </w:numPr>
        <w:spacing w:after="0" w:line="240" w:lineRule="auto"/>
        <w:contextualSpacing w:val="0"/>
        <w:rPr>
          <w:rFonts w:ascii="Times New Roman" w:hAnsi="Times New Roman" w:cs="Times New Roman"/>
          <w:sz w:val="20"/>
          <w:szCs w:val="20"/>
          <w:lang w:eastAsia="x-none"/>
        </w:rPr>
      </w:pPr>
      <w:r>
        <w:rPr>
          <w:rFonts w:ascii="Times New Roman" w:hAnsi="Times New Roman" w:cs="Times New Roman"/>
          <w:sz w:val="20"/>
          <w:szCs w:val="20"/>
          <w:lang w:eastAsia="x-none"/>
        </w:rPr>
        <w:t>Relative phase discontinuity (RPD): at least link simulation is needed to evaluate whether RPD between two Tx is impact the demod performance with various PRB allocation.</w:t>
      </w:r>
    </w:p>
    <w:p w:rsidR="00670E2C" w:rsidRPr="00670E2C" w:rsidRDefault="00670E2C" w:rsidP="00670E2C">
      <w:pPr>
        <w:pStyle w:val="ListParagraph"/>
        <w:numPr>
          <w:ilvl w:val="0"/>
          <w:numId w:val="45"/>
        </w:numPr>
        <w:rPr>
          <w:rFonts w:ascii="Times New Roman" w:hAnsi="Times New Roman" w:cs="Times New Roman"/>
          <w:sz w:val="20"/>
          <w:szCs w:val="20"/>
        </w:rPr>
      </w:pPr>
      <w:r w:rsidRPr="00670E2C">
        <w:rPr>
          <w:rFonts w:ascii="Times New Roman" w:hAnsi="Times New Roman" w:cs="Times New Roman"/>
          <w:sz w:val="20"/>
          <w:szCs w:val="20"/>
          <w:lang w:eastAsia="x-none"/>
        </w:rPr>
        <w:t>UL resource allocation: is there a specification transparent approach for this approach? Or do we need to consider different Tx ports for UL resource allocation? If the answer to the 2</w:t>
      </w:r>
      <w:r w:rsidRPr="00670E2C">
        <w:rPr>
          <w:rFonts w:ascii="Times New Roman" w:hAnsi="Times New Roman" w:cs="Times New Roman"/>
          <w:sz w:val="20"/>
          <w:szCs w:val="20"/>
          <w:vertAlign w:val="superscript"/>
          <w:lang w:eastAsia="x-none"/>
        </w:rPr>
        <w:t>nd</w:t>
      </w:r>
      <w:r w:rsidRPr="00670E2C">
        <w:rPr>
          <w:rFonts w:ascii="Times New Roman" w:hAnsi="Times New Roman" w:cs="Times New Roman"/>
          <w:sz w:val="20"/>
          <w:szCs w:val="20"/>
          <w:lang w:eastAsia="x-none"/>
        </w:rPr>
        <w:t xml:space="preserve"> question is yes, there will be significant impact to specification and gNB implementation of uplink scheduling.</w:t>
      </w:r>
    </w:p>
    <w:p w:rsidR="00A13F5D" w:rsidRDefault="00A13F5D" w:rsidP="00577EEA">
      <w:pPr>
        <w:rPr>
          <w:rFonts w:ascii="Times New Roman" w:hAnsi="Times New Roman" w:cs="Times New Roman"/>
          <w:sz w:val="20"/>
          <w:szCs w:val="20"/>
        </w:rPr>
      </w:pPr>
    </w:p>
    <w:p w:rsidR="00930825" w:rsidRDefault="003673B3" w:rsidP="00B12B1E">
      <w:pPr>
        <w:pStyle w:val="Heading1"/>
        <w:jc w:val="both"/>
      </w:pPr>
      <w:r>
        <w:t>3</w:t>
      </w:r>
      <w:r w:rsidR="00930825">
        <w:tab/>
        <w:t>Conclusion</w:t>
      </w:r>
      <w:r w:rsidR="00B47610">
        <w:t>s</w:t>
      </w:r>
    </w:p>
    <w:p w:rsidR="00D60C0C" w:rsidRDefault="002C764B" w:rsidP="002B7F6C">
      <w:pPr>
        <w:jc w:val="both"/>
        <w:rPr>
          <w:rFonts w:ascii="Times New Roman" w:hAnsi="Times New Roman" w:cs="Times New Roman"/>
          <w:sz w:val="20"/>
          <w:szCs w:val="20"/>
        </w:rPr>
      </w:pPr>
      <w:r>
        <w:rPr>
          <w:rFonts w:ascii="Times New Roman" w:hAnsi="Times New Roman" w:cs="Times New Roman"/>
          <w:sz w:val="20"/>
          <w:szCs w:val="20"/>
        </w:rPr>
        <w:t>We have th</w:t>
      </w:r>
      <w:r w:rsidR="00D20F31">
        <w:rPr>
          <w:rFonts w:ascii="Times New Roman" w:hAnsi="Times New Roman" w:cs="Times New Roman"/>
          <w:sz w:val="20"/>
          <w:szCs w:val="20"/>
        </w:rPr>
        <w:t>is</w:t>
      </w:r>
      <w:r w:rsidR="00F23F38">
        <w:rPr>
          <w:rFonts w:ascii="Times New Roman" w:hAnsi="Times New Roman" w:cs="Times New Roman"/>
          <w:sz w:val="20"/>
          <w:szCs w:val="20"/>
        </w:rPr>
        <w:t xml:space="preserve"> </w:t>
      </w:r>
      <w:r>
        <w:rPr>
          <w:rFonts w:ascii="Times New Roman" w:hAnsi="Times New Roman" w:cs="Times New Roman"/>
          <w:sz w:val="20"/>
          <w:szCs w:val="20"/>
        </w:rPr>
        <w:t>proposal</w:t>
      </w:r>
      <w:r w:rsidR="00D20F31">
        <w:rPr>
          <w:rFonts w:ascii="Times New Roman" w:hAnsi="Times New Roman" w:cs="Times New Roman"/>
          <w:sz w:val="20"/>
          <w:szCs w:val="20"/>
        </w:rPr>
        <w:t xml:space="preserve"> as the solution for uplink full power transmission:</w:t>
      </w:r>
    </w:p>
    <w:p w:rsidR="00AA389C" w:rsidRPr="007527EB" w:rsidRDefault="00AA389C" w:rsidP="00AA389C">
      <w:pPr>
        <w:spacing w:after="0" w:line="240" w:lineRule="auto"/>
        <w:jc w:val="both"/>
        <w:rPr>
          <w:rFonts w:ascii="Times New Roman" w:hAnsi="Times New Roman" w:cs="Times New Roman"/>
          <w:b/>
          <w:sz w:val="20"/>
          <w:szCs w:val="20"/>
        </w:rPr>
      </w:pPr>
      <w:r w:rsidRPr="007527EB">
        <w:rPr>
          <w:rFonts w:ascii="Times New Roman" w:hAnsi="Times New Roman" w:cs="Times New Roman"/>
          <w:b/>
          <w:sz w:val="20"/>
          <w:szCs w:val="20"/>
        </w:rPr>
        <w:t>Proposal 1: Support a</w:t>
      </w:r>
      <w:r w:rsidRPr="007527EB">
        <w:rPr>
          <w:rFonts w:ascii="Times New Roman" w:hAnsi="Times New Roman" w:cs="Times New Roman" w:hint="eastAsia"/>
          <w:b/>
          <w:sz w:val="20"/>
          <w:szCs w:val="20"/>
        </w:rPr>
        <w:t xml:space="preserve"> </w:t>
      </w:r>
      <w:r w:rsidRPr="007527EB">
        <w:rPr>
          <w:rFonts w:ascii="Times New Roman" w:hAnsi="Times New Roman" w:cs="Times New Roman"/>
          <w:b/>
          <w:sz w:val="20"/>
          <w:szCs w:val="20"/>
        </w:rPr>
        <w:t xml:space="preserve">new codebookSubset is introduced only for the rank value(s) where full power transmission in UL is not achievable, includes the TPMI precoders in </w:t>
      </w:r>
      <w:r w:rsidRPr="007527EB">
        <w:rPr>
          <w:b/>
          <w:i/>
          <w:sz w:val="20"/>
          <w:szCs w:val="20"/>
        </w:rPr>
        <w:t>codebookSubset</w:t>
      </w:r>
      <w:r w:rsidRPr="007527EB">
        <w:rPr>
          <w:rFonts w:hint="eastAsia"/>
          <w:b/>
          <w:sz w:val="20"/>
          <w:szCs w:val="20"/>
        </w:rPr>
        <w:t xml:space="preserve"> = </w:t>
      </w:r>
      <w:r w:rsidRPr="007527EB">
        <w:rPr>
          <w:b/>
          <w:i/>
          <w:sz w:val="20"/>
          <w:szCs w:val="20"/>
        </w:rPr>
        <w:t>partialAndNonCoherent</w:t>
      </w:r>
      <w:r w:rsidRPr="007527EB">
        <w:rPr>
          <w:rFonts w:ascii="Times New Roman" w:hAnsi="Times New Roman" w:cs="Times New Roman"/>
          <w:b/>
          <w:sz w:val="20"/>
          <w:szCs w:val="20"/>
        </w:rPr>
        <w:t xml:space="preserve"> and </w:t>
      </w:r>
      <w:r w:rsidRPr="007527EB">
        <w:rPr>
          <w:b/>
          <w:i/>
          <w:sz w:val="20"/>
          <w:szCs w:val="20"/>
        </w:rPr>
        <w:t xml:space="preserve">fullyAndPartialAndNonCoherent </w:t>
      </w:r>
      <w:r w:rsidRPr="007527EB">
        <w:rPr>
          <w:rFonts w:ascii="Times New Roman" w:hAnsi="Times New Roman" w:cs="Times New Roman"/>
          <w:b/>
          <w:sz w:val="20"/>
          <w:szCs w:val="20"/>
        </w:rPr>
        <w:t>defined in Rel-15</w:t>
      </w:r>
    </w:p>
    <w:p w:rsidR="00AA389C" w:rsidRPr="007527EB" w:rsidRDefault="00AA389C" w:rsidP="00AA389C">
      <w:pPr>
        <w:pStyle w:val="ListParagraph"/>
        <w:numPr>
          <w:ilvl w:val="0"/>
          <w:numId w:val="44"/>
        </w:numPr>
        <w:spacing w:after="0" w:line="240" w:lineRule="auto"/>
        <w:jc w:val="both"/>
        <w:rPr>
          <w:rFonts w:ascii="Times New Roman" w:hAnsi="Times New Roman" w:cs="Times New Roman"/>
          <w:b/>
          <w:sz w:val="20"/>
          <w:szCs w:val="20"/>
        </w:rPr>
      </w:pPr>
      <w:r w:rsidRPr="007527EB">
        <w:rPr>
          <w:rFonts w:ascii="Times New Roman" w:hAnsi="Times New Roman" w:cs="Times New Roman"/>
          <w:b/>
          <w:sz w:val="20"/>
          <w:szCs w:val="20"/>
        </w:rPr>
        <w:t xml:space="preserve">Alt1: Only a subset of the </w:t>
      </w:r>
      <w:r w:rsidRPr="007527EB">
        <w:rPr>
          <w:rFonts w:ascii="Times New Roman" w:hAnsi="Times New Roman" w:cs="Times New Roman" w:hint="eastAsia"/>
          <w:b/>
          <w:sz w:val="20"/>
          <w:szCs w:val="20"/>
        </w:rPr>
        <w:t xml:space="preserve">non-antenna selection </w:t>
      </w:r>
      <w:r w:rsidRPr="007527EB">
        <w:rPr>
          <w:rFonts w:ascii="Times New Roman" w:hAnsi="Times New Roman" w:cs="Times New Roman"/>
          <w:b/>
          <w:sz w:val="20"/>
          <w:szCs w:val="20"/>
        </w:rPr>
        <w:t>TPMI precoder(s) is(are) supported</w:t>
      </w:r>
    </w:p>
    <w:p w:rsidR="00763135" w:rsidRPr="00BD1450" w:rsidRDefault="00763135" w:rsidP="00763135">
      <w:pPr>
        <w:rPr>
          <w:rFonts w:ascii="Times New Roman" w:hAnsi="Times New Roman" w:cs="Times New Roman"/>
          <w:b/>
          <w:sz w:val="20"/>
          <w:szCs w:val="20"/>
        </w:rPr>
      </w:pPr>
    </w:p>
    <w:p w:rsidR="00763135" w:rsidRDefault="00763135" w:rsidP="00F23F38">
      <w:pPr>
        <w:jc w:val="both"/>
        <w:rPr>
          <w:rFonts w:ascii="Times New Roman" w:hAnsi="Times New Roman" w:cs="Times New Roman"/>
          <w:b/>
          <w:sz w:val="20"/>
          <w:szCs w:val="20"/>
        </w:rPr>
      </w:pPr>
    </w:p>
    <w:p w:rsidR="00453A60" w:rsidRPr="00791982" w:rsidRDefault="00453A60" w:rsidP="00B12B1E">
      <w:pPr>
        <w:pStyle w:val="Heading1"/>
        <w:jc w:val="both"/>
      </w:pPr>
      <w:r w:rsidRPr="00E86042">
        <w:t>References</w:t>
      </w:r>
    </w:p>
    <w:p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23F38">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RAN1 #9</w:t>
      </w:r>
      <w:r w:rsidR="00AA389C">
        <w:rPr>
          <w:rFonts w:ascii="Times New Roman" w:hAnsi="Times New Roman" w:cs="Times New Roman"/>
          <w:sz w:val="20"/>
          <w:szCs w:val="20"/>
        </w:rPr>
        <w:t>6bis</w:t>
      </w:r>
      <w:r>
        <w:rPr>
          <w:rFonts w:ascii="Times New Roman" w:hAnsi="Times New Roman" w:cs="Times New Roman"/>
          <w:sz w:val="20"/>
          <w:szCs w:val="20"/>
        </w:rPr>
        <w:t xml:space="preserve"> meeting, Chair’s notes, </w:t>
      </w:r>
      <w:r w:rsidR="00AA389C">
        <w:rPr>
          <w:rFonts w:ascii="Times New Roman" w:hAnsi="Times New Roman" w:cs="Times New Roman"/>
          <w:sz w:val="20"/>
          <w:szCs w:val="20"/>
        </w:rPr>
        <w:t>April</w:t>
      </w:r>
      <w:r>
        <w:rPr>
          <w:rFonts w:ascii="Times New Roman" w:hAnsi="Times New Roman" w:cs="Times New Roman"/>
          <w:sz w:val="20"/>
          <w:szCs w:val="20"/>
        </w:rPr>
        <w:t xml:space="preserve"> 2018</w:t>
      </w:r>
    </w:p>
    <w:p w:rsidR="00AA389C" w:rsidRDefault="00AA389C"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R1-1905911, </w:t>
      </w:r>
      <w:r w:rsidRPr="00AA389C">
        <w:rPr>
          <w:rFonts w:ascii="Times New Roman" w:hAnsi="Times New Roman" w:cs="Times New Roman"/>
          <w:sz w:val="20"/>
          <w:szCs w:val="20"/>
        </w:rPr>
        <w:t>Summary of “[96b-NR-07] clarification on alternative UL full power Tx solutions”</w:t>
      </w:r>
      <w:r>
        <w:rPr>
          <w:rFonts w:ascii="Times New Roman" w:hAnsi="Times New Roman" w:cs="Times New Roman"/>
          <w:sz w:val="20"/>
          <w:szCs w:val="20"/>
        </w:rPr>
        <w:t>, vivo, RAN1 #96bis</w:t>
      </w:r>
    </w:p>
    <w:p w:rsidR="00B47610" w:rsidRDefault="00B47610" w:rsidP="00D20F31">
      <w:pPr>
        <w:ind w:left="540" w:hanging="540"/>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F40" w:rsidRDefault="00093F40">
      <w:r>
        <w:separator/>
      </w:r>
    </w:p>
  </w:endnote>
  <w:endnote w:type="continuationSeparator" w:id="0">
    <w:p w:rsidR="00093F40" w:rsidRDefault="0009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F40" w:rsidRDefault="00093F40">
      <w:r>
        <w:separator/>
      </w:r>
    </w:p>
  </w:footnote>
  <w:footnote w:type="continuationSeparator" w:id="0">
    <w:p w:rsidR="00093F40" w:rsidRDefault="00093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cs="Times New Roman" w:hint="default"/>
      </w:rPr>
    </w:lvl>
    <w:lvl w:ilvl="1" w:tplc="AC4C9352">
      <w:start w:val="7052"/>
      <w:numFmt w:val="bullet"/>
      <w:lvlText w:val="•"/>
      <w:lvlJc w:val="left"/>
      <w:pPr>
        <w:tabs>
          <w:tab w:val="num" w:pos="1440"/>
        </w:tabs>
        <w:ind w:left="1440" w:hanging="360"/>
      </w:pPr>
      <w:rPr>
        <w:rFonts w:ascii="Arial" w:hAnsi="Arial" w:cs="Times New Roman" w:hint="default"/>
      </w:rPr>
    </w:lvl>
    <w:lvl w:ilvl="2" w:tplc="24063E78">
      <w:start w:val="7052"/>
      <w:numFmt w:val="bullet"/>
      <w:lvlText w:val="•"/>
      <w:lvlJc w:val="left"/>
      <w:pPr>
        <w:tabs>
          <w:tab w:val="num" w:pos="2160"/>
        </w:tabs>
        <w:ind w:left="2160" w:hanging="360"/>
      </w:pPr>
      <w:rPr>
        <w:rFonts w:ascii="Arial" w:hAnsi="Arial" w:cs="Times New Roman" w:hint="default"/>
      </w:rPr>
    </w:lvl>
    <w:lvl w:ilvl="3" w:tplc="DE74B7B6">
      <w:start w:val="1"/>
      <w:numFmt w:val="bullet"/>
      <w:lvlText w:val="•"/>
      <w:lvlJc w:val="left"/>
      <w:pPr>
        <w:tabs>
          <w:tab w:val="num" w:pos="2880"/>
        </w:tabs>
        <w:ind w:left="2880" w:hanging="360"/>
      </w:pPr>
      <w:rPr>
        <w:rFonts w:ascii="Arial" w:hAnsi="Arial" w:cs="Times New Roman" w:hint="default"/>
      </w:rPr>
    </w:lvl>
    <w:lvl w:ilvl="4" w:tplc="4B08F114">
      <w:start w:val="1"/>
      <w:numFmt w:val="bullet"/>
      <w:lvlText w:val="•"/>
      <w:lvlJc w:val="left"/>
      <w:pPr>
        <w:tabs>
          <w:tab w:val="num" w:pos="3600"/>
        </w:tabs>
        <w:ind w:left="3600" w:hanging="360"/>
      </w:pPr>
      <w:rPr>
        <w:rFonts w:ascii="Arial" w:hAnsi="Arial" w:cs="Times New Roman" w:hint="default"/>
      </w:rPr>
    </w:lvl>
    <w:lvl w:ilvl="5" w:tplc="0E6A6B70">
      <w:start w:val="1"/>
      <w:numFmt w:val="bullet"/>
      <w:lvlText w:val="•"/>
      <w:lvlJc w:val="left"/>
      <w:pPr>
        <w:tabs>
          <w:tab w:val="num" w:pos="4320"/>
        </w:tabs>
        <w:ind w:left="4320" w:hanging="360"/>
      </w:pPr>
      <w:rPr>
        <w:rFonts w:ascii="Arial" w:hAnsi="Arial" w:cs="Times New Roman" w:hint="default"/>
      </w:rPr>
    </w:lvl>
    <w:lvl w:ilvl="6" w:tplc="10249B8E">
      <w:start w:val="1"/>
      <w:numFmt w:val="bullet"/>
      <w:lvlText w:val="•"/>
      <w:lvlJc w:val="left"/>
      <w:pPr>
        <w:tabs>
          <w:tab w:val="num" w:pos="5040"/>
        </w:tabs>
        <w:ind w:left="5040" w:hanging="360"/>
      </w:pPr>
      <w:rPr>
        <w:rFonts w:ascii="Arial" w:hAnsi="Arial" w:cs="Times New Roman" w:hint="default"/>
      </w:rPr>
    </w:lvl>
    <w:lvl w:ilvl="7" w:tplc="0EA640D0">
      <w:start w:val="1"/>
      <w:numFmt w:val="bullet"/>
      <w:lvlText w:val="•"/>
      <w:lvlJc w:val="left"/>
      <w:pPr>
        <w:tabs>
          <w:tab w:val="num" w:pos="5760"/>
        </w:tabs>
        <w:ind w:left="5760" w:hanging="360"/>
      </w:pPr>
      <w:rPr>
        <w:rFonts w:ascii="Arial" w:hAnsi="Arial" w:cs="Times New Roman" w:hint="default"/>
      </w:rPr>
    </w:lvl>
    <w:lvl w:ilvl="8" w:tplc="D76268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57545"/>
    <w:multiLevelType w:val="hybridMultilevel"/>
    <w:tmpl w:val="7156686C"/>
    <w:lvl w:ilvl="0" w:tplc="B5CE2622">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F081A"/>
    <w:multiLevelType w:val="hybridMultilevel"/>
    <w:tmpl w:val="C4BAAC12"/>
    <w:lvl w:ilvl="0" w:tplc="7BCA63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5"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4D0F98"/>
    <w:multiLevelType w:val="hybridMultilevel"/>
    <w:tmpl w:val="9D86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70A3280"/>
    <w:multiLevelType w:val="hybridMultilevel"/>
    <w:tmpl w:val="B4603408"/>
    <w:lvl w:ilvl="0" w:tplc="BDE6BD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5"/>
  </w:num>
  <w:num w:numId="2">
    <w:abstractNumId w:val="8"/>
  </w:num>
  <w:num w:numId="3">
    <w:abstractNumId w:val="13"/>
  </w:num>
  <w:num w:numId="4">
    <w:abstractNumId w:val="22"/>
  </w:num>
  <w:num w:numId="5">
    <w:abstractNumId w:val="43"/>
  </w:num>
  <w:num w:numId="6">
    <w:abstractNumId w:val="14"/>
  </w:num>
  <w:num w:numId="7">
    <w:abstractNumId w:val="40"/>
  </w:num>
  <w:num w:numId="8">
    <w:abstractNumId w:val="41"/>
  </w:num>
  <w:num w:numId="9">
    <w:abstractNumId w:val="0"/>
  </w:num>
  <w:num w:numId="10">
    <w:abstractNumId w:val="23"/>
  </w:num>
  <w:num w:numId="11">
    <w:abstractNumId w:val="5"/>
  </w:num>
  <w:num w:numId="12">
    <w:abstractNumId w:val="26"/>
  </w:num>
  <w:num w:numId="13">
    <w:abstractNumId w:val="39"/>
  </w:num>
  <w:num w:numId="14">
    <w:abstractNumId w:val="28"/>
  </w:num>
  <w:num w:numId="15">
    <w:abstractNumId w:val="25"/>
  </w:num>
  <w:num w:numId="16">
    <w:abstractNumId w:val="4"/>
  </w:num>
  <w:num w:numId="17">
    <w:abstractNumId w:val="2"/>
  </w:num>
  <w:num w:numId="18">
    <w:abstractNumId w:val="7"/>
  </w:num>
  <w:num w:numId="19">
    <w:abstractNumId w:val="38"/>
  </w:num>
  <w:num w:numId="20">
    <w:abstractNumId w:val="17"/>
  </w:num>
  <w:num w:numId="21">
    <w:abstractNumId w:val="18"/>
  </w:num>
  <w:num w:numId="22">
    <w:abstractNumId w:val="3"/>
  </w:num>
  <w:num w:numId="23">
    <w:abstractNumId w:val="32"/>
  </w:num>
  <w:num w:numId="24">
    <w:abstractNumId w:val="30"/>
  </w:num>
  <w:num w:numId="25">
    <w:abstractNumId w:val="27"/>
  </w:num>
  <w:num w:numId="26">
    <w:abstractNumId w:val="44"/>
  </w:num>
  <w:num w:numId="27">
    <w:abstractNumId w:val="11"/>
  </w:num>
  <w:num w:numId="28">
    <w:abstractNumId w:val="24"/>
  </w:num>
  <w:num w:numId="29">
    <w:abstractNumId w:val="29"/>
  </w:num>
  <w:num w:numId="30">
    <w:abstractNumId w:val="10"/>
  </w:num>
  <w:num w:numId="31">
    <w:abstractNumId w:val="9"/>
  </w:num>
  <w:num w:numId="32">
    <w:abstractNumId w:val="16"/>
  </w:num>
  <w:num w:numId="33">
    <w:abstractNumId w:val="1"/>
  </w:num>
  <w:num w:numId="34">
    <w:abstractNumId w:val="33"/>
  </w:num>
  <w:num w:numId="35">
    <w:abstractNumId w:val="6"/>
  </w:num>
  <w:num w:numId="36">
    <w:abstractNumId w:val="34"/>
  </w:num>
  <w:num w:numId="37">
    <w:abstractNumId w:val="31"/>
  </w:num>
  <w:num w:numId="38">
    <w:abstractNumId w:val="35"/>
  </w:num>
  <w:num w:numId="39">
    <w:abstractNumId w:val="36"/>
  </w:num>
  <w:num w:numId="40">
    <w:abstractNumId w:val="12"/>
  </w:num>
  <w:num w:numId="41">
    <w:abstractNumId w:val="21"/>
  </w:num>
  <w:num w:numId="42">
    <w:abstractNumId w:val="19"/>
  </w:num>
  <w:num w:numId="43">
    <w:abstractNumId w:val="42"/>
  </w:num>
  <w:num w:numId="44">
    <w:abstractNumId w:val="20"/>
  </w:num>
  <w:num w:numId="45">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57A6"/>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5C1"/>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424"/>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40"/>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87BD9"/>
    <w:rsid w:val="001900A2"/>
    <w:rsid w:val="00190F29"/>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A6"/>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F2C"/>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3E39"/>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EC7"/>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48BB"/>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644"/>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43"/>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2A"/>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07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3CE7"/>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5154"/>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4B2A"/>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1A"/>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E2C"/>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C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7EB"/>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135"/>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4C4"/>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679"/>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3F5D"/>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414"/>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389C"/>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090"/>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AE3"/>
    <w:rsid w:val="00B34359"/>
    <w:rsid w:val="00B346BF"/>
    <w:rsid w:val="00B3470B"/>
    <w:rsid w:val="00B3505E"/>
    <w:rsid w:val="00B3535F"/>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5CF"/>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7F"/>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450"/>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195C"/>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150"/>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3D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8F"/>
    <w:rsid w:val="00D15C2E"/>
    <w:rsid w:val="00D1678E"/>
    <w:rsid w:val="00D173F5"/>
    <w:rsid w:val="00D17426"/>
    <w:rsid w:val="00D17431"/>
    <w:rsid w:val="00D17F4E"/>
    <w:rsid w:val="00D17FAC"/>
    <w:rsid w:val="00D2024A"/>
    <w:rsid w:val="00D20962"/>
    <w:rsid w:val="00D20B76"/>
    <w:rsid w:val="00D20C5A"/>
    <w:rsid w:val="00D20F31"/>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3F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2B0D"/>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0EB1"/>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846"/>
    <w:rsid w:val="00E71E56"/>
    <w:rsid w:val="00E723A7"/>
    <w:rsid w:val="00E729DE"/>
    <w:rsid w:val="00E7338E"/>
    <w:rsid w:val="00E73EAD"/>
    <w:rsid w:val="00E74212"/>
    <w:rsid w:val="00E744E6"/>
    <w:rsid w:val="00E748A8"/>
    <w:rsid w:val="00E74C89"/>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6E48"/>
    <w:rsid w:val="00E87A05"/>
    <w:rsid w:val="00E905F6"/>
    <w:rsid w:val="00E9069B"/>
    <w:rsid w:val="00E916EF"/>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DD0"/>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04C"/>
    <w:rsid w:val="00F15435"/>
    <w:rsid w:val="00F15774"/>
    <w:rsid w:val="00F162CB"/>
    <w:rsid w:val="00F17208"/>
    <w:rsid w:val="00F174DB"/>
    <w:rsid w:val="00F17E89"/>
    <w:rsid w:val="00F2078F"/>
    <w:rsid w:val="00F21801"/>
    <w:rsid w:val="00F22353"/>
    <w:rsid w:val="00F23E98"/>
    <w:rsid w:val="00F23F3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77EE6"/>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31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33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3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F77EE6"/>
    <w:rPr>
      <w:rFonts w:ascii="Arial" w:hAnsi="Arial"/>
      <w:b/>
      <w:noProof/>
      <w:sz w:val="18"/>
      <w:lang w:eastAsia="en-US"/>
    </w:rPr>
  </w:style>
  <w:style w:type="paragraph" w:customStyle="1" w:styleId="LGTdoc">
    <w:name w:val="LGTdoc_본문"/>
    <w:basedOn w:val="Normal"/>
    <w:link w:val="LGTdocChar"/>
    <w:qFormat/>
    <w:rsid w:val="00453C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GTdocChar">
    <w:name w:val="LGTdoc_본문 Char"/>
    <w:link w:val="LGTdoc"/>
    <w:qFormat/>
    <w:rsid w:val="00453CE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440244">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1.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5AIRPNAIUNRU-1830940522-5549</_dlc_DocId>
    <_dlc_DocIdUrl xmlns="71c5aaf6-e6ce-465b-b873-5148d2a4c105">
      <Url>https://nokia.sharepoint.com/sites/c5g/5gradio/_layouts/15/DocIdRedir.aspx?ID=5AIRPNAIUNRU-1830940522-5549</Url>
      <Description>5AIRPNAIUNRU-1830940522-5549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A7ECE19-2E46-4CFF-9F28-36AD396A42AA}">
  <ds:schemaRefs>
    <ds:schemaRef ds:uri="http://schemas.microsoft.com/sharepoint/events"/>
  </ds:schemaRefs>
</ds:datastoreItem>
</file>

<file path=customXml/itemProps3.xml><?xml version="1.0" encoding="utf-8"?>
<ds:datastoreItem xmlns:ds="http://schemas.openxmlformats.org/officeDocument/2006/customXml" ds:itemID="{8BF0DEB8-FE5D-47BD-BE2A-0F9A4C735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63D4F128-A619-491A-93E3-5F21E417D0D2}">
  <ds:schemaRefs>
    <ds:schemaRef ds:uri="Microsoft.SharePoint.Taxonomy.ContentTypeSync"/>
  </ds:schemaRefs>
</ds:datastoreItem>
</file>

<file path=customXml/itemProps6.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7.xml><?xml version="1.0" encoding="utf-8"?>
<ds:datastoreItem xmlns:ds="http://schemas.openxmlformats.org/officeDocument/2006/customXml" ds:itemID="{93FF0BA4-47A6-4C43-A2D5-E295F603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6</Pages>
  <Words>2273</Words>
  <Characters>12958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64</cp:revision>
  <dcterms:created xsi:type="dcterms:W3CDTF">2018-08-10T05:23:00Z</dcterms:created>
  <dcterms:modified xsi:type="dcterms:W3CDTF">2019-05-03T17:43:00Z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f06e2cbb-1016-4b37-b73c-8d237e45150f</vt:lpwstr>
  </property>
</Properties>
</file>