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1FD0DBB" w:rsidR="00584ABE" w:rsidRPr="00E666C9" w:rsidRDefault="00E03DCD" w:rsidP="005923F4">
      <w:pPr>
        <w:pStyle w:val="3GPPHeader"/>
        <w:spacing w:after="60"/>
        <w:rPr>
          <w:rFonts w:ascii="Arial" w:hAnsi="Arial" w:cs="Arial"/>
        </w:rPr>
      </w:pPr>
      <w:bookmarkStart w:id="0" w:name="_Ref462817227"/>
      <w:r w:rsidRPr="00E666C9">
        <w:t>3GPP</w:t>
      </w:r>
      <w:r w:rsidR="00BB6996" w:rsidRPr="00E666C9">
        <w:t xml:space="preserve"> TSG-RAN WG1 #9</w:t>
      </w:r>
      <w:r w:rsidR="00070695" w:rsidRPr="00E666C9">
        <w:t>7</w:t>
      </w:r>
      <w:r w:rsidR="00B548DA" w:rsidRPr="00E666C9">
        <w:rPr>
          <w:rFonts w:ascii="Arial" w:hAnsi="Arial" w:cs="Arial"/>
        </w:rPr>
        <w:tab/>
      </w:r>
      <w:r w:rsidR="00783800" w:rsidRPr="00E666C9">
        <w:rPr>
          <w:rFonts w:ascii="Arial" w:hAnsi="Arial" w:cs="Arial"/>
        </w:rPr>
        <w:t>R1</w:t>
      </w:r>
      <w:r w:rsidR="008E1D88" w:rsidRPr="00E666C9">
        <w:rPr>
          <w:rFonts w:ascii="Arial" w:hAnsi="Arial" w:cs="Arial"/>
        </w:rPr>
        <w:t>-</w:t>
      </w:r>
      <w:r w:rsidR="00BB6996" w:rsidRPr="00E666C9">
        <w:rPr>
          <w:rFonts w:ascii="Arial" w:hAnsi="Arial" w:cs="Arial"/>
        </w:rPr>
        <w:t>19</w:t>
      </w:r>
      <w:r w:rsidR="008D45F2">
        <w:rPr>
          <w:rFonts w:ascii="Arial" w:hAnsi="Arial" w:cs="Arial"/>
        </w:rPr>
        <w:t>0</w:t>
      </w:r>
      <w:r w:rsidR="008D45F2" w:rsidRPr="008D45F2">
        <w:rPr>
          <w:rFonts w:ascii="Arial" w:hAnsi="Arial" w:cs="Arial"/>
        </w:rPr>
        <w:t>7027</w:t>
      </w:r>
      <w:r w:rsidR="008D45F2" w:rsidRPr="008D45F2" w:rsidDel="00070695">
        <w:rPr>
          <w:rFonts w:ascii="Arial" w:hAnsi="Arial" w:cs="Arial"/>
        </w:rPr>
        <w:t xml:space="preserve"> </w:t>
      </w:r>
      <w:r w:rsidR="005A147F" w:rsidRPr="00E666C9" w:rsidDel="005A147F">
        <w:rPr>
          <w:rFonts w:ascii="Arial" w:hAnsi="Arial" w:cs="Arial"/>
        </w:rPr>
        <w:t xml:space="preserve"> </w:t>
      </w:r>
    </w:p>
    <w:p w14:paraId="7A9879CD" w14:textId="04A17262" w:rsidR="00584ABE" w:rsidRPr="007A3FE1" w:rsidRDefault="007A4031" w:rsidP="005923F4">
      <w:pPr>
        <w:pStyle w:val="3GPPHeader"/>
        <w:spacing w:after="60"/>
        <w:rPr>
          <w:rFonts w:ascii="Arial" w:hAnsi="Arial" w:cs="Arial"/>
          <w:b w:val="0"/>
          <w:noProof/>
        </w:rPr>
      </w:pPr>
      <w:r>
        <w:t>Reno</w:t>
      </w:r>
      <w:r w:rsidR="00CB54FB">
        <w:t xml:space="preserve">, </w:t>
      </w:r>
      <w:r>
        <w:t>USA</w:t>
      </w:r>
      <w:r w:rsidR="00F66DDF">
        <w:t xml:space="preserve">, </w:t>
      </w:r>
      <w:r>
        <w:t>May 13</w:t>
      </w:r>
      <w:r w:rsidRPr="00E666C9">
        <w:rPr>
          <w:vertAlign w:val="superscript"/>
        </w:rPr>
        <w:t>th</w:t>
      </w:r>
      <w:r>
        <w:t xml:space="preserve"> – 17</w:t>
      </w:r>
      <w:r w:rsidRPr="00E666C9">
        <w:rPr>
          <w:vertAlign w:val="superscript"/>
        </w:rPr>
        <w:t>th</w:t>
      </w:r>
      <w:r>
        <w:t xml:space="preserve"> </w:t>
      </w:r>
      <w:r w:rsidR="00E03DCD">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6B535E8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F66DDF">
        <w:rPr>
          <w:rFonts w:ascii="Arial" w:hAnsi="Arial" w:cs="Arial"/>
          <w:sz w:val="22"/>
        </w:rPr>
        <w:t>2.2.2</w:t>
      </w:r>
      <w:r w:rsidR="00E03DCD">
        <w:rPr>
          <w:rFonts w:ascii="Arial" w:hAnsi="Arial" w:cs="Arial"/>
          <w:sz w:val="22"/>
        </w:rPr>
        <w:t>.5</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44027BC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BA52AA">
        <w:rPr>
          <w:rFonts w:ascii="Arial" w:hAnsi="Arial" w:cs="Arial"/>
          <w:sz w:val="22"/>
        </w:rPr>
        <w:t>Wideband operation in NR unlicensed</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EEB116A" w14:textId="5A332596" w:rsidR="00E328C4" w:rsidRDefault="009B76F3" w:rsidP="001F718F">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In this paper, we discuss wideband operation</w:t>
      </w:r>
      <w:r w:rsidR="00D511FF">
        <w:rPr>
          <w:rFonts w:ascii="Times New Roman" w:hAnsi="Times New Roman" w:cs="Times New Roman"/>
          <w:b w:val="0"/>
          <w:bCs w:val="0"/>
          <w:sz w:val="20"/>
          <w:szCs w:val="20"/>
          <w:lang w:eastAsia="en-US"/>
        </w:rPr>
        <w:t xml:space="preserve">, including topics of COT indication in frequency domain, </w:t>
      </w:r>
      <w:r w:rsidR="005A6B1C">
        <w:rPr>
          <w:rFonts w:ascii="Times New Roman" w:hAnsi="Times New Roman" w:cs="Times New Roman"/>
          <w:b w:val="0"/>
          <w:bCs w:val="0"/>
          <w:sz w:val="20"/>
          <w:szCs w:val="20"/>
          <w:lang w:eastAsia="en-US"/>
        </w:rPr>
        <w:t xml:space="preserve">relationship between PDCCH and LBT bandwidth, </w:t>
      </w:r>
      <w:r w:rsidR="00D511FF">
        <w:rPr>
          <w:rFonts w:ascii="Times New Roman" w:hAnsi="Times New Roman" w:cs="Times New Roman"/>
          <w:b w:val="0"/>
          <w:bCs w:val="0"/>
          <w:sz w:val="20"/>
          <w:szCs w:val="20"/>
          <w:lang w:eastAsia="en-US"/>
        </w:rPr>
        <w:t>and PDSCH transmission in case that partial BWP has passed LBT.</w:t>
      </w:r>
    </w:p>
    <w:p w14:paraId="413FC6EA" w14:textId="21E9C140" w:rsidR="009B76F3" w:rsidRDefault="009B76F3" w:rsidP="001F718F">
      <w:pPr>
        <w:pStyle w:val="Proposal"/>
        <w:numPr>
          <w:ilvl w:val="0"/>
          <w:numId w:val="0"/>
        </w:numPr>
        <w:rPr>
          <w:rFonts w:ascii="Times New Roman" w:hAnsi="Times New Roman" w:cs="Times New Roman"/>
          <w:b w:val="0"/>
          <w:bCs w:val="0"/>
          <w:sz w:val="20"/>
          <w:szCs w:val="20"/>
          <w:lang w:eastAsia="en-US"/>
        </w:rPr>
      </w:pPr>
    </w:p>
    <w:p w14:paraId="30ED559D" w14:textId="3C11BE3A" w:rsidR="00362DE3" w:rsidRDefault="00D215AD" w:rsidP="00E666C9">
      <w:pPr>
        <w:pStyle w:val="Heading1"/>
        <w:numPr>
          <w:ilvl w:val="0"/>
          <w:numId w:val="0"/>
        </w:numPr>
        <w:rPr>
          <w:rFonts w:ascii="Times New Roman" w:hAnsi="Times New Roman" w:cs="Times New Roman"/>
          <w:sz w:val="20"/>
          <w:szCs w:val="20"/>
          <w:lang w:eastAsia="en-US"/>
        </w:rPr>
      </w:pPr>
      <w:bookmarkStart w:id="1" w:name="_Ref462918989"/>
      <w:r>
        <w:rPr>
          <w:rFonts w:ascii="Times New Roman" w:hAnsi="Times New Roman" w:cs="Times New Roman"/>
          <w:b/>
          <w:sz w:val="20"/>
          <w:szCs w:val="20"/>
          <w:lang w:eastAsia="en-US"/>
        </w:rPr>
        <w:lastRenderedPageBreak/>
        <w:t xml:space="preserve"> </w:t>
      </w:r>
      <w:r w:rsidR="0056299D">
        <w:rPr>
          <w:rFonts w:ascii="Times New Roman" w:hAnsi="Times New Roman" w:cs="Times New Roman"/>
          <w:sz w:val="20"/>
          <w:szCs w:val="20"/>
          <w:lang w:eastAsia="en-US"/>
        </w:rPr>
        <w:t xml:space="preserve"> </w:t>
      </w:r>
    </w:p>
    <w:bookmarkEnd w:id="1"/>
    <w:p w14:paraId="3A94FE98" w14:textId="1BFDF000" w:rsidR="00855482" w:rsidRDefault="00855482" w:rsidP="00855482">
      <w:pPr>
        <w:pStyle w:val="Heading1"/>
        <w:rPr>
          <w:lang w:val="en-US"/>
        </w:rPr>
      </w:pPr>
      <w:r>
        <w:rPr>
          <w:lang w:val="en-US"/>
        </w:rPr>
        <w:t>COT structure indication in frequency domain</w:t>
      </w:r>
    </w:p>
    <w:p w14:paraId="560AC2B1" w14:textId="72147B46" w:rsidR="00855482" w:rsidRDefault="00855482"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As agreed </w:t>
      </w:r>
      <w:r w:rsidR="00C06AF4">
        <w:rPr>
          <w:rFonts w:ascii="Times New Roman" w:eastAsia="MS Mincho" w:hAnsi="Times New Roman" w:cs="Times New Roman"/>
          <w:sz w:val="20"/>
          <w:szCs w:val="20"/>
          <w:lang w:val="en-AU"/>
        </w:rPr>
        <w:t>for DL</w:t>
      </w:r>
      <w:r>
        <w:rPr>
          <w:rFonts w:ascii="Times New Roman" w:eastAsia="MS Mincho" w:hAnsi="Times New Roman" w:cs="Times New Roman"/>
          <w:sz w:val="20"/>
          <w:szCs w:val="20"/>
          <w:lang w:val="en-AU"/>
        </w:rPr>
        <w:t xml:space="preserve">, gNB should be allowed to </w:t>
      </w:r>
      <w:r w:rsidRPr="005E0FF1">
        <w:rPr>
          <w:rFonts w:ascii="Times New Roman" w:eastAsia="MS Mincho" w:hAnsi="Times New Roman" w:cs="Times New Roman"/>
          <w:sz w:val="20"/>
          <w:szCs w:val="20"/>
          <w:lang w:val="en-AU"/>
        </w:rPr>
        <w:t xml:space="preserve">grab the </w:t>
      </w:r>
      <w:r w:rsidRPr="005E0FF1">
        <w:rPr>
          <w:rFonts w:ascii="Times New Roman" w:eastAsia="MS Mincho" w:hAnsi="Times New Roman" w:cs="Times New Roman"/>
          <w:b/>
          <w:i/>
          <w:sz w:val="20"/>
          <w:szCs w:val="20"/>
          <w:lang w:val="en-AU"/>
        </w:rPr>
        <w:t>partial</w:t>
      </w:r>
      <w:r w:rsidRPr="005E0FF1">
        <w:rPr>
          <w:rFonts w:ascii="Times New Roman" w:eastAsia="MS Mincho" w:hAnsi="Times New Roman" w:cs="Times New Roman"/>
          <w:sz w:val="20"/>
          <w:szCs w:val="20"/>
          <w:lang w:val="en-AU"/>
        </w:rPr>
        <w:t xml:space="preserve"> wideband channel that is clear from channel assessment even if the whole wideband is configured as one BWP. In other words, it may happen that gNB does not gain access on some portion of UE’s active BWP due to LBT failure over those portions, but gNB still proceeds for DL transmission over the acquired part. In such case, it is beneficial for the UE to know which part of the active BWP that gNB has failed gaining control, such that UE can skip the PDCCH/PDSCH over those portions. </w:t>
      </w:r>
      <w:r>
        <w:rPr>
          <w:rFonts w:ascii="Times New Roman" w:eastAsia="MS Mincho" w:hAnsi="Times New Roman" w:cs="Times New Roman"/>
          <w:sz w:val="20"/>
          <w:szCs w:val="20"/>
          <w:lang w:val="en-AU"/>
        </w:rPr>
        <w:t>On the other hand, for semi-static configured UL transmission such as PRACH, configured grant type-1 within gNB’s COT, it is also important for UE to know which 20MHz LBT sub-band(s) of the active BWP are allowed.</w:t>
      </w:r>
    </w:p>
    <w:p w14:paraId="6806C223" w14:textId="5C3CB60C" w:rsidR="005A6B1C" w:rsidRDefault="005A6B1C"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 xml:space="preserve">In the previous meeting, RAN1#96bis, </w:t>
      </w:r>
      <w:r w:rsidR="00E732FD">
        <w:rPr>
          <w:rFonts w:ascii="Times New Roman" w:eastAsia="MS Mincho" w:hAnsi="Times New Roman" w:cs="Times New Roman"/>
          <w:sz w:val="20"/>
          <w:szCs w:val="20"/>
          <w:lang w:val="en-AU"/>
        </w:rPr>
        <w:t>it has been agreed that the spec will support a mechanism for a UE to recognize the gNB’s LBT outcome, with the following options to be down-selected: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32FD" w:rsidRPr="00B554EA" w14:paraId="7368F81C" w14:textId="77777777" w:rsidTr="00C41BFB">
        <w:tc>
          <w:tcPr>
            <w:tcW w:w="9856" w:type="dxa"/>
            <w:shd w:val="clear" w:color="auto" w:fill="auto"/>
          </w:tcPr>
          <w:p w14:paraId="10F51C89" w14:textId="77777777" w:rsidR="00E732FD" w:rsidRPr="00E666C9" w:rsidRDefault="00E732FD" w:rsidP="00C41BFB">
            <w:pPr>
              <w:spacing w:after="0"/>
              <w:rPr>
                <w:rFonts w:ascii="Times" w:eastAsia="Batang" w:hAnsi="Times"/>
                <w:sz w:val="20"/>
                <w:szCs w:val="20"/>
                <w:lang w:val="en-US" w:eastAsia="x-none"/>
              </w:rPr>
            </w:pPr>
            <w:r w:rsidRPr="00E666C9">
              <w:rPr>
                <w:rFonts w:ascii="Times" w:eastAsia="Batang" w:hAnsi="Times"/>
                <w:sz w:val="20"/>
                <w:szCs w:val="20"/>
                <w:highlight w:val="green"/>
                <w:lang w:val="en-US" w:eastAsia="x-none"/>
              </w:rPr>
              <w:t>Agreement:</w:t>
            </w:r>
          </w:p>
          <w:p w14:paraId="265465C0" w14:textId="77777777" w:rsidR="00E732FD" w:rsidRPr="00E666C9" w:rsidRDefault="00E732FD" w:rsidP="00E732FD">
            <w:pPr>
              <w:numPr>
                <w:ilvl w:val="0"/>
                <w:numId w:val="18"/>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Support a mechanism for a UE to detect gNB is transmitting across</w:t>
            </w:r>
          </w:p>
          <w:p w14:paraId="0ED03026" w14:textId="77777777" w:rsidR="00E732FD" w:rsidRPr="00E666C9" w:rsidRDefault="00E732FD" w:rsidP="00E732FD">
            <w:pPr>
              <w:numPr>
                <w:ilvl w:val="0"/>
                <w:numId w:val="17"/>
              </w:numPr>
              <w:spacing w:after="0" w:line="240" w:lineRule="auto"/>
              <w:rPr>
                <w:rFonts w:ascii="Times" w:eastAsia="Batang" w:hAnsi="Times"/>
                <w:sz w:val="20"/>
                <w:szCs w:val="20"/>
                <w:lang w:val="en-US" w:eastAsia="x-none"/>
              </w:rPr>
            </w:pPr>
            <w:r w:rsidRPr="00E666C9">
              <w:rPr>
                <w:rFonts w:ascii="Times" w:eastAsia="Batang" w:hAnsi="Times"/>
                <w:sz w:val="20"/>
                <w:szCs w:val="20"/>
                <w:lang w:eastAsia="x-none"/>
              </w:rPr>
              <w:t xml:space="preserve">Multiple carriers </w:t>
            </w:r>
          </w:p>
          <w:p w14:paraId="63D3DA86" w14:textId="77777777" w:rsidR="00E732FD" w:rsidRPr="00E666C9" w:rsidRDefault="00E732FD" w:rsidP="00E732FD">
            <w:pPr>
              <w:numPr>
                <w:ilvl w:val="0"/>
                <w:numId w:val="17"/>
              </w:numPr>
              <w:spacing w:after="0" w:line="240" w:lineRule="auto"/>
              <w:rPr>
                <w:rFonts w:ascii="Times" w:eastAsia="Batang" w:hAnsi="Times"/>
                <w:sz w:val="20"/>
                <w:szCs w:val="20"/>
                <w:lang w:val="en-US" w:eastAsia="x-none"/>
              </w:rPr>
            </w:pPr>
            <w:r w:rsidRPr="00E666C9">
              <w:rPr>
                <w:rFonts w:ascii="Times" w:eastAsia="Batang" w:hAnsi="Times"/>
                <w:sz w:val="20"/>
                <w:szCs w:val="20"/>
                <w:lang w:eastAsia="x-none"/>
              </w:rPr>
              <w:t xml:space="preserve">Multiple LBT bandwidths in a carrier. </w:t>
            </w:r>
          </w:p>
          <w:p w14:paraId="517333C6" w14:textId="77777777" w:rsidR="00E732FD" w:rsidRPr="00E666C9" w:rsidRDefault="00E732FD" w:rsidP="00E732FD">
            <w:pPr>
              <w:numPr>
                <w:ilvl w:val="0"/>
                <w:numId w:val="18"/>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The following mechanisms are to be considered:</w:t>
            </w:r>
          </w:p>
          <w:p w14:paraId="4B961EC0" w14:textId="77777777" w:rsidR="00E732FD" w:rsidRPr="00E666C9" w:rsidRDefault="00E732FD" w:rsidP="00E732FD">
            <w:pPr>
              <w:numPr>
                <w:ilvl w:val="0"/>
                <w:numId w:val="16"/>
              </w:numPr>
              <w:spacing w:after="0" w:line="240" w:lineRule="auto"/>
              <w:rPr>
                <w:rFonts w:ascii="Times" w:eastAsia="Batang" w:hAnsi="Times"/>
                <w:sz w:val="20"/>
                <w:szCs w:val="20"/>
                <w:lang w:val="en-US" w:eastAsia="x-none"/>
              </w:rPr>
            </w:pPr>
            <w:r w:rsidRPr="00E666C9">
              <w:rPr>
                <w:rFonts w:ascii="Times" w:eastAsia="Batang" w:hAnsi="Times"/>
                <w:sz w:val="20"/>
                <w:szCs w:val="20"/>
                <w:lang w:eastAsia="x-none"/>
              </w:rPr>
              <w:t>Option 1: Explicit indication via PDCCH</w:t>
            </w:r>
          </w:p>
          <w:p w14:paraId="59269433" w14:textId="77777777" w:rsidR="00E732FD" w:rsidRPr="00E666C9" w:rsidRDefault="00E732FD" w:rsidP="00E732FD">
            <w:pPr>
              <w:numPr>
                <w:ilvl w:val="1"/>
                <w:numId w:val="16"/>
              </w:numPr>
              <w:spacing w:after="0" w:line="240" w:lineRule="auto"/>
              <w:rPr>
                <w:rFonts w:ascii="Times" w:eastAsia="Batang" w:hAnsi="Times"/>
                <w:sz w:val="20"/>
                <w:szCs w:val="20"/>
                <w:lang w:val="en-US" w:eastAsia="x-none"/>
              </w:rPr>
            </w:pPr>
            <w:r w:rsidRPr="00E666C9">
              <w:rPr>
                <w:rFonts w:ascii="Times" w:eastAsia="Batang" w:hAnsi="Times"/>
                <w:sz w:val="20"/>
                <w:szCs w:val="20"/>
                <w:lang w:eastAsia="x-none"/>
              </w:rPr>
              <w:t>FFS: The type of PDCCH (e.g., group common PDCCH or UE-specific PDCCH)</w:t>
            </w:r>
          </w:p>
          <w:p w14:paraId="38104A4F" w14:textId="77777777" w:rsidR="00E732FD" w:rsidRPr="00E666C9" w:rsidRDefault="00E732FD" w:rsidP="00E732FD">
            <w:pPr>
              <w:numPr>
                <w:ilvl w:val="1"/>
                <w:numId w:val="16"/>
              </w:numPr>
              <w:spacing w:after="0" w:line="240" w:lineRule="auto"/>
              <w:rPr>
                <w:rFonts w:ascii="Times" w:eastAsia="Batang" w:hAnsi="Times"/>
                <w:sz w:val="20"/>
                <w:szCs w:val="20"/>
                <w:lang w:val="en-US" w:eastAsia="x-none"/>
              </w:rPr>
            </w:pPr>
            <w:r w:rsidRPr="00E666C9">
              <w:rPr>
                <w:rFonts w:ascii="Times" w:eastAsia="Batang" w:hAnsi="Times"/>
                <w:sz w:val="20"/>
                <w:szCs w:val="20"/>
                <w:lang w:eastAsia="x-none"/>
              </w:rPr>
              <w:t>FFS: Signaling details of the indication</w:t>
            </w:r>
          </w:p>
          <w:p w14:paraId="63FF941C" w14:textId="77777777" w:rsidR="00E732FD" w:rsidRPr="00E666C9" w:rsidRDefault="00E732FD" w:rsidP="00E732FD">
            <w:pPr>
              <w:numPr>
                <w:ilvl w:val="0"/>
                <w:numId w:val="16"/>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Option 2: Explicit indication via selection of a PDCCH DM-RS sequence from a set of PDCCH DM-RS sequences</w:t>
            </w:r>
          </w:p>
          <w:p w14:paraId="5EE1E716" w14:textId="77777777" w:rsidR="00E732FD" w:rsidRPr="00E666C9" w:rsidRDefault="00E732FD" w:rsidP="00E732FD">
            <w:pPr>
              <w:numPr>
                <w:ilvl w:val="1"/>
                <w:numId w:val="16"/>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FFS: Details of the indication</w:t>
            </w:r>
          </w:p>
          <w:p w14:paraId="1B6B2CEF" w14:textId="77777777" w:rsidR="00E732FD" w:rsidRPr="00E666C9" w:rsidRDefault="00E732FD" w:rsidP="00E732FD">
            <w:pPr>
              <w:numPr>
                <w:ilvl w:val="0"/>
                <w:numId w:val="16"/>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Option 3: Via UE implementation, i.e., implicit method based on NR-based signal such as DM-RS and/or corresponding PDCCH detection</w:t>
            </w:r>
          </w:p>
          <w:p w14:paraId="79A77C8D" w14:textId="77777777" w:rsidR="00E732FD" w:rsidRPr="00E666C9" w:rsidRDefault="00E732FD" w:rsidP="00E732FD">
            <w:pPr>
              <w:numPr>
                <w:ilvl w:val="1"/>
                <w:numId w:val="16"/>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FFS: Which signals/channels or combination of signals/channels could be used by the UE</w:t>
            </w:r>
          </w:p>
          <w:p w14:paraId="2962221D" w14:textId="77777777" w:rsidR="00E732FD" w:rsidRPr="00E666C9" w:rsidRDefault="00E732FD" w:rsidP="00E732FD">
            <w:pPr>
              <w:numPr>
                <w:ilvl w:val="0"/>
                <w:numId w:val="16"/>
              </w:numPr>
              <w:spacing w:after="0" w:line="240" w:lineRule="auto"/>
              <w:rPr>
                <w:rFonts w:ascii="Times" w:eastAsia="Batang" w:hAnsi="Times"/>
                <w:sz w:val="20"/>
                <w:szCs w:val="20"/>
                <w:lang w:eastAsia="x-none"/>
              </w:rPr>
            </w:pPr>
            <w:r w:rsidRPr="00E666C9">
              <w:rPr>
                <w:rFonts w:ascii="Times" w:eastAsia="Batang" w:hAnsi="Times"/>
                <w:sz w:val="20"/>
                <w:szCs w:val="20"/>
                <w:lang w:eastAsia="x-none"/>
              </w:rPr>
              <w:t>Note: Above options are not mutually exclusive</w:t>
            </w:r>
          </w:p>
          <w:p w14:paraId="493E3AF7" w14:textId="77777777" w:rsidR="00E732FD" w:rsidRPr="00B554EA" w:rsidRDefault="00E732FD" w:rsidP="00C41BFB">
            <w:pPr>
              <w:spacing w:after="0"/>
              <w:rPr>
                <w:rFonts w:ascii="Times New Roman" w:hAnsi="Times New Roman"/>
                <w:b/>
                <w:sz w:val="24"/>
                <w:u w:val="single"/>
                <w:lang w:eastAsia="ja-JP"/>
              </w:rPr>
            </w:pPr>
          </w:p>
        </w:tc>
      </w:tr>
    </w:tbl>
    <w:p w14:paraId="2020E1CC" w14:textId="77777777" w:rsidR="00E732FD" w:rsidRPr="00E666C9" w:rsidRDefault="00E732FD" w:rsidP="00855482">
      <w:pPr>
        <w:spacing w:after="180"/>
        <w:rPr>
          <w:rFonts w:ascii="Times New Roman" w:eastAsia="MS Mincho" w:hAnsi="Times New Roman" w:cs="Times New Roman"/>
          <w:sz w:val="20"/>
          <w:szCs w:val="20"/>
        </w:rPr>
      </w:pPr>
    </w:p>
    <w:p w14:paraId="260D81BC" w14:textId="5FD9F3BA" w:rsidR="00855482" w:rsidRPr="005E0FF1" w:rsidRDefault="00C84BF1" w:rsidP="00855482">
      <w:pPr>
        <w:spacing w:after="180"/>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C</w:t>
      </w:r>
      <w:r w:rsidR="00855482">
        <w:rPr>
          <w:rFonts w:ascii="Times New Roman" w:eastAsia="MS Mincho" w:hAnsi="Times New Roman" w:cs="Times New Roman"/>
          <w:sz w:val="20"/>
          <w:szCs w:val="20"/>
          <w:lang w:val="en-AU"/>
        </w:rPr>
        <w:t>omparing</w:t>
      </w:r>
      <w:r>
        <w:rPr>
          <w:rFonts w:ascii="Times New Roman" w:eastAsia="MS Mincho" w:hAnsi="Times New Roman" w:cs="Times New Roman"/>
          <w:sz w:val="20"/>
          <w:szCs w:val="20"/>
          <w:lang w:val="en-AU"/>
        </w:rPr>
        <w:t xml:space="preserve"> the above three options</w:t>
      </w:r>
      <w:r w:rsidR="00855482">
        <w:rPr>
          <w:rFonts w:ascii="Times New Roman" w:eastAsia="MS Mincho" w:hAnsi="Times New Roman" w:cs="Times New Roman"/>
          <w:sz w:val="20"/>
          <w:szCs w:val="20"/>
          <w:lang w:val="en-AU"/>
        </w:rPr>
        <w:t>, explicit signalling</w:t>
      </w:r>
      <w:r>
        <w:rPr>
          <w:rFonts w:ascii="Times New Roman" w:eastAsia="MS Mincho" w:hAnsi="Times New Roman" w:cs="Times New Roman"/>
          <w:sz w:val="20"/>
          <w:szCs w:val="20"/>
          <w:lang w:val="en-AU"/>
        </w:rPr>
        <w:t xml:space="preserve"> in Option 1 and Option 2</w:t>
      </w:r>
      <w:r w:rsidR="00855482">
        <w:rPr>
          <w:rFonts w:ascii="Times New Roman" w:eastAsia="MS Mincho" w:hAnsi="Times New Roman" w:cs="Times New Roman"/>
          <w:sz w:val="20"/>
          <w:szCs w:val="20"/>
          <w:lang w:val="en-AU"/>
        </w:rPr>
        <w:t xml:space="preserve"> can achieve better flexibility</w:t>
      </w:r>
      <w:r>
        <w:rPr>
          <w:rFonts w:ascii="Times New Roman" w:eastAsia="MS Mincho" w:hAnsi="Times New Roman" w:cs="Times New Roman"/>
          <w:sz w:val="20"/>
          <w:szCs w:val="20"/>
          <w:lang w:val="en-AU"/>
        </w:rPr>
        <w:t xml:space="preserve"> than implicit signalling in Option 3</w:t>
      </w:r>
      <w:r w:rsidR="00855482">
        <w:rPr>
          <w:rFonts w:ascii="Times New Roman" w:eastAsia="MS Mincho" w:hAnsi="Times New Roman" w:cs="Times New Roman"/>
          <w:sz w:val="20"/>
          <w:szCs w:val="20"/>
          <w:lang w:val="en-AU"/>
        </w:rPr>
        <w:t xml:space="preserve">, because it gives more freedom for gNB to control UE’s reception and transmission. </w:t>
      </w:r>
      <w:r>
        <w:rPr>
          <w:rFonts w:ascii="Times New Roman" w:eastAsia="MS Mincho" w:hAnsi="Times New Roman" w:cs="Times New Roman"/>
          <w:sz w:val="20"/>
          <w:szCs w:val="20"/>
          <w:lang w:val="en-AU"/>
        </w:rPr>
        <w:t>Further comparing between Option 1 and Option 2</w:t>
      </w:r>
      <w:r w:rsidR="00855482">
        <w:rPr>
          <w:rFonts w:ascii="Times New Roman" w:eastAsia="MS Mincho" w:hAnsi="Times New Roman" w:cs="Times New Roman"/>
          <w:sz w:val="20"/>
          <w:szCs w:val="20"/>
          <w:lang w:val="en-AU"/>
        </w:rPr>
        <w:t xml:space="preserve">, </w:t>
      </w:r>
      <w:r>
        <w:rPr>
          <w:rFonts w:ascii="Times New Roman" w:eastAsia="MS Mincho" w:hAnsi="Times New Roman" w:cs="Times New Roman"/>
          <w:sz w:val="20"/>
          <w:szCs w:val="20"/>
          <w:lang w:val="en-AU"/>
        </w:rPr>
        <w:t xml:space="preserve">Option 1 </w:t>
      </w:r>
      <w:r w:rsidR="00855482">
        <w:rPr>
          <w:rFonts w:ascii="Times New Roman" w:eastAsia="MS Mincho" w:hAnsi="Times New Roman" w:cs="Times New Roman"/>
          <w:sz w:val="20"/>
          <w:szCs w:val="20"/>
          <w:lang w:val="en-AU"/>
        </w:rPr>
        <w:t xml:space="preserve">is much more robust </w:t>
      </w:r>
      <w:r>
        <w:rPr>
          <w:rFonts w:ascii="Times New Roman" w:eastAsia="MS Mincho" w:hAnsi="Times New Roman" w:cs="Times New Roman"/>
          <w:sz w:val="20"/>
          <w:szCs w:val="20"/>
          <w:lang w:val="en-AU"/>
        </w:rPr>
        <w:t>because Option 2 only</w:t>
      </w:r>
      <w:r w:rsidR="00855482">
        <w:rPr>
          <w:rFonts w:ascii="Times New Roman" w:eastAsia="MS Mincho" w:hAnsi="Times New Roman" w:cs="Times New Roman"/>
          <w:sz w:val="20"/>
          <w:szCs w:val="20"/>
          <w:lang w:val="en-AU"/>
        </w:rPr>
        <w:t xml:space="preserve"> relies on sequence detection without protection of channel coding including CRC. </w:t>
      </w:r>
      <w:r>
        <w:rPr>
          <w:rFonts w:ascii="Times New Roman" w:eastAsia="MS Mincho" w:hAnsi="Times New Roman" w:cs="Times New Roman"/>
          <w:sz w:val="20"/>
          <w:szCs w:val="20"/>
          <w:lang w:val="en-AU"/>
        </w:rPr>
        <w:t xml:space="preserve">In addition, Option 1 is more aligned with the COT indication design for time domain. If COT structure information (time domain) is carried by group-common PDCCH, it is a natural choice to also include the frequency domain occupancy information. </w:t>
      </w:r>
      <w:r w:rsidR="00C06AF4">
        <w:rPr>
          <w:rFonts w:ascii="Times New Roman" w:eastAsia="MS Mincho" w:hAnsi="Times New Roman" w:cs="Times New Roman"/>
          <w:sz w:val="20"/>
          <w:szCs w:val="20"/>
          <w:lang w:val="en-AU"/>
        </w:rPr>
        <w:t>Please see our companion paper [</w:t>
      </w:r>
      <w:r>
        <w:rPr>
          <w:rFonts w:ascii="Times New Roman" w:eastAsia="MS Mincho" w:hAnsi="Times New Roman" w:cs="Times New Roman"/>
          <w:sz w:val="20"/>
          <w:szCs w:val="20"/>
          <w:lang w:val="en-AU"/>
        </w:rPr>
        <w:t>1</w:t>
      </w:r>
      <w:r w:rsidR="00C06AF4">
        <w:rPr>
          <w:rFonts w:ascii="Times New Roman" w:eastAsia="MS Mincho" w:hAnsi="Times New Roman" w:cs="Times New Roman"/>
          <w:sz w:val="20"/>
          <w:szCs w:val="20"/>
          <w:lang w:val="en-AU"/>
        </w:rPr>
        <w:t>] for more discussion on COT indication signalling design and COT structure information in time domain.</w:t>
      </w:r>
    </w:p>
    <w:p w14:paraId="6F36C6F6" w14:textId="77777777" w:rsidR="00855482" w:rsidRDefault="00855482" w:rsidP="00855482">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Therefore, in wideband operation</w:t>
      </w:r>
      <w:r w:rsidRPr="005E0FF1">
        <w:rPr>
          <w:rFonts w:ascii="Times New Roman" w:eastAsia="MS Mincho" w:hAnsi="Times New Roman" w:cs="Times New Roman"/>
          <w:sz w:val="20"/>
          <w:szCs w:val="20"/>
          <w:lang w:val="en-AU"/>
        </w:rPr>
        <w:t xml:space="preserve">, the COT structure should include 2-dimension information, time and frequency. </w:t>
      </w:r>
      <w:r>
        <w:rPr>
          <w:rFonts w:ascii="Times New Roman" w:eastAsia="MS Mincho" w:hAnsi="Times New Roman" w:cs="Times New Roman"/>
          <w:sz w:val="20"/>
          <w:szCs w:val="20"/>
          <w:lang w:val="en-AU"/>
        </w:rPr>
        <w:t>Or more precisely, the original meaning of COT structure (as its name suggested) should be associated with a frequency domain applicable range, where t</w:t>
      </w:r>
      <w:r w:rsidRPr="005E0FF1">
        <w:rPr>
          <w:rFonts w:ascii="Times New Roman" w:eastAsia="MS Mincho" w:hAnsi="Times New Roman" w:cs="Times New Roman"/>
          <w:sz w:val="20"/>
          <w:szCs w:val="20"/>
          <w:lang w:val="en-AU"/>
        </w:rPr>
        <w:t>he granul</w:t>
      </w:r>
      <w:r>
        <w:rPr>
          <w:rFonts w:ascii="Times New Roman" w:eastAsia="MS Mincho" w:hAnsi="Times New Roman" w:cs="Times New Roman"/>
          <w:sz w:val="20"/>
          <w:szCs w:val="20"/>
          <w:lang w:val="en-AU"/>
        </w:rPr>
        <w:t>arity can be per 20MHz LBT sub-band</w:t>
      </w:r>
      <w:r w:rsidRPr="005E0FF1">
        <w:rPr>
          <w:rFonts w:ascii="Times New Roman" w:eastAsia="MS Mincho" w:hAnsi="Times New Roman" w:cs="Times New Roman"/>
          <w:sz w:val="20"/>
          <w:szCs w:val="20"/>
          <w:lang w:val="en-AU"/>
        </w:rPr>
        <w:t>.</w:t>
      </w:r>
      <w:r>
        <w:rPr>
          <w:rFonts w:ascii="Times New Roman" w:eastAsia="MS Mincho" w:hAnsi="Times New Roman" w:cs="Times New Roman"/>
          <w:sz w:val="20"/>
          <w:szCs w:val="20"/>
          <w:lang w:val="en-AU"/>
        </w:rPr>
        <w:t xml:space="preserve"> One example is given in the figure below, where the active BWP has 80 MHz but #4 20 MHz sub-band has failed LBT. As a result, the time domain slot format is associated with the applicable frequency range of 60 MHz consisting of sub-bands #1,#2, and #3. Thanks to this information, UE need not monitor/receive any PDCCH/PDSCH over the #4 sub-band.     </w:t>
      </w:r>
    </w:p>
    <w:p w14:paraId="237BB804" w14:textId="77777777" w:rsidR="00855482" w:rsidRDefault="00855482" w:rsidP="00855482">
      <w:pPr>
        <w:pStyle w:val="BodyText"/>
        <w:jc w:val="center"/>
        <w:rPr>
          <w:rFonts w:ascii="Times New Roman" w:eastAsia="MS Mincho" w:hAnsi="Times New Roman" w:cs="Times New Roman"/>
          <w:sz w:val="20"/>
          <w:szCs w:val="20"/>
          <w:lang w:val="en-AU"/>
        </w:rPr>
      </w:pPr>
    </w:p>
    <w:p w14:paraId="5C4F339D" w14:textId="77777777" w:rsidR="00855482" w:rsidRDefault="00855482" w:rsidP="00855482">
      <w:pPr>
        <w:pStyle w:val="BodyText"/>
        <w:jc w:val="center"/>
        <w:rPr>
          <w:rFonts w:ascii="Times New Roman" w:eastAsia="MS Mincho" w:hAnsi="Times New Roman" w:cs="Times New Roman"/>
          <w:sz w:val="20"/>
          <w:szCs w:val="20"/>
          <w:lang w:val="en-AU"/>
        </w:rPr>
      </w:pPr>
      <w:r>
        <w:rPr>
          <w:rFonts w:ascii="Times New Roman" w:eastAsia="MS Mincho" w:hAnsi="Times New Roman" w:cs="Times New Roman"/>
          <w:noProof/>
          <w:sz w:val="20"/>
          <w:szCs w:val="20"/>
        </w:rPr>
        <w:drawing>
          <wp:inline distT="0" distB="0" distL="0" distR="0" wp14:anchorId="67CF2700" wp14:editId="111821C4">
            <wp:extent cx="3369129" cy="3561193"/>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2529" cy="3564787"/>
                    </a:xfrm>
                    <a:prstGeom prst="rect">
                      <a:avLst/>
                    </a:prstGeom>
                    <a:noFill/>
                  </pic:spPr>
                </pic:pic>
              </a:graphicData>
            </a:graphic>
          </wp:inline>
        </w:drawing>
      </w:r>
    </w:p>
    <w:p w14:paraId="657BF6C8" w14:textId="77777777" w:rsidR="00855482" w:rsidRDefault="00855482" w:rsidP="00855482">
      <w:pPr>
        <w:pStyle w:val="BodyText"/>
        <w:rPr>
          <w:rFonts w:ascii="Times New Roman" w:eastAsia="MS Mincho" w:hAnsi="Times New Roman" w:cs="Times New Roman"/>
          <w:sz w:val="20"/>
          <w:szCs w:val="20"/>
          <w:lang w:val="en-AU"/>
        </w:rPr>
      </w:pPr>
    </w:p>
    <w:p w14:paraId="5FB7544F" w14:textId="73AC9D42" w:rsidR="00855482" w:rsidRDefault="00741C68" w:rsidP="00E666C9">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As CWS may be maintained per carrier or per LBT bandwidth, it could happen that the availability of carriers or LBT bandwidths are not aligned in time.</w:t>
      </w:r>
      <w:r w:rsidR="00FB2629">
        <w:rPr>
          <w:rFonts w:ascii="Times New Roman" w:eastAsia="MS Mincho" w:hAnsi="Times New Roman" w:cs="Times New Roman"/>
          <w:sz w:val="20"/>
          <w:szCs w:val="20"/>
          <w:lang w:val="en-AU"/>
        </w:rPr>
        <w:t xml:space="preserve"> One possible way is that, when gNB intends to initiate COT over multiple carriers or LBT bandwidths, the largest CWS among all carriers or LBT bandwidths is used to align the starting position. However, this may not be so efficient from the resource utilization point of view. If COT indication including frequency domain occupancy can be dynamically updated within the COT, it is then possible to increase the occupied carriers or LBT bandwidths more dynamically within the same COT. The benefits and mechanisms can be further studied. </w:t>
      </w:r>
      <w:r>
        <w:rPr>
          <w:rFonts w:ascii="Times New Roman" w:eastAsia="MS Mincho" w:hAnsi="Times New Roman" w:cs="Times New Roman"/>
          <w:sz w:val="20"/>
          <w:szCs w:val="20"/>
          <w:lang w:val="en-AU"/>
        </w:rPr>
        <w:t xml:space="preserve"> </w:t>
      </w:r>
    </w:p>
    <w:p w14:paraId="172A4BFE" w14:textId="16C38B6A" w:rsidR="00855482" w:rsidRDefault="00855482" w:rsidP="00855482">
      <w:pPr>
        <w:pStyle w:val="BodyText"/>
        <w:rPr>
          <w:rFonts w:ascii="Times New Roman" w:eastAsia="MS Mincho" w:hAnsi="Times New Roman" w:cs="Times New Roman"/>
          <w:sz w:val="20"/>
          <w:szCs w:val="20"/>
          <w:lang w:val="en-AU"/>
        </w:rPr>
      </w:pPr>
      <w:r>
        <w:rPr>
          <w:rFonts w:ascii="Times New Roman" w:eastAsia="MS Mincho" w:hAnsi="Times New Roman" w:cs="Times New Roman"/>
          <w:sz w:val="20"/>
          <w:szCs w:val="20"/>
          <w:lang w:val="en-AU"/>
        </w:rPr>
        <w:t>To summarize, we have the following proposal.</w:t>
      </w:r>
    </w:p>
    <w:p w14:paraId="4CB21B53" w14:textId="276BB55A" w:rsidR="00855482" w:rsidRDefault="00855482" w:rsidP="00855482">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712E40">
        <w:rPr>
          <w:rFonts w:ascii="Times New Roman" w:hAnsi="Times New Roman" w:cs="Times New Roman"/>
          <w:b/>
          <w:sz w:val="20"/>
          <w:szCs w:val="20"/>
          <w:lang w:eastAsia="en-US"/>
        </w:rPr>
        <w:t>1</w:t>
      </w:r>
      <w:r>
        <w:rPr>
          <w:rFonts w:ascii="Times New Roman" w:hAnsi="Times New Roman" w:cs="Times New Roman"/>
          <w:b/>
          <w:sz w:val="20"/>
          <w:szCs w:val="20"/>
          <w:lang w:eastAsia="en-US"/>
        </w:rPr>
        <w:t>: For wideband operation, in addition to time domain structure defining DL, UL and Flexible symbols, COT structure defines in frequency domain which LBT sub-band(s) are accessible to the UE.</w:t>
      </w:r>
    </w:p>
    <w:p w14:paraId="77ED00B2" w14:textId="029C5882" w:rsidR="00855482" w:rsidRDefault="00855482" w:rsidP="000F3343"/>
    <w:p w14:paraId="48A31E8D" w14:textId="0FC6A9B9" w:rsidR="00415D3C" w:rsidRDefault="00415D3C" w:rsidP="00415D3C">
      <w:pPr>
        <w:pStyle w:val="Heading1"/>
        <w:rPr>
          <w:lang w:val="en-US"/>
        </w:rPr>
      </w:pPr>
      <w:r>
        <w:rPr>
          <w:lang w:val="en-US"/>
        </w:rPr>
        <w:t xml:space="preserve">PDCCH transmission </w:t>
      </w:r>
    </w:p>
    <w:p w14:paraId="569042D4" w14:textId="77777777" w:rsidR="005313D4" w:rsidRDefault="00144A2C" w:rsidP="00E666C9">
      <w:pPr>
        <w:rPr>
          <w:rFonts w:ascii="Times New Roman" w:hAnsi="Times New Roman" w:cs="Times New Roman"/>
          <w:sz w:val="20"/>
          <w:szCs w:val="20"/>
          <w:lang w:eastAsia="en-US"/>
        </w:rPr>
      </w:pPr>
      <w:r w:rsidRPr="00E666C9">
        <w:rPr>
          <w:rFonts w:ascii="Times New Roman" w:hAnsi="Times New Roman" w:cs="Times New Roman"/>
          <w:sz w:val="20"/>
          <w:szCs w:val="20"/>
          <w:lang w:eastAsia="en-US"/>
        </w:rPr>
        <w:t>For the PDCCH</w:t>
      </w:r>
      <w:r>
        <w:rPr>
          <w:rFonts w:ascii="Times New Roman" w:hAnsi="Times New Roman" w:cs="Times New Roman"/>
          <w:sz w:val="20"/>
          <w:szCs w:val="20"/>
          <w:lang w:eastAsia="en-US"/>
        </w:rPr>
        <w:t xml:space="preserve"> </w:t>
      </w:r>
      <w:r w:rsidR="005313D4">
        <w:rPr>
          <w:rFonts w:ascii="Times New Roman" w:hAnsi="Times New Roman" w:cs="Times New Roman"/>
          <w:sz w:val="20"/>
          <w:szCs w:val="20"/>
          <w:lang w:eastAsia="en-US"/>
        </w:rPr>
        <w:t>transmission in single wideband carrier with bandwidth larger than 20 MHz, the following methods have been suggested by companies so far:</w:t>
      </w:r>
    </w:p>
    <w:p w14:paraId="50755207" w14:textId="462CD39E" w:rsidR="005313D4" w:rsidRDefault="005313D4" w:rsidP="00E666C9">
      <w:pPr>
        <w:pStyle w:val="ListParagraph"/>
        <w:numPr>
          <w:ilvl w:val="0"/>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Method 1: CORESET configured to be confined within a LBT sub-band</w:t>
      </w:r>
    </w:p>
    <w:p w14:paraId="40BF3B46" w14:textId="5C0E58FD" w:rsidR="005313D4" w:rsidRDefault="005313D4" w:rsidP="00E666C9">
      <w:pPr>
        <w:pStyle w:val="ListParagraph"/>
        <w:numPr>
          <w:ilvl w:val="1"/>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Note that this could require to increase the number of CORESETs that can be configured for a UE in a BWP</w:t>
      </w:r>
    </w:p>
    <w:p w14:paraId="28F057E3" w14:textId="080AA845" w:rsidR="005313D4" w:rsidRDefault="005313D4" w:rsidP="00E666C9">
      <w:pPr>
        <w:pStyle w:val="ListParagraph"/>
        <w:numPr>
          <w:ilvl w:val="0"/>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Method 2: PDCCH candidate configured to be confined within a LBT sub-band</w:t>
      </w:r>
    </w:p>
    <w:p w14:paraId="5369D3EE" w14:textId="659BD346" w:rsidR="00415D3C" w:rsidRDefault="005313D4" w:rsidP="00E666C9">
      <w:pPr>
        <w:pStyle w:val="ListParagraph"/>
        <w:numPr>
          <w:ilvl w:val="1"/>
          <w:numId w:val="19"/>
        </w:numPr>
        <w:rPr>
          <w:rFonts w:ascii="Times New Roman" w:hAnsi="Times New Roman" w:cs="Times New Roman"/>
          <w:sz w:val="20"/>
          <w:szCs w:val="20"/>
          <w:lang w:eastAsia="en-US"/>
        </w:rPr>
      </w:pPr>
      <w:r>
        <w:rPr>
          <w:rFonts w:ascii="Times New Roman" w:hAnsi="Times New Roman" w:cs="Times New Roman"/>
          <w:sz w:val="20"/>
          <w:szCs w:val="20"/>
          <w:lang w:eastAsia="en-US"/>
        </w:rPr>
        <w:t>Note that this allows CORESET configured to be wider than a LBT sub-band, but it may require new CCE/REG mapping/bundling rule and/or modification of PDCCH hashing operation</w:t>
      </w:r>
    </w:p>
    <w:p w14:paraId="2605053D" w14:textId="4C7888F8" w:rsidR="005313D4" w:rsidRDefault="005313D4" w:rsidP="00E666C9">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Comparing the above two methods, we think method 1 is simpler and requires less standardization effort. The number of CORESETs that can be configured for a UE in method 1 can be similar to that in carrier aggregation case, i.e. </w:t>
      </w:r>
      <w:r w:rsidR="00956832">
        <w:rPr>
          <w:rFonts w:ascii="Times New Roman" w:hAnsi="Times New Roman" w:cs="Times New Roman"/>
          <w:sz w:val="20"/>
          <w:szCs w:val="20"/>
          <w:lang w:eastAsia="en-US"/>
        </w:rPr>
        <w:t>to treat each LBT sub-band as one CC when deciding the number of CORESETs allowed.</w:t>
      </w:r>
    </w:p>
    <w:p w14:paraId="252E3490" w14:textId="2F235D21" w:rsidR="00956832" w:rsidRPr="00E666C9" w:rsidRDefault="00956832" w:rsidP="00E666C9">
      <w:pPr>
        <w:rPr>
          <w:rFonts w:ascii="Times New Roman" w:hAnsi="Times New Roman" w:cs="Times New Roman"/>
          <w:sz w:val="20"/>
          <w:szCs w:val="20"/>
          <w:lang w:eastAsia="en-US"/>
        </w:rPr>
      </w:pPr>
      <w:r w:rsidRPr="00E666C9">
        <w:rPr>
          <w:rFonts w:ascii="Times New Roman" w:hAnsi="Times New Roman" w:cs="Times New Roman"/>
          <w:b/>
          <w:sz w:val="20"/>
          <w:szCs w:val="20"/>
          <w:lang w:eastAsia="en-US"/>
        </w:rPr>
        <w:t>Proposal 2: For NR-U single wideband carrier operation, each CORESET is confined within a LBT sub-band. FFS: the number of CORESETs that can be configured to a UE</w:t>
      </w:r>
      <w:r>
        <w:rPr>
          <w:rFonts w:ascii="Times New Roman" w:hAnsi="Times New Roman" w:cs="Times New Roman"/>
          <w:sz w:val="20"/>
          <w:szCs w:val="20"/>
          <w:lang w:eastAsia="en-US"/>
        </w:rPr>
        <w:t>.</w:t>
      </w:r>
    </w:p>
    <w:p w14:paraId="42FC13BF" w14:textId="77777777" w:rsidR="00415D3C" w:rsidRPr="000F3343" w:rsidRDefault="00415D3C" w:rsidP="000F3343"/>
    <w:p w14:paraId="71100277" w14:textId="2377335C" w:rsidR="00270D24" w:rsidRPr="00DC33E4" w:rsidRDefault="00270D24" w:rsidP="00270D24">
      <w:pPr>
        <w:pStyle w:val="Heading1"/>
        <w:rPr>
          <w:lang w:val="en-US"/>
        </w:rPr>
      </w:pPr>
      <w:r>
        <w:rPr>
          <w:lang w:val="en-US"/>
        </w:rPr>
        <w:t xml:space="preserve">PDSCH transmission </w:t>
      </w:r>
    </w:p>
    <w:p w14:paraId="183153B4" w14:textId="56E8338A" w:rsidR="00E32C7B" w:rsidRDefault="000F3343" w:rsidP="001632FD">
      <w:pPr>
        <w:pStyle w:val="BodyText"/>
        <w:rPr>
          <w:rFonts w:ascii="Times New Roman" w:hAnsi="Times New Roman" w:cs="Times New Roman"/>
          <w:sz w:val="20"/>
          <w:szCs w:val="20"/>
          <w:lang w:eastAsia="en-US"/>
        </w:rPr>
      </w:pPr>
      <w:r w:rsidRPr="000F3343">
        <w:rPr>
          <w:rFonts w:ascii="Times New Roman" w:hAnsi="Times New Roman" w:cs="Times New Roman"/>
          <w:sz w:val="20"/>
          <w:szCs w:val="20"/>
          <w:lang w:eastAsia="en-US"/>
        </w:rPr>
        <w:t xml:space="preserve">For PDSCH </w:t>
      </w:r>
      <w:r>
        <w:rPr>
          <w:rFonts w:ascii="Times New Roman" w:hAnsi="Times New Roman" w:cs="Times New Roman"/>
          <w:sz w:val="20"/>
          <w:szCs w:val="20"/>
          <w:lang w:eastAsia="en-US"/>
        </w:rPr>
        <w:t>transmission in wideband operation, in order to cope with the situation where a certain LBT sub-band within the UE active BWP fails the CCA, some options have identified:</w:t>
      </w:r>
    </w:p>
    <w:p w14:paraId="69185CC1" w14:textId="4B1685EF" w:rsidR="00E83BE0"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1: </w:t>
      </w:r>
      <w:r w:rsidRPr="006A2E86">
        <w:rPr>
          <w:rFonts w:ascii="Times New Roman" w:hAnsi="Times New Roman" w:cs="Times New Roman"/>
          <w:sz w:val="20"/>
          <w:szCs w:val="20"/>
          <w:lang w:eastAsia="en-US"/>
        </w:rPr>
        <w:t>Each PDSCH is contained within a LBT sub-band.</w:t>
      </w:r>
    </w:p>
    <w:p w14:paraId="04F76DA4" w14:textId="645575FF" w:rsidR="00E83BE0" w:rsidRPr="006A2E86"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sidRPr="006A2E86">
        <w:rPr>
          <w:rFonts w:ascii="Times New Roman" w:hAnsi="Times New Roman" w:cs="Times New Roman"/>
          <w:sz w:val="20"/>
          <w:szCs w:val="20"/>
          <w:lang w:eastAsia="en-US"/>
        </w:rPr>
        <w:t>Option 2: PDSCH can be spanned over multiple LBT sub-bands and the part of PDSCH is punctured if some of LBT sub-bands including PDSCH are not transmitted due to LBT failure at gNB</w:t>
      </w:r>
    </w:p>
    <w:p w14:paraId="67E42D0A" w14:textId="2CA2CAEB" w:rsidR="00E83BE0" w:rsidRDefault="00E83BE0" w:rsidP="00E83BE0">
      <w:pPr>
        <w:numPr>
          <w:ilvl w:val="0"/>
          <w:numId w:val="13"/>
        </w:numPr>
        <w:spacing w:before="120" w:after="120" w:line="240" w:lineRule="auto"/>
        <w:ind w:left="1020"/>
        <w:jc w:val="both"/>
        <w:rPr>
          <w:rFonts w:ascii="Times New Roman" w:hAnsi="Times New Roman" w:cs="Times New Roman"/>
          <w:sz w:val="20"/>
          <w:szCs w:val="20"/>
          <w:lang w:eastAsia="en-US"/>
        </w:rPr>
      </w:pPr>
      <w:r w:rsidRPr="006A2E86">
        <w:rPr>
          <w:rFonts w:ascii="Times New Roman" w:hAnsi="Times New Roman" w:cs="Times New Roman"/>
          <w:sz w:val="20"/>
          <w:szCs w:val="20"/>
          <w:lang w:eastAsia="en-US"/>
        </w:rPr>
        <w:t>Option 3: gNB prepares for multiple sets of PDSCH mappings and selects one of them depending on LBT outcome</w:t>
      </w:r>
    </w:p>
    <w:p w14:paraId="029AE410" w14:textId="4BEA2C65" w:rsidR="00570F8E" w:rsidRDefault="003D5C6F"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Option 1 is already feasible for Rel-15 by the scheduling implementation, as long as different PDSCHs in different LBT sub-bands are intended for different UE.</w:t>
      </w:r>
      <w:r w:rsidR="0053355A">
        <w:rPr>
          <w:rFonts w:ascii="Times New Roman" w:hAnsi="Times New Roman" w:cs="Times New Roman"/>
          <w:sz w:val="20"/>
          <w:szCs w:val="20"/>
          <w:lang w:eastAsia="en-US"/>
        </w:rPr>
        <w:t xml:space="preserve"> However, it is still an open design whether to allow multiple PDSCH prepared for the same UE, each located in a different LBT sub-band. Further studies are needed. Even it is adopted eventually, restricting each PDSCH within one 20 MHz sub-band is not so efficient in terms of control signalling overhead. Therefore, it is very important to allow one PDSCH to span multiple 20 MHz sub-bands </w:t>
      </w:r>
      <w:r w:rsidR="00570F8E">
        <w:rPr>
          <w:rFonts w:ascii="Times New Roman" w:hAnsi="Times New Roman" w:cs="Times New Roman"/>
          <w:sz w:val="20"/>
          <w:szCs w:val="20"/>
          <w:lang w:eastAsia="en-US"/>
        </w:rPr>
        <w:t xml:space="preserve">in wideband operation if those 20 MHz sub-bands are clear from CCA. Option 1, if supported, should be limited to the initial (sub-)slot of the COT. Once the COT structure information including the available BW, as mentioned in Section </w:t>
      </w:r>
      <w:r w:rsidR="00825C57">
        <w:rPr>
          <w:rFonts w:ascii="Times New Roman" w:hAnsi="Times New Roman" w:cs="Times New Roman"/>
          <w:sz w:val="20"/>
          <w:szCs w:val="20"/>
          <w:lang w:eastAsia="en-US"/>
        </w:rPr>
        <w:t>2</w:t>
      </w:r>
      <w:r w:rsidR="00570F8E">
        <w:rPr>
          <w:rFonts w:ascii="Times New Roman" w:hAnsi="Times New Roman" w:cs="Times New Roman"/>
          <w:sz w:val="20"/>
          <w:szCs w:val="20"/>
          <w:lang w:eastAsia="en-US"/>
        </w:rPr>
        <w:t>, is indicated to the UE, PDSCH should be allowed to span multiple free LBT sub-bands.</w:t>
      </w:r>
    </w:p>
    <w:p w14:paraId="59EDDF34" w14:textId="7E02195E" w:rsidR="00BA5A3F" w:rsidRDefault="00570F8E"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Option 3 is a kind of generalized version of Option 1, </w:t>
      </w:r>
      <w:r w:rsidR="00BA5A3F">
        <w:rPr>
          <w:rFonts w:ascii="Times New Roman" w:hAnsi="Times New Roman" w:cs="Times New Roman"/>
          <w:sz w:val="20"/>
          <w:szCs w:val="20"/>
          <w:lang w:eastAsia="en-US"/>
        </w:rPr>
        <w:t>in the sense that multiple versions of PDSCH are prepared with the hope that one of it could match the LBT outcome. However, since</w:t>
      </w:r>
      <w:r w:rsidR="002E53A4">
        <w:rPr>
          <w:rFonts w:ascii="Times New Roman" w:hAnsi="Times New Roman" w:cs="Times New Roman"/>
          <w:sz w:val="20"/>
          <w:szCs w:val="20"/>
          <w:lang w:eastAsia="en-US"/>
        </w:rPr>
        <w:t xml:space="preserve"> the number of combination of failed and success</w:t>
      </w:r>
      <w:r w:rsidR="00BA5A3F">
        <w:rPr>
          <w:rFonts w:ascii="Times New Roman" w:hAnsi="Times New Roman" w:cs="Times New Roman"/>
          <w:sz w:val="20"/>
          <w:szCs w:val="20"/>
          <w:lang w:eastAsia="en-US"/>
        </w:rPr>
        <w:t xml:space="preserve">ful sub-bands could become high, it may be a burden for gNB to prepare PDSCH accounting for all possible outcomes of LBT. </w:t>
      </w:r>
      <w:r w:rsidR="00AD6DFA">
        <w:rPr>
          <w:rFonts w:ascii="Times New Roman" w:hAnsi="Times New Roman" w:cs="Times New Roman"/>
          <w:sz w:val="20"/>
          <w:szCs w:val="20"/>
          <w:lang w:eastAsia="en-US"/>
        </w:rPr>
        <w:t>Therefore, it could be left as an implementation choice of gNB</w:t>
      </w:r>
      <w:r w:rsidR="00BA5A3F">
        <w:rPr>
          <w:rFonts w:ascii="Times New Roman" w:hAnsi="Times New Roman" w:cs="Times New Roman"/>
          <w:sz w:val="20"/>
          <w:szCs w:val="20"/>
          <w:lang w:eastAsia="en-US"/>
        </w:rPr>
        <w:t>.</w:t>
      </w:r>
    </w:p>
    <w:p w14:paraId="2851425A" w14:textId="450B6FA1" w:rsidR="00FB4589" w:rsidRDefault="00963C21"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On the other hand, Option 2 does not require too much effort for the gNB, since one PDSCH (for one UE) is prepared without considering the LBT outcome. To reduce the negative impact of puncturing as much as possible, when preparing PDSCH, the frequency-first</w:t>
      </w:r>
      <w:r w:rsidR="00FB4589">
        <w:rPr>
          <w:rFonts w:ascii="Times New Roman" w:hAnsi="Times New Roman" w:cs="Times New Roman"/>
          <w:sz w:val="20"/>
          <w:szCs w:val="20"/>
          <w:lang w:eastAsia="en-US"/>
        </w:rPr>
        <w:t xml:space="preserve"> mapping</w:t>
      </w:r>
      <w:r>
        <w:rPr>
          <w:rFonts w:ascii="Times New Roman" w:hAnsi="Times New Roman" w:cs="Times New Roman"/>
          <w:sz w:val="20"/>
          <w:szCs w:val="20"/>
          <w:lang w:eastAsia="en-US"/>
        </w:rPr>
        <w:t xml:space="preserve"> is performed within one 20 MHz LBT sub-band, followed by time domain, then across different LBT sub-bands. </w:t>
      </w:r>
      <w:r w:rsidR="00FB4589">
        <w:rPr>
          <w:rFonts w:ascii="Times New Roman" w:hAnsi="Times New Roman" w:cs="Times New Roman"/>
          <w:sz w:val="20"/>
          <w:szCs w:val="20"/>
          <w:lang w:eastAsia="en-US"/>
        </w:rPr>
        <w:t xml:space="preserve">With such mapping, the damage due to the puncturing of PDSCH over a certain LBT sub-band could be limited to one CBG, which can be recovered by CBG retransmission. Furthermore, in order for the UE to be aware of the puncturing, which LBT sub-bands are clear or blocked out of CCA should be indicated to the UE, which can be done by COT structure indication, as mentioned in Section </w:t>
      </w:r>
      <w:r w:rsidR="00825C57">
        <w:rPr>
          <w:rFonts w:ascii="Times New Roman" w:hAnsi="Times New Roman" w:cs="Times New Roman"/>
          <w:sz w:val="20"/>
          <w:szCs w:val="20"/>
          <w:lang w:eastAsia="en-US"/>
        </w:rPr>
        <w:t>2</w:t>
      </w:r>
      <w:r w:rsidR="00FB4589">
        <w:rPr>
          <w:rFonts w:ascii="Times New Roman" w:hAnsi="Times New Roman" w:cs="Times New Roman"/>
          <w:sz w:val="20"/>
          <w:szCs w:val="20"/>
          <w:lang w:eastAsia="en-US"/>
        </w:rPr>
        <w:t xml:space="preserve">. </w:t>
      </w:r>
    </w:p>
    <w:p w14:paraId="6A78D254" w14:textId="33A55C7D" w:rsidR="00FB4589" w:rsidRDefault="00FB4589" w:rsidP="006A2E86">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Therefore, we propose to support both </w:t>
      </w:r>
      <w:r w:rsidR="00F92798">
        <w:rPr>
          <w:rFonts w:ascii="Times New Roman" w:hAnsi="Times New Roman" w:cs="Times New Roman"/>
          <w:sz w:val="20"/>
          <w:szCs w:val="20"/>
          <w:lang w:eastAsia="en-US"/>
        </w:rPr>
        <w:t>all options</w:t>
      </w:r>
      <w:r>
        <w:rPr>
          <w:rFonts w:ascii="Times New Roman" w:hAnsi="Times New Roman" w:cs="Times New Roman"/>
          <w:sz w:val="20"/>
          <w:szCs w:val="20"/>
          <w:lang w:eastAsia="en-US"/>
        </w:rPr>
        <w:t>.</w:t>
      </w:r>
    </w:p>
    <w:p w14:paraId="45EF9B1E" w14:textId="449C83A2" w:rsidR="00FB4589" w:rsidRDefault="00FB4589" w:rsidP="00FB4589">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Support the following options for PDSCH transmission in wideband operation:</w:t>
      </w:r>
    </w:p>
    <w:p w14:paraId="4372B658" w14:textId="1FD5FE94" w:rsidR="00FB4589" w:rsidRDefault="00FB4589" w:rsidP="00880D3E">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Each PDSCH is contained within a LBT sub-band</w:t>
      </w:r>
      <w:r w:rsidR="00B514E7">
        <w:rPr>
          <w:rFonts w:ascii="Times New Roman" w:hAnsi="Times New Roman" w:cs="Times New Roman"/>
          <w:b/>
          <w:sz w:val="20"/>
          <w:szCs w:val="20"/>
          <w:lang w:eastAsia="en-US"/>
        </w:rPr>
        <w:t xml:space="preserve"> (FFS for the same UE)</w:t>
      </w:r>
    </w:p>
    <w:p w14:paraId="48E802FF" w14:textId="4019E74A" w:rsidR="00FB4589" w:rsidRDefault="00FB4589" w:rsidP="00880D3E">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PDSCH can be spanned over multiple LBT sub-bands and the part o</w:t>
      </w:r>
      <w:r w:rsidR="00341BF2">
        <w:rPr>
          <w:rFonts w:ascii="Times New Roman" w:hAnsi="Times New Roman" w:cs="Times New Roman"/>
          <w:b/>
          <w:sz w:val="20"/>
          <w:szCs w:val="20"/>
          <w:lang w:eastAsia="en-US"/>
        </w:rPr>
        <w:t>f PDSCH is punctured where CCA fails.</w:t>
      </w:r>
      <w:r>
        <w:rPr>
          <w:rFonts w:ascii="Times New Roman" w:hAnsi="Times New Roman" w:cs="Times New Roman"/>
          <w:b/>
          <w:sz w:val="20"/>
          <w:szCs w:val="20"/>
          <w:lang w:eastAsia="en-US"/>
        </w:rPr>
        <w:t xml:space="preserve"> </w:t>
      </w:r>
    </w:p>
    <w:p w14:paraId="3CCAD2BB" w14:textId="53108EC7" w:rsidR="00F92798" w:rsidRDefault="00F92798" w:rsidP="00880D3E">
      <w:pPr>
        <w:pStyle w:val="BodyText"/>
        <w:numPr>
          <w:ilvl w:val="0"/>
          <w:numId w:val="15"/>
        </w:numPr>
        <w:rPr>
          <w:rFonts w:ascii="Times New Roman" w:hAnsi="Times New Roman" w:cs="Times New Roman"/>
          <w:b/>
          <w:sz w:val="20"/>
          <w:szCs w:val="20"/>
          <w:lang w:eastAsia="en-US"/>
        </w:rPr>
      </w:pPr>
      <w:r w:rsidRPr="00880D3E">
        <w:rPr>
          <w:rFonts w:ascii="Times New Roman" w:hAnsi="Times New Roman" w:cs="Times New Roman"/>
          <w:b/>
          <w:sz w:val="20"/>
          <w:szCs w:val="20"/>
          <w:lang w:eastAsia="en-US"/>
        </w:rPr>
        <w:t>gNB prepares for multiple sets of PDSCH mappings and selects one of them depending on LBT outcome</w:t>
      </w:r>
    </w:p>
    <w:p w14:paraId="7C4F6E90" w14:textId="5DD5B475" w:rsidR="003D5C6F" w:rsidRPr="00880D3E" w:rsidRDefault="00FB4589" w:rsidP="00880D3E">
      <w:pPr>
        <w:spacing w:before="120" w:after="120" w:line="240" w:lineRule="auto"/>
        <w:jc w:val="both"/>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2E53A4">
        <w:rPr>
          <w:rFonts w:ascii="Times New Roman" w:hAnsi="Times New Roman" w:cs="Times New Roman"/>
          <w:sz w:val="20"/>
          <w:szCs w:val="20"/>
          <w:lang w:eastAsia="en-US"/>
        </w:rPr>
        <w:t xml:space="preserve"> </w:t>
      </w:r>
      <w:r w:rsidR="0053355A">
        <w:rPr>
          <w:rFonts w:ascii="Times New Roman" w:hAnsi="Times New Roman" w:cs="Times New Roman"/>
          <w:sz w:val="20"/>
          <w:szCs w:val="20"/>
          <w:lang w:eastAsia="en-US"/>
        </w:rPr>
        <w:t xml:space="preserve">   </w:t>
      </w:r>
      <w:r w:rsidR="003D5C6F">
        <w:rPr>
          <w:rFonts w:ascii="Times New Roman" w:hAnsi="Times New Roman" w:cs="Times New Roman"/>
          <w:sz w:val="20"/>
          <w:szCs w:val="20"/>
          <w:lang w:eastAsia="en-US"/>
        </w:rPr>
        <w:t xml:space="preserve"> </w:t>
      </w:r>
    </w:p>
    <w:p w14:paraId="715F2328" w14:textId="77777777" w:rsidR="000F3343" w:rsidRPr="00880D3E" w:rsidRDefault="000F3343" w:rsidP="001632FD">
      <w:pPr>
        <w:pStyle w:val="BodyText"/>
        <w:rPr>
          <w:rFonts w:ascii="Times New Roman" w:hAnsi="Times New Roman" w:cs="Times New Roman"/>
          <w:sz w:val="20"/>
          <w:szCs w:val="20"/>
          <w:lang w:val="en-US" w:eastAsia="en-US"/>
        </w:rPr>
      </w:pPr>
    </w:p>
    <w:p w14:paraId="357BA1E3" w14:textId="3E09A0E6" w:rsidR="004B155E" w:rsidRPr="00DC33E4" w:rsidRDefault="004B155E" w:rsidP="004B155E">
      <w:pPr>
        <w:pStyle w:val="Heading1"/>
        <w:rPr>
          <w:lang w:val="en-US"/>
        </w:rPr>
      </w:pPr>
      <w:r>
        <w:rPr>
          <w:lang w:val="en-US"/>
        </w:rPr>
        <w:t>Conclusion</w:t>
      </w:r>
    </w:p>
    <w:p w14:paraId="4B4C258C" w14:textId="6FCAC089"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w:t>
      </w:r>
      <w:r w:rsidR="00A35130">
        <w:rPr>
          <w:rFonts w:ascii="Times New Roman" w:hAnsi="Times New Roman" w:cs="Times New Roman"/>
          <w:b w:val="0"/>
          <w:bCs w:val="0"/>
          <w:sz w:val="20"/>
          <w:szCs w:val="20"/>
          <w:lang w:eastAsia="en-US"/>
        </w:rPr>
        <w:t xml:space="preserve">have the following </w:t>
      </w:r>
      <w:r w:rsidR="00BB3E6E">
        <w:rPr>
          <w:rFonts w:ascii="Times New Roman" w:hAnsi="Times New Roman" w:cs="Times New Roman"/>
          <w:b w:val="0"/>
          <w:bCs w:val="0"/>
          <w:sz w:val="20"/>
          <w:szCs w:val="20"/>
          <w:lang w:eastAsia="en-US"/>
        </w:rPr>
        <w:t>proposal</w:t>
      </w:r>
      <w:r w:rsidR="00A35130">
        <w:rPr>
          <w:rFonts w:ascii="Times New Roman" w:hAnsi="Times New Roman" w:cs="Times New Roman"/>
          <w:b w:val="0"/>
          <w:bCs w:val="0"/>
          <w:sz w:val="20"/>
          <w:szCs w:val="20"/>
          <w:lang w:eastAsia="en-US"/>
        </w:rPr>
        <w:t>:</w:t>
      </w:r>
      <w:r>
        <w:rPr>
          <w:rFonts w:ascii="Times New Roman" w:hAnsi="Times New Roman" w:cs="Times New Roman"/>
          <w:b w:val="0"/>
          <w:bCs w:val="0"/>
          <w:sz w:val="20"/>
          <w:szCs w:val="20"/>
          <w:lang w:eastAsia="en-US"/>
        </w:rPr>
        <w:t xml:space="preserve"> </w:t>
      </w:r>
    </w:p>
    <w:p w14:paraId="20558155" w14:textId="0B880EB0" w:rsidR="00AC47B3" w:rsidRDefault="00AC47B3" w:rsidP="00AC47B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Proposal </w:t>
      </w:r>
      <w:r w:rsidR="00825C57">
        <w:rPr>
          <w:rFonts w:ascii="Times New Roman" w:hAnsi="Times New Roman" w:cs="Times New Roman"/>
          <w:b/>
          <w:sz w:val="20"/>
          <w:szCs w:val="20"/>
          <w:lang w:eastAsia="en-US"/>
        </w:rPr>
        <w:t>1</w:t>
      </w:r>
      <w:r>
        <w:rPr>
          <w:rFonts w:ascii="Times New Roman" w:hAnsi="Times New Roman" w:cs="Times New Roman"/>
          <w:b/>
          <w:sz w:val="20"/>
          <w:szCs w:val="20"/>
          <w:lang w:eastAsia="en-US"/>
        </w:rPr>
        <w:t>: For wideband operation, in addition to time domain structure defining DL, UL and Flexible symbols, COT structure defines in frequency domain which LBT sub-band(s) are accessible to the UE.</w:t>
      </w:r>
    </w:p>
    <w:p w14:paraId="535195A0" w14:textId="5067803C" w:rsidR="00825C57" w:rsidRDefault="00825C57" w:rsidP="00AC47B3">
      <w:pPr>
        <w:pStyle w:val="BodyText"/>
        <w:rPr>
          <w:rFonts w:ascii="Times New Roman" w:hAnsi="Times New Roman" w:cs="Times New Roman"/>
          <w:b/>
          <w:sz w:val="20"/>
          <w:szCs w:val="20"/>
          <w:lang w:eastAsia="en-US"/>
        </w:rPr>
      </w:pPr>
      <w:r w:rsidRPr="00C41BFB">
        <w:rPr>
          <w:rFonts w:ascii="Times New Roman" w:hAnsi="Times New Roman" w:cs="Times New Roman"/>
          <w:b/>
          <w:sz w:val="20"/>
          <w:szCs w:val="20"/>
          <w:lang w:eastAsia="en-US"/>
        </w:rPr>
        <w:t>Proposal 2: For NR-U single wideband carrier operation, each CORESET is confined within a LBT sub-band. FFS: the number of CORESETs that can be configured to a UE</w:t>
      </w:r>
    </w:p>
    <w:p w14:paraId="0071BD52" w14:textId="77777777" w:rsidR="00AC47B3" w:rsidRDefault="00AC47B3" w:rsidP="00AC47B3">
      <w:pPr>
        <w:pStyle w:val="BodyText"/>
        <w:rPr>
          <w:rFonts w:ascii="Times New Roman" w:hAnsi="Times New Roman" w:cs="Times New Roman"/>
          <w:b/>
          <w:sz w:val="20"/>
          <w:szCs w:val="20"/>
          <w:lang w:eastAsia="en-US"/>
        </w:rPr>
      </w:pPr>
      <w:r>
        <w:rPr>
          <w:rFonts w:ascii="Times New Roman" w:hAnsi="Times New Roman" w:cs="Times New Roman"/>
          <w:b/>
          <w:sz w:val="20"/>
          <w:szCs w:val="20"/>
          <w:lang w:eastAsia="en-US"/>
        </w:rPr>
        <w:t>Proposal 3: Support the following options for PDSCH transmission in wideband operation:</w:t>
      </w:r>
    </w:p>
    <w:p w14:paraId="2678A3DE" w14:textId="6DBB7E78" w:rsidR="00AC47B3" w:rsidRDefault="00AC47B3" w:rsidP="00AC47B3">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Each PDSCH is contained within a LBT sub-band</w:t>
      </w:r>
      <w:r w:rsidR="00B514E7">
        <w:rPr>
          <w:rFonts w:ascii="Times New Roman" w:hAnsi="Times New Roman" w:cs="Times New Roman"/>
          <w:b/>
          <w:sz w:val="20"/>
          <w:szCs w:val="20"/>
          <w:lang w:eastAsia="en-US"/>
        </w:rPr>
        <w:t xml:space="preserve"> (FFS for the same UE)</w:t>
      </w:r>
    </w:p>
    <w:p w14:paraId="7D335483" w14:textId="288D8EC5" w:rsidR="00AC47B3" w:rsidRDefault="00AC47B3" w:rsidP="00AC47B3">
      <w:pPr>
        <w:pStyle w:val="BodyText"/>
        <w:numPr>
          <w:ilvl w:val="0"/>
          <w:numId w:val="15"/>
        </w:numPr>
        <w:rPr>
          <w:rFonts w:ascii="Times New Roman" w:hAnsi="Times New Roman" w:cs="Times New Roman"/>
          <w:b/>
          <w:sz w:val="20"/>
          <w:szCs w:val="20"/>
          <w:lang w:eastAsia="en-US"/>
        </w:rPr>
      </w:pPr>
      <w:r>
        <w:rPr>
          <w:rFonts w:ascii="Times New Roman" w:hAnsi="Times New Roman" w:cs="Times New Roman"/>
          <w:b/>
          <w:sz w:val="20"/>
          <w:szCs w:val="20"/>
          <w:lang w:eastAsia="en-US"/>
        </w:rPr>
        <w:t xml:space="preserve">PDSCH can be spanned over multiple LBT sub-bands and the part of PDSCH is punctured where CCA fails. </w:t>
      </w:r>
    </w:p>
    <w:p w14:paraId="59AAEB37" w14:textId="576B218C" w:rsidR="000B751E" w:rsidRDefault="000B751E" w:rsidP="00AC47B3">
      <w:pPr>
        <w:pStyle w:val="BodyText"/>
        <w:numPr>
          <w:ilvl w:val="0"/>
          <w:numId w:val="15"/>
        </w:numPr>
        <w:rPr>
          <w:rFonts w:ascii="Times New Roman" w:hAnsi="Times New Roman" w:cs="Times New Roman"/>
          <w:b/>
          <w:sz w:val="20"/>
          <w:szCs w:val="20"/>
          <w:lang w:eastAsia="en-US"/>
        </w:rPr>
      </w:pPr>
      <w:r w:rsidRPr="00003175">
        <w:rPr>
          <w:rFonts w:ascii="Times New Roman" w:hAnsi="Times New Roman" w:cs="Times New Roman"/>
          <w:b/>
          <w:sz w:val="20"/>
          <w:szCs w:val="20"/>
          <w:lang w:eastAsia="en-US"/>
        </w:rPr>
        <w:t>gNB prepares for multiple sets of PDSCH mappings and selects one of them depending on LBT outcome</w:t>
      </w:r>
    </w:p>
    <w:p w14:paraId="504930E5" w14:textId="77777777" w:rsidR="00BB3E6E" w:rsidRDefault="00BB3E6E" w:rsidP="004B155E">
      <w:pPr>
        <w:pStyle w:val="Proposal"/>
        <w:numPr>
          <w:ilvl w:val="0"/>
          <w:numId w:val="0"/>
        </w:numPr>
        <w:rPr>
          <w:rFonts w:ascii="Times New Roman" w:hAnsi="Times New Roman" w:cs="Times New Roman"/>
          <w:b w:val="0"/>
          <w:bCs w:val="0"/>
          <w:sz w:val="20"/>
          <w:szCs w:val="20"/>
          <w:lang w:eastAsia="en-US"/>
        </w:rPr>
      </w:pPr>
    </w:p>
    <w:p w14:paraId="7C211DE8" w14:textId="77777777" w:rsidR="00587BD2" w:rsidRPr="00DC33E4" w:rsidRDefault="00587BD2" w:rsidP="00587BD2">
      <w:pPr>
        <w:pStyle w:val="Heading1"/>
        <w:rPr>
          <w:lang w:val="en-US"/>
        </w:rPr>
      </w:pPr>
      <w:r>
        <w:rPr>
          <w:lang w:val="en-US"/>
        </w:rPr>
        <w:t>Reference</w:t>
      </w:r>
    </w:p>
    <w:p w14:paraId="7F10B28F" w14:textId="18A12709" w:rsidR="00C06AF4" w:rsidRDefault="00C84BF1" w:rsidP="005E5C6F">
      <w:pPr>
        <w:pStyle w:val="Reference"/>
        <w:numPr>
          <w:ilvl w:val="0"/>
          <w:numId w:val="0"/>
        </w:numPr>
        <w:ind w:left="567" w:hanging="567"/>
        <w:rPr>
          <w:rFonts w:ascii="Times New Roman" w:hAnsi="Times New Roman" w:cs="Times New Roman"/>
          <w:sz w:val="20"/>
          <w:szCs w:val="20"/>
          <w:lang w:eastAsia="en-US"/>
        </w:rPr>
      </w:pPr>
      <w:r w:rsidDel="00C84BF1">
        <w:rPr>
          <w:rFonts w:ascii="Times New Roman" w:hAnsi="Times New Roman" w:cs="Times New Roman"/>
          <w:sz w:val="20"/>
          <w:szCs w:val="20"/>
          <w:lang w:eastAsia="en-US"/>
        </w:rPr>
        <w:t xml:space="preserve"> </w:t>
      </w:r>
      <w:r w:rsidR="00C06AF4">
        <w:rPr>
          <w:rFonts w:ascii="Times New Roman" w:hAnsi="Times New Roman" w:cs="Times New Roman"/>
          <w:sz w:val="20"/>
          <w:szCs w:val="20"/>
          <w:lang w:eastAsia="en-US"/>
        </w:rPr>
        <w:t>[</w:t>
      </w:r>
      <w:r>
        <w:rPr>
          <w:rFonts w:ascii="Times New Roman" w:hAnsi="Times New Roman" w:cs="Times New Roman"/>
          <w:sz w:val="20"/>
          <w:szCs w:val="20"/>
          <w:lang w:eastAsia="en-US"/>
        </w:rPr>
        <w:t>1</w:t>
      </w:r>
      <w:r w:rsidR="00C06AF4">
        <w:rPr>
          <w:rFonts w:ascii="Times New Roman" w:hAnsi="Times New Roman" w:cs="Times New Roman"/>
          <w:sz w:val="20"/>
          <w:szCs w:val="20"/>
          <w:lang w:eastAsia="en-US"/>
        </w:rPr>
        <w:t>] R1-</w:t>
      </w:r>
      <w:r w:rsidR="00880D3E">
        <w:rPr>
          <w:rFonts w:ascii="Times New Roman" w:hAnsi="Times New Roman" w:cs="Times New Roman"/>
          <w:sz w:val="20"/>
          <w:szCs w:val="20"/>
          <w:lang w:eastAsia="en-US"/>
        </w:rPr>
        <w:t>190</w:t>
      </w:r>
      <w:r w:rsidR="00F12D76">
        <w:rPr>
          <w:rFonts w:ascii="Times New Roman" w:hAnsi="Times New Roman" w:cs="Times New Roman"/>
          <w:sz w:val="20"/>
          <w:szCs w:val="20"/>
          <w:lang w:eastAsia="en-US"/>
        </w:rPr>
        <w:t>7033</w:t>
      </w:r>
      <w:r w:rsidR="00C06AF4">
        <w:rPr>
          <w:rFonts w:ascii="Times New Roman" w:hAnsi="Times New Roman" w:cs="Times New Roman"/>
          <w:sz w:val="20"/>
          <w:szCs w:val="20"/>
          <w:lang w:eastAsia="en-US"/>
        </w:rPr>
        <w:t xml:space="preserve">, DL signals and channels for NR-U, Panasonic, </w:t>
      </w:r>
      <w:r w:rsidR="00DC6843">
        <w:rPr>
          <w:rFonts w:ascii="Times New Roman" w:hAnsi="Times New Roman" w:cs="Times New Roman"/>
          <w:sz w:val="20"/>
          <w:szCs w:val="20"/>
          <w:lang w:eastAsia="en-US"/>
        </w:rPr>
        <w:t>RAN1#97</w:t>
      </w:r>
      <w:bookmarkStart w:id="2" w:name="_GoBack"/>
      <w:bookmarkEnd w:id="2"/>
      <w:r w:rsidR="000F3343">
        <w:rPr>
          <w:rFonts w:ascii="Times New Roman" w:hAnsi="Times New Roman" w:cs="Times New Roman"/>
          <w:sz w:val="20"/>
          <w:szCs w:val="20"/>
          <w:lang w:eastAsia="en-US"/>
        </w:rPr>
        <w:t>.</w:t>
      </w:r>
    </w:p>
    <w:p w14:paraId="23DA23BC" w14:textId="72BC83CF" w:rsidR="000F3343" w:rsidRPr="00880D3E" w:rsidRDefault="000F3343" w:rsidP="000F3343">
      <w:pPr>
        <w:rPr>
          <w:rFonts w:ascii="Times New Roman" w:hAnsi="Times New Roman" w:cs="Times New Roman"/>
          <w:sz w:val="20"/>
          <w:szCs w:val="20"/>
          <w:lang w:eastAsia="en-US"/>
        </w:rPr>
      </w:pPr>
    </w:p>
    <w:p w14:paraId="22E87F1B" w14:textId="77777777" w:rsidR="000F3343" w:rsidRDefault="000F3343" w:rsidP="005E5C6F">
      <w:pPr>
        <w:pStyle w:val="Reference"/>
        <w:numPr>
          <w:ilvl w:val="0"/>
          <w:numId w:val="0"/>
        </w:numPr>
        <w:ind w:left="567" w:hanging="567"/>
        <w:rPr>
          <w:rFonts w:ascii="Times New Roman" w:hAnsi="Times New Roman" w:cs="Times New Roman"/>
          <w:b/>
          <w:sz w:val="20"/>
          <w:szCs w:val="20"/>
          <w:lang w:eastAsia="en-US"/>
        </w:rPr>
      </w:pPr>
    </w:p>
    <w:p w14:paraId="31B16C63" w14:textId="64D2A06F"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E22F7" w16cid:durableId="200E87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DB6D0" w14:textId="77777777" w:rsidR="00040D7D" w:rsidRDefault="00040D7D">
      <w:r>
        <w:separator/>
      </w:r>
    </w:p>
  </w:endnote>
  <w:endnote w:type="continuationSeparator" w:id="0">
    <w:p w14:paraId="25638429" w14:textId="77777777" w:rsidR="00040D7D" w:rsidRDefault="00040D7D">
      <w:r>
        <w:continuationSeparator/>
      </w:r>
    </w:p>
  </w:endnote>
  <w:endnote w:type="continuationNotice" w:id="1">
    <w:p w14:paraId="0E29B836" w14:textId="77777777" w:rsidR="00040D7D" w:rsidRDefault="00040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4547345"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684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684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6A653" w14:textId="77777777" w:rsidR="00040D7D" w:rsidRDefault="00040D7D">
      <w:r>
        <w:separator/>
      </w:r>
    </w:p>
  </w:footnote>
  <w:footnote w:type="continuationSeparator" w:id="0">
    <w:p w14:paraId="108B81CE" w14:textId="77777777" w:rsidR="00040D7D" w:rsidRDefault="00040D7D">
      <w:r>
        <w:continuationSeparator/>
      </w:r>
    </w:p>
  </w:footnote>
  <w:footnote w:type="continuationNotice" w:id="1">
    <w:p w14:paraId="2FD659C6" w14:textId="77777777" w:rsidR="00040D7D" w:rsidRDefault="00040D7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16"/>
  </w:num>
  <w:num w:numId="11">
    <w:abstractNumId w:val="11"/>
  </w:num>
  <w:num w:numId="12">
    <w:abstractNumId w:val="9"/>
  </w:num>
  <w:num w:numId="13">
    <w:abstractNumId w:val="18"/>
  </w:num>
  <w:num w:numId="14">
    <w:abstractNumId w:val="2"/>
  </w:num>
  <w:num w:numId="15">
    <w:abstractNumId w:val="14"/>
  </w:num>
  <w:num w:numId="16">
    <w:abstractNumId w:val="1"/>
  </w:num>
  <w:num w:numId="17">
    <w:abstractNumId w:val="17"/>
  </w:num>
  <w:num w:numId="18">
    <w:abstractNumId w:val="3"/>
  </w:num>
  <w:num w:numId="19">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40D7D"/>
    <w:rsid w:val="00042049"/>
    <w:rsid w:val="000422E2"/>
    <w:rsid w:val="00042F22"/>
    <w:rsid w:val="000444EF"/>
    <w:rsid w:val="000455B9"/>
    <w:rsid w:val="00050B9F"/>
    <w:rsid w:val="00051FE1"/>
    <w:rsid w:val="00052A07"/>
    <w:rsid w:val="000534E3"/>
    <w:rsid w:val="0005606A"/>
    <w:rsid w:val="00057117"/>
    <w:rsid w:val="00057276"/>
    <w:rsid w:val="00057E2C"/>
    <w:rsid w:val="00060FD1"/>
    <w:rsid w:val="000616E7"/>
    <w:rsid w:val="00063C67"/>
    <w:rsid w:val="0006487E"/>
    <w:rsid w:val="00065E1A"/>
    <w:rsid w:val="00067548"/>
    <w:rsid w:val="00070695"/>
    <w:rsid w:val="00072D36"/>
    <w:rsid w:val="00075168"/>
    <w:rsid w:val="00077E5F"/>
    <w:rsid w:val="0008036A"/>
    <w:rsid w:val="00081AE6"/>
    <w:rsid w:val="00082017"/>
    <w:rsid w:val="000821B8"/>
    <w:rsid w:val="000841B9"/>
    <w:rsid w:val="000841EB"/>
    <w:rsid w:val="0008434E"/>
    <w:rsid w:val="000855EB"/>
    <w:rsid w:val="00085B52"/>
    <w:rsid w:val="000866F2"/>
    <w:rsid w:val="00086FD0"/>
    <w:rsid w:val="0009009F"/>
    <w:rsid w:val="00090B21"/>
    <w:rsid w:val="00091557"/>
    <w:rsid w:val="000924C1"/>
    <w:rsid w:val="000924F0"/>
    <w:rsid w:val="00093474"/>
    <w:rsid w:val="0009510F"/>
    <w:rsid w:val="00096079"/>
    <w:rsid w:val="000A01BF"/>
    <w:rsid w:val="000A0795"/>
    <w:rsid w:val="000A19D5"/>
    <w:rsid w:val="000A1B7B"/>
    <w:rsid w:val="000A2E8D"/>
    <w:rsid w:val="000A56F2"/>
    <w:rsid w:val="000A7958"/>
    <w:rsid w:val="000B2719"/>
    <w:rsid w:val="000B2793"/>
    <w:rsid w:val="000B2AD4"/>
    <w:rsid w:val="000B3A8F"/>
    <w:rsid w:val="000B3BB4"/>
    <w:rsid w:val="000B4AB9"/>
    <w:rsid w:val="000B4CF7"/>
    <w:rsid w:val="000B58C3"/>
    <w:rsid w:val="000B61E9"/>
    <w:rsid w:val="000B7068"/>
    <w:rsid w:val="000B751E"/>
    <w:rsid w:val="000B7CF7"/>
    <w:rsid w:val="000C0B03"/>
    <w:rsid w:val="000C0F46"/>
    <w:rsid w:val="000C165A"/>
    <w:rsid w:val="000C1A51"/>
    <w:rsid w:val="000C2E19"/>
    <w:rsid w:val="000C302A"/>
    <w:rsid w:val="000C3084"/>
    <w:rsid w:val="000C3BB5"/>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153F"/>
    <w:rsid w:val="000F2040"/>
    <w:rsid w:val="000F3343"/>
    <w:rsid w:val="000F3AF3"/>
    <w:rsid w:val="000F3BE9"/>
    <w:rsid w:val="000F3F6C"/>
    <w:rsid w:val="000F5C00"/>
    <w:rsid w:val="000F6DF3"/>
    <w:rsid w:val="001005FF"/>
    <w:rsid w:val="001062FB"/>
    <w:rsid w:val="001063E6"/>
    <w:rsid w:val="00107197"/>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DAF"/>
    <w:rsid w:val="00131EC3"/>
    <w:rsid w:val="00132FD0"/>
    <w:rsid w:val="00133CEB"/>
    <w:rsid w:val="001344C0"/>
    <w:rsid w:val="001346FA"/>
    <w:rsid w:val="00135252"/>
    <w:rsid w:val="00135588"/>
    <w:rsid w:val="00137194"/>
    <w:rsid w:val="00137AB5"/>
    <w:rsid w:val="00137ED0"/>
    <w:rsid w:val="00137F0B"/>
    <w:rsid w:val="001406B8"/>
    <w:rsid w:val="001416F8"/>
    <w:rsid w:val="00141A7D"/>
    <w:rsid w:val="00144A2C"/>
    <w:rsid w:val="00145D40"/>
    <w:rsid w:val="00146270"/>
    <w:rsid w:val="00146AD8"/>
    <w:rsid w:val="00151723"/>
    <w:rsid w:val="00151E23"/>
    <w:rsid w:val="001526E0"/>
    <w:rsid w:val="00152DF6"/>
    <w:rsid w:val="001550E1"/>
    <w:rsid w:val="001551B5"/>
    <w:rsid w:val="0015525E"/>
    <w:rsid w:val="0015531C"/>
    <w:rsid w:val="00155652"/>
    <w:rsid w:val="00155888"/>
    <w:rsid w:val="001608F0"/>
    <w:rsid w:val="00160DD8"/>
    <w:rsid w:val="001632FD"/>
    <w:rsid w:val="001643A8"/>
    <w:rsid w:val="0016465B"/>
    <w:rsid w:val="0016522A"/>
    <w:rsid w:val="001659C1"/>
    <w:rsid w:val="00165A59"/>
    <w:rsid w:val="0016607D"/>
    <w:rsid w:val="00167512"/>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BC4"/>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05CD"/>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528E"/>
    <w:rsid w:val="0020661F"/>
    <w:rsid w:val="002069B2"/>
    <w:rsid w:val="00206C08"/>
    <w:rsid w:val="00207F96"/>
    <w:rsid w:val="00207FA3"/>
    <w:rsid w:val="00214DA8"/>
    <w:rsid w:val="0021518A"/>
    <w:rsid w:val="00215423"/>
    <w:rsid w:val="002158FA"/>
    <w:rsid w:val="00216564"/>
    <w:rsid w:val="00216EB1"/>
    <w:rsid w:val="002202E1"/>
    <w:rsid w:val="00220600"/>
    <w:rsid w:val="00221997"/>
    <w:rsid w:val="002224DB"/>
    <w:rsid w:val="00222DEF"/>
    <w:rsid w:val="00223FCB"/>
    <w:rsid w:val="002252C3"/>
    <w:rsid w:val="00225C54"/>
    <w:rsid w:val="00225E7C"/>
    <w:rsid w:val="002261EF"/>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58D7"/>
    <w:rsid w:val="00257543"/>
    <w:rsid w:val="00257F88"/>
    <w:rsid w:val="00261285"/>
    <w:rsid w:val="002617E7"/>
    <w:rsid w:val="00261FC8"/>
    <w:rsid w:val="00264109"/>
    <w:rsid w:val="00264228"/>
    <w:rsid w:val="00264334"/>
    <w:rsid w:val="0026473E"/>
    <w:rsid w:val="00266214"/>
    <w:rsid w:val="0026743E"/>
    <w:rsid w:val="00267C58"/>
    <w:rsid w:val="00267C83"/>
    <w:rsid w:val="00270D24"/>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B7F65"/>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53A4"/>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60DE"/>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27044"/>
    <w:rsid w:val="00331751"/>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919"/>
    <w:rsid w:val="00344941"/>
    <w:rsid w:val="003453C2"/>
    <w:rsid w:val="003455D2"/>
    <w:rsid w:val="00345862"/>
    <w:rsid w:val="00346DB5"/>
    <w:rsid w:val="003477B1"/>
    <w:rsid w:val="003508BF"/>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C6F"/>
    <w:rsid w:val="003D5E2C"/>
    <w:rsid w:val="003E0F12"/>
    <w:rsid w:val="003E10E7"/>
    <w:rsid w:val="003E15FA"/>
    <w:rsid w:val="003E21B4"/>
    <w:rsid w:val="003E3CA5"/>
    <w:rsid w:val="003E45F5"/>
    <w:rsid w:val="003E4EAD"/>
    <w:rsid w:val="003E55E4"/>
    <w:rsid w:val="003E5613"/>
    <w:rsid w:val="003E6588"/>
    <w:rsid w:val="003E74E3"/>
    <w:rsid w:val="003E75BA"/>
    <w:rsid w:val="003F05C7"/>
    <w:rsid w:val="003F1D11"/>
    <w:rsid w:val="003F1D35"/>
    <w:rsid w:val="003F2CD4"/>
    <w:rsid w:val="003F3088"/>
    <w:rsid w:val="003F38B8"/>
    <w:rsid w:val="003F6BBE"/>
    <w:rsid w:val="003F75E8"/>
    <w:rsid w:val="004000E8"/>
    <w:rsid w:val="00400EA0"/>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5D3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448A"/>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5D84"/>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157F"/>
    <w:rsid w:val="00471AA9"/>
    <w:rsid w:val="004726C7"/>
    <w:rsid w:val="004734D0"/>
    <w:rsid w:val="00474804"/>
    <w:rsid w:val="0047556B"/>
    <w:rsid w:val="004759D0"/>
    <w:rsid w:val="00475AC8"/>
    <w:rsid w:val="004769FA"/>
    <w:rsid w:val="00476B40"/>
    <w:rsid w:val="00477768"/>
    <w:rsid w:val="004835D6"/>
    <w:rsid w:val="004846D1"/>
    <w:rsid w:val="004850E5"/>
    <w:rsid w:val="00485BC6"/>
    <w:rsid w:val="00492BC5"/>
    <w:rsid w:val="00493F23"/>
    <w:rsid w:val="00494430"/>
    <w:rsid w:val="004961CE"/>
    <w:rsid w:val="004963BF"/>
    <w:rsid w:val="004964F1"/>
    <w:rsid w:val="004970B3"/>
    <w:rsid w:val="004A16BC"/>
    <w:rsid w:val="004A2B94"/>
    <w:rsid w:val="004A7E7F"/>
    <w:rsid w:val="004B155E"/>
    <w:rsid w:val="004B2BC9"/>
    <w:rsid w:val="004B2FD1"/>
    <w:rsid w:val="004B3ACB"/>
    <w:rsid w:val="004B563D"/>
    <w:rsid w:val="004B7C0C"/>
    <w:rsid w:val="004C01C8"/>
    <w:rsid w:val="004C2328"/>
    <w:rsid w:val="004C2D6E"/>
    <w:rsid w:val="004C3898"/>
    <w:rsid w:val="004C5405"/>
    <w:rsid w:val="004C54C2"/>
    <w:rsid w:val="004C6EDD"/>
    <w:rsid w:val="004D18D8"/>
    <w:rsid w:val="004D2237"/>
    <w:rsid w:val="004D36B1"/>
    <w:rsid w:val="004D7EBD"/>
    <w:rsid w:val="004E0BD6"/>
    <w:rsid w:val="004E1A9A"/>
    <w:rsid w:val="004E2680"/>
    <w:rsid w:val="004E2847"/>
    <w:rsid w:val="004E28F9"/>
    <w:rsid w:val="004E2A64"/>
    <w:rsid w:val="004E38F5"/>
    <w:rsid w:val="004E462E"/>
    <w:rsid w:val="004E4F53"/>
    <w:rsid w:val="004E56DC"/>
    <w:rsid w:val="004E5AC2"/>
    <w:rsid w:val="004E6960"/>
    <w:rsid w:val="004E76F4"/>
    <w:rsid w:val="004E7980"/>
    <w:rsid w:val="004F0B4E"/>
    <w:rsid w:val="004F0B6C"/>
    <w:rsid w:val="004F2078"/>
    <w:rsid w:val="004F4DA3"/>
    <w:rsid w:val="004F7740"/>
    <w:rsid w:val="004F7EA9"/>
    <w:rsid w:val="0050054E"/>
    <w:rsid w:val="00500754"/>
    <w:rsid w:val="00502773"/>
    <w:rsid w:val="0050361D"/>
    <w:rsid w:val="00503A6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27104"/>
    <w:rsid w:val="005313D4"/>
    <w:rsid w:val="00531534"/>
    <w:rsid w:val="00531CAC"/>
    <w:rsid w:val="00531F1D"/>
    <w:rsid w:val="00532331"/>
    <w:rsid w:val="00532546"/>
    <w:rsid w:val="0053355A"/>
    <w:rsid w:val="005336B9"/>
    <w:rsid w:val="005338D0"/>
    <w:rsid w:val="005343FA"/>
    <w:rsid w:val="00534B59"/>
    <w:rsid w:val="00536759"/>
    <w:rsid w:val="005369A8"/>
    <w:rsid w:val="00537C62"/>
    <w:rsid w:val="00543336"/>
    <w:rsid w:val="00543775"/>
    <w:rsid w:val="00546970"/>
    <w:rsid w:val="00547A14"/>
    <w:rsid w:val="00547F05"/>
    <w:rsid w:val="0055001B"/>
    <w:rsid w:val="00553715"/>
    <w:rsid w:val="00554E19"/>
    <w:rsid w:val="00555D73"/>
    <w:rsid w:val="005564FC"/>
    <w:rsid w:val="005579C5"/>
    <w:rsid w:val="00561182"/>
    <w:rsid w:val="0056121F"/>
    <w:rsid w:val="00561320"/>
    <w:rsid w:val="00562064"/>
    <w:rsid w:val="0056299D"/>
    <w:rsid w:val="00562A1A"/>
    <w:rsid w:val="0056356C"/>
    <w:rsid w:val="005636E8"/>
    <w:rsid w:val="00570F8E"/>
    <w:rsid w:val="00572505"/>
    <w:rsid w:val="00572CE8"/>
    <w:rsid w:val="00580202"/>
    <w:rsid w:val="00582746"/>
    <w:rsid w:val="00582809"/>
    <w:rsid w:val="00582A4A"/>
    <w:rsid w:val="00584ABE"/>
    <w:rsid w:val="0058563E"/>
    <w:rsid w:val="005874C6"/>
    <w:rsid w:val="0058798C"/>
    <w:rsid w:val="00587BD2"/>
    <w:rsid w:val="005900FA"/>
    <w:rsid w:val="005923F4"/>
    <w:rsid w:val="005935A4"/>
    <w:rsid w:val="005948C2"/>
    <w:rsid w:val="00595DCA"/>
    <w:rsid w:val="0059779B"/>
    <w:rsid w:val="005A0D5F"/>
    <w:rsid w:val="005A147F"/>
    <w:rsid w:val="005A1D12"/>
    <w:rsid w:val="005A209A"/>
    <w:rsid w:val="005A2A38"/>
    <w:rsid w:val="005A3ADD"/>
    <w:rsid w:val="005A4518"/>
    <w:rsid w:val="005A5323"/>
    <w:rsid w:val="005A662D"/>
    <w:rsid w:val="005A6B1C"/>
    <w:rsid w:val="005B35D7"/>
    <w:rsid w:val="005B392A"/>
    <w:rsid w:val="005B3AA3"/>
    <w:rsid w:val="005B41BD"/>
    <w:rsid w:val="005B4E16"/>
    <w:rsid w:val="005B544F"/>
    <w:rsid w:val="005B55E3"/>
    <w:rsid w:val="005B6F83"/>
    <w:rsid w:val="005C04B6"/>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C6F"/>
    <w:rsid w:val="005E5D85"/>
    <w:rsid w:val="005F06E0"/>
    <w:rsid w:val="005F168C"/>
    <w:rsid w:val="005F2CB1"/>
    <w:rsid w:val="005F3025"/>
    <w:rsid w:val="005F3AC1"/>
    <w:rsid w:val="005F4D03"/>
    <w:rsid w:val="005F50BF"/>
    <w:rsid w:val="005F528E"/>
    <w:rsid w:val="005F5AF7"/>
    <w:rsid w:val="005F618C"/>
    <w:rsid w:val="005F6777"/>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2C35"/>
    <w:rsid w:val="00633833"/>
    <w:rsid w:val="0063397D"/>
    <w:rsid w:val="00634E62"/>
    <w:rsid w:val="00635F6F"/>
    <w:rsid w:val="00636046"/>
    <w:rsid w:val="00636398"/>
    <w:rsid w:val="006368D3"/>
    <w:rsid w:val="00636A5D"/>
    <w:rsid w:val="006377EC"/>
    <w:rsid w:val="0064151F"/>
    <w:rsid w:val="00641533"/>
    <w:rsid w:val="0064208D"/>
    <w:rsid w:val="0064304C"/>
    <w:rsid w:val="00643475"/>
    <w:rsid w:val="0064396A"/>
    <w:rsid w:val="0064624E"/>
    <w:rsid w:val="00646851"/>
    <w:rsid w:val="00650AB9"/>
    <w:rsid w:val="00650C8A"/>
    <w:rsid w:val="00651393"/>
    <w:rsid w:val="006523F3"/>
    <w:rsid w:val="006528F9"/>
    <w:rsid w:val="00652DCB"/>
    <w:rsid w:val="00654C29"/>
    <w:rsid w:val="00654D99"/>
    <w:rsid w:val="00655733"/>
    <w:rsid w:val="00655A53"/>
    <w:rsid w:val="00655ACD"/>
    <w:rsid w:val="00656A92"/>
    <w:rsid w:val="00656DDE"/>
    <w:rsid w:val="0066011D"/>
    <w:rsid w:val="006607C0"/>
    <w:rsid w:val="006613A6"/>
    <w:rsid w:val="006627A2"/>
    <w:rsid w:val="006634E6"/>
    <w:rsid w:val="00663BE6"/>
    <w:rsid w:val="0066415F"/>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77A03"/>
    <w:rsid w:val="00681003"/>
    <w:rsid w:val="006817C9"/>
    <w:rsid w:val="00681D82"/>
    <w:rsid w:val="00682BA6"/>
    <w:rsid w:val="00683ECE"/>
    <w:rsid w:val="00687E2C"/>
    <w:rsid w:val="00690B70"/>
    <w:rsid w:val="006913A9"/>
    <w:rsid w:val="00691F27"/>
    <w:rsid w:val="00692B16"/>
    <w:rsid w:val="00695FC2"/>
    <w:rsid w:val="00696949"/>
    <w:rsid w:val="00697052"/>
    <w:rsid w:val="00697220"/>
    <w:rsid w:val="006A2E86"/>
    <w:rsid w:val="006A30AF"/>
    <w:rsid w:val="006A46FB"/>
    <w:rsid w:val="006A5E28"/>
    <w:rsid w:val="006A6086"/>
    <w:rsid w:val="006A697B"/>
    <w:rsid w:val="006A7988"/>
    <w:rsid w:val="006A7AFF"/>
    <w:rsid w:val="006B1816"/>
    <w:rsid w:val="006B2099"/>
    <w:rsid w:val="006B2FD3"/>
    <w:rsid w:val="006B50CF"/>
    <w:rsid w:val="006B570D"/>
    <w:rsid w:val="006B5727"/>
    <w:rsid w:val="006B5C2B"/>
    <w:rsid w:val="006B5EE4"/>
    <w:rsid w:val="006B67CF"/>
    <w:rsid w:val="006B6BC3"/>
    <w:rsid w:val="006B6D73"/>
    <w:rsid w:val="006C03B8"/>
    <w:rsid w:val="006C44C2"/>
    <w:rsid w:val="006C5EC9"/>
    <w:rsid w:val="006C6059"/>
    <w:rsid w:val="006C6BE1"/>
    <w:rsid w:val="006C7522"/>
    <w:rsid w:val="006D0580"/>
    <w:rsid w:val="006D2A46"/>
    <w:rsid w:val="006D398D"/>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2287"/>
    <w:rsid w:val="007123B6"/>
    <w:rsid w:val="00712772"/>
    <w:rsid w:val="00712E40"/>
    <w:rsid w:val="007146AF"/>
    <w:rsid w:val="007148D3"/>
    <w:rsid w:val="00715B9A"/>
    <w:rsid w:val="0071798B"/>
    <w:rsid w:val="00720376"/>
    <w:rsid w:val="007205B8"/>
    <w:rsid w:val="00721205"/>
    <w:rsid w:val="00721593"/>
    <w:rsid w:val="007231E6"/>
    <w:rsid w:val="00726EA6"/>
    <w:rsid w:val="00726ED5"/>
    <w:rsid w:val="00727208"/>
    <w:rsid w:val="00727680"/>
    <w:rsid w:val="007348B1"/>
    <w:rsid w:val="00734B23"/>
    <w:rsid w:val="007362A6"/>
    <w:rsid w:val="00736D7D"/>
    <w:rsid w:val="00740344"/>
    <w:rsid w:val="00740E58"/>
    <w:rsid w:val="00741C68"/>
    <w:rsid w:val="00742612"/>
    <w:rsid w:val="00742E3D"/>
    <w:rsid w:val="0074405B"/>
    <w:rsid w:val="00744142"/>
    <w:rsid w:val="007445A0"/>
    <w:rsid w:val="00744ECC"/>
    <w:rsid w:val="0074524B"/>
    <w:rsid w:val="007460A0"/>
    <w:rsid w:val="00747751"/>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716C3"/>
    <w:rsid w:val="00772C01"/>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031"/>
    <w:rsid w:val="007A43A6"/>
    <w:rsid w:val="007A554B"/>
    <w:rsid w:val="007A58A6"/>
    <w:rsid w:val="007A5C78"/>
    <w:rsid w:val="007A7495"/>
    <w:rsid w:val="007B3D2D"/>
    <w:rsid w:val="007B50AE"/>
    <w:rsid w:val="007B51DF"/>
    <w:rsid w:val="007B5ACB"/>
    <w:rsid w:val="007C05DD"/>
    <w:rsid w:val="007C0A75"/>
    <w:rsid w:val="007C1C0A"/>
    <w:rsid w:val="007C2F4B"/>
    <w:rsid w:val="007C342A"/>
    <w:rsid w:val="007C3D18"/>
    <w:rsid w:val="007C40D0"/>
    <w:rsid w:val="007C528D"/>
    <w:rsid w:val="007C60BF"/>
    <w:rsid w:val="007C6A07"/>
    <w:rsid w:val="007C75A1"/>
    <w:rsid w:val="007C77A5"/>
    <w:rsid w:val="007D04E5"/>
    <w:rsid w:val="007D29A3"/>
    <w:rsid w:val="007D3941"/>
    <w:rsid w:val="007D3AD2"/>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425"/>
    <w:rsid w:val="00811505"/>
    <w:rsid w:val="00811FCB"/>
    <w:rsid w:val="008144B9"/>
    <w:rsid w:val="008158D6"/>
    <w:rsid w:val="0081606D"/>
    <w:rsid w:val="00817196"/>
    <w:rsid w:val="00817EDE"/>
    <w:rsid w:val="00821D89"/>
    <w:rsid w:val="00822943"/>
    <w:rsid w:val="00823081"/>
    <w:rsid w:val="008235DB"/>
    <w:rsid w:val="00824AB4"/>
    <w:rsid w:val="00824B72"/>
    <w:rsid w:val="00825C42"/>
    <w:rsid w:val="00825C57"/>
    <w:rsid w:val="00825D25"/>
    <w:rsid w:val="00827D6F"/>
    <w:rsid w:val="00827E1A"/>
    <w:rsid w:val="008311F3"/>
    <w:rsid w:val="00831210"/>
    <w:rsid w:val="00832D13"/>
    <w:rsid w:val="0083765F"/>
    <w:rsid w:val="008376AC"/>
    <w:rsid w:val="0084116C"/>
    <w:rsid w:val="00841CB3"/>
    <w:rsid w:val="00842451"/>
    <w:rsid w:val="008444E8"/>
    <w:rsid w:val="00844E80"/>
    <w:rsid w:val="00846834"/>
    <w:rsid w:val="00846FE7"/>
    <w:rsid w:val="00847403"/>
    <w:rsid w:val="00847FC4"/>
    <w:rsid w:val="008504A2"/>
    <w:rsid w:val="00850CEC"/>
    <w:rsid w:val="00850E9E"/>
    <w:rsid w:val="0085247B"/>
    <w:rsid w:val="00854B3A"/>
    <w:rsid w:val="00855482"/>
    <w:rsid w:val="00856911"/>
    <w:rsid w:val="00857C84"/>
    <w:rsid w:val="00860458"/>
    <w:rsid w:val="008628C0"/>
    <w:rsid w:val="00865044"/>
    <w:rsid w:val="00865151"/>
    <w:rsid w:val="0086540F"/>
    <w:rsid w:val="00865698"/>
    <w:rsid w:val="00865EFB"/>
    <w:rsid w:val="0086740A"/>
    <w:rsid w:val="0086758D"/>
    <w:rsid w:val="008677FD"/>
    <w:rsid w:val="008706D4"/>
    <w:rsid w:val="00870F8A"/>
    <w:rsid w:val="008719A4"/>
    <w:rsid w:val="00871D23"/>
    <w:rsid w:val="00873C26"/>
    <w:rsid w:val="00874312"/>
    <w:rsid w:val="0087437C"/>
    <w:rsid w:val="00875CD7"/>
    <w:rsid w:val="0087646B"/>
    <w:rsid w:val="00876B4D"/>
    <w:rsid w:val="00877F18"/>
    <w:rsid w:val="0088016B"/>
    <w:rsid w:val="008803CA"/>
    <w:rsid w:val="00880D3E"/>
    <w:rsid w:val="00884366"/>
    <w:rsid w:val="008864B9"/>
    <w:rsid w:val="0089173C"/>
    <w:rsid w:val="00893C6A"/>
    <w:rsid w:val="008940F7"/>
    <w:rsid w:val="00894A88"/>
    <w:rsid w:val="00895386"/>
    <w:rsid w:val="00895660"/>
    <w:rsid w:val="00897036"/>
    <w:rsid w:val="00897414"/>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45F2"/>
    <w:rsid w:val="008D4603"/>
    <w:rsid w:val="008D6AF5"/>
    <w:rsid w:val="008D6CCC"/>
    <w:rsid w:val="008D6D1A"/>
    <w:rsid w:val="008E05F6"/>
    <w:rsid w:val="008E065E"/>
    <w:rsid w:val="008E0927"/>
    <w:rsid w:val="008E0FF2"/>
    <w:rsid w:val="008E1909"/>
    <w:rsid w:val="008E1B93"/>
    <w:rsid w:val="008E1D88"/>
    <w:rsid w:val="008E25DF"/>
    <w:rsid w:val="008E3445"/>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6863"/>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6832"/>
    <w:rsid w:val="009572D4"/>
    <w:rsid w:val="00957337"/>
    <w:rsid w:val="0095740D"/>
    <w:rsid w:val="009579C0"/>
    <w:rsid w:val="00960FEA"/>
    <w:rsid w:val="00961921"/>
    <w:rsid w:val="00961DF7"/>
    <w:rsid w:val="00963C21"/>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284E"/>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4C1"/>
    <w:rsid w:val="009A5CBA"/>
    <w:rsid w:val="009A72AE"/>
    <w:rsid w:val="009B19F5"/>
    <w:rsid w:val="009B1F30"/>
    <w:rsid w:val="009B3AC2"/>
    <w:rsid w:val="009B4B77"/>
    <w:rsid w:val="009B4DF4"/>
    <w:rsid w:val="009B564E"/>
    <w:rsid w:val="009B76F3"/>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07B"/>
    <w:rsid w:val="009E47A3"/>
    <w:rsid w:val="009E537B"/>
    <w:rsid w:val="009E5902"/>
    <w:rsid w:val="009E6AA6"/>
    <w:rsid w:val="009E6AC2"/>
    <w:rsid w:val="009E6F0C"/>
    <w:rsid w:val="009F08F3"/>
    <w:rsid w:val="009F1ECE"/>
    <w:rsid w:val="009F21AA"/>
    <w:rsid w:val="009F344F"/>
    <w:rsid w:val="009F3D98"/>
    <w:rsid w:val="009F4360"/>
    <w:rsid w:val="009F47FE"/>
    <w:rsid w:val="00A00F1F"/>
    <w:rsid w:val="00A032E4"/>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130"/>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4D5"/>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2FDC"/>
    <w:rsid w:val="00AA51D6"/>
    <w:rsid w:val="00AA56AA"/>
    <w:rsid w:val="00AB0BC8"/>
    <w:rsid w:val="00AB11CA"/>
    <w:rsid w:val="00AB14D9"/>
    <w:rsid w:val="00AB1EAE"/>
    <w:rsid w:val="00AB2AA4"/>
    <w:rsid w:val="00AB3A11"/>
    <w:rsid w:val="00AB4AB8"/>
    <w:rsid w:val="00AB54EC"/>
    <w:rsid w:val="00AB655E"/>
    <w:rsid w:val="00AB7AE6"/>
    <w:rsid w:val="00AC007F"/>
    <w:rsid w:val="00AC294B"/>
    <w:rsid w:val="00AC297D"/>
    <w:rsid w:val="00AC2ECD"/>
    <w:rsid w:val="00AC3119"/>
    <w:rsid w:val="00AC4138"/>
    <w:rsid w:val="00AC468A"/>
    <w:rsid w:val="00AC47B3"/>
    <w:rsid w:val="00AC49FB"/>
    <w:rsid w:val="00AC5A10"/>
    <w:rsid w:val="00AC6D53"/>
    <w:rsid w:val="00AD0348"/>
    <w:rsid w:val="00AD0AA3"/>
    <w:rsid w:val="00AD123F"/>
    <w:rsid w:val="00AD3168"/>
    <w:rsid w:val="00AD3F94"/>
    <w:rsid w:val="00AD4A5A"/>
    <w:rsid w:val="00AD6DFA"/>
    <w:rsid w:val="00AD7F95"/>
    <w:rsid w:val="00AE0905"/>
    <w:rsid w:val="00AE27AC"/>
    <w:rsid w:val="00AE40E0"/>
    <w:rsid w:val="00AE4DBA"/>
    <w:rsid w:val="00AE4F07"/>
    <w:rsid w:val="00AE62E2"/>
    <w:rsid w:val="00AE7446"/>
    <w:rsid w:val="00AF0DB6"/>
    <w:rsid w:val="00AF1559"/>
    <w:rsid w:val="00AF1C5D"/>
    <w:rsid w:val="00AF2026"/>
    <w:rsid w:val="00AF42D7"/>
    <w:rsid w:val="00AF43AB"/>
    <w:rsid w:val="00AF50C3"/>
    <w:rsid w:val="00AF53B6"/>
    <w:rsid w:val="00AF5CB5"/>
    <w:rsid w:val="00B0035B"/>
    <w:rsid w:val="00B00379"/>
    <w:rsid w:val="00B006FE"/>
    <w:rsid w:val="00B007CB"/>
    <w:rsid w:val="00B010BF"/>
    <w:rsid w:val="00B02AA9"/>
    <w:rsid w:val="00B02FA3"/>
    <w:rsid w:val="00B03C4C"/>
    <w:rsid w:val="00B0419A"/>
    <w:rsid w:val="00B05084"/>
    <w:rsid w:val="00B05BA5"/>
    <w:rsid w:val="00B0611B"/>
    <w:rsid w:val="00B10B32"/>
    <w:rsid w:val="00B136CA"/>
    <w:rsid w:val="00B14FE8"/>
    <w:rsid w:val="00B157F9"/>
    <w:rsid w:val="00B167F1"/>
    <w:rsid w:val="00B20256"/>
    <w:rsid w:val="00B20D09"/>
    <w:rsid w:val="00B211B2"/>
    <w:rsid w:val="00B21BE8"/>
    <w:rsid w:val="00B253E6"/>
    <w:rsid w:val="00B2763F"/>
    <w:rsid w:val="00B27AAC"/>
    <w:rsid w:val="00B30591"/>
    <w:rsid w:val="00B30929"/>
    <w:rsid w:val="00B31239"/>
    <w:rsid w:val="00B34AC3"/>
    <w:rsid w:val="00B372AA"/>
    <w:rsid w:val="00B37BC2"/>
    <w:rsid w:val="00B40445"/>
    <w:rsid w:val="00B40ECB"/>
    <w:rsid w:val="00B413D6"/>
    <w:rsid w:val="00B41888"/>
    <w:rsid w:val="00B41DF0"/>
    <w:rsid w:val="00B425F8"/>
    <w:rsid w:val="00B42BDB"/>
    <w:rsid w:val="00B43407"/>
    <w:rsid w:val="00B45A52"/>
    <w:rsid w:val="00B46175"/>
    <w:rsid w:val="00B474B4"/>
    <w:rsid w:val="00B514E7"/>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81D"/>
    <w:rsid w:val="00BA1FE5"/>
    <w:rsid w:val="00BA2280"/>
    <w:rsid w:val="00BA2A08"/>
    <w:rsid w:val="00BA4150"/>
    <w:rsid w:val="00BA52AA"/>
    <w:rsid w:val="00BA5641"/>
    <w:rsid w:val="00BA56D2"/>
    <w:rsid w:val="00BA5A3F"/>
    <w:rsid w:val="00BA76E0"/>
    <w:rsid w:val="00BB2A25"/>
    <w:rsid w:val="00BB346D"/>
    <w:rsid w:val="00BB3E6E"/>
    <w:rsid w:val="00BB40A1"/>
    <w:rsid w:val="00BB51BB"/>
    <w:rsid w:val="00BB51E9"/>
    <w:rsid w:val="00BB5430"/>
    <w:rsid w:val="00BB6996"/>
    <w:rsid w:val="00BC0C69"/>
    <w:rsid w:val="00BC0E6A"/>
    <w:rsid w:val="00BC0FDC"/>
    <w:rsid w:val="00BC1DBA"/>
    <w:rsid w:val="00BC1DEE"/>
    <w:rsid w:val="00BC29AB"/>
    <w:rsid w:val="00BC3053"/>
    <w:rsid w:val="00BC4D2E"/>
    <w:rsid w:val="00BC6412"/>
    <w:rsid w:val="00BC762C"/>
    <w:rsid w:val="00BD48AC"/>
    <w:rsid w:val="00BD5F1A"/>
    <w:rsid w:val="00BD63B6"/>
    <w:rsid w:val="00BE00AA"/>
    <w:rsid w:val="00BE0792"/>
    <w:rsid w:val="00BE1234"/>
    <w:rsid w:val="00BE23A9"/>
    <w:rsid w:val="00BE2D8C"/>
    <w:rsid w:val="00BE2FA6"/>
    <w:rsid w:val="00BE32F5"/>
    <w:rsid w:val="00BE333F"/>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91"/>
    <w:rsid w:val="00C26FAA"/>
    <w:rsid w:val="00C279B5"/>
    <w:rsid w:val="00C27C45"/>
    <w:rsid w:val="00C27E0C"/>
    <w:rsid w:val="00C30437"/>
    <w:rsid w:val="00C317A7"/>
    <w:rsid w:val="00C34167"/>
    <w:rsid w:val="00C3719D"/>
    <w:rsid w:val="00C372D0"/>
    <w:rsid w:val="00C41A9D"/>
    <w:rsid w:val="00C43C3B"/>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66356"/>
    <w:rsid w:val="00C70697"/>
    <w:rsid w:val="00C7229E"/>
    <w:rsid w:val="00C72EF4"/>
    <w:rsid w:val="00C73B76"/>
    <w:rsid w:val="00C74D92"/>
    <w:rsid w:val="00C75608"/>
    <w:rsid w:val="00C75857"/>
    <w:rsid w:val="00C759CB"/>
    <w:rsid w:val="00C75D2F"/>
    <w:rsid w:val="00C767BE"/>
    <w:rsid w:val="00C76963"/>
    <w:rsid w:val="00C76E3C"/>
    <w:rsid w:val="00C76E76"/>
    <w:rsid w:val="00C81534"/>
    <w:rsid w:val="00C81568"/>
    <w:rsid w:val="00C81698"/>
    <w:rsid w:val="00C82B92"/>
    <w:rsid w:val="00C84BF1"/>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3172"/>
    <w:rsid w:val="00CA61FB"/>
    <w:rsid w:val="00CA6CFD"/>
    <w:rsid w:val="00CA7170"/>
    <w:rsid w:val="00CB0DE9"/>
    <w:rsid w:val="00CB1F63"/>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2300"/>
    <w:rsid w:val="00CE3DF2"/>
    <w:rsid w:val="00CE3F6C"/>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04BD0"/>
    <w:rsid w:val="00D1001F"/>
    <w:rsid w:val="00D10249"/>
    <w:rsid w:val="00D115C3"/>
    <w:rsid w:val="00D11897"/>
    <w:rsid w:val="00D11F71"/>
    <w:rsid w:val="00D13135"/>
    <w:rsid w:val="00D13ABF"/>
    <w:rsid w:val="00D13E4E"/>
    <w:rsid w:val="00D15089"/>
    <w:rsid w:val="00D1723B"/>
    <w:rsid w:val="00D215AD"/>
    <w:rsid w:val="00D22874"/>
    <w:rsid w:val="00D239A7"/>
    <w:rsid w:val="00D23F47"/>
    <w:rsid w:val="00D2503E"/>
    <w:rsid w:val="00D25B3F"/>
    <w:rsid w:val="00D3005B"/>
    <w:rsid w:val="00D3101D"/>
    <w:rsid w:val="00D32166"/>
    <w:rsid w:val="00D35234"/>
    <w:rsid w:val="00D35F56"/>
    <w:rsid w:val="00D36E71"/>
    <w:rsid w:val="00D37D87"/>
    <w:rsid w:val="00D40B33"/>
    <w:rsid w:val="00D426CB"/>
    <w:rsid w:val="00D4318F"/>
    <w:rsid w:val="00D438BF"/>
    <w:rsid w:val="00D440F8"/>
    <w:rsid w:val="00D45637"/>
    <w:rsid w:val="00D46DC9"/>
    <w:rsid w:val="00D46FA5"/>
    <w:rsid w:val="00D501A9"/>
    <w:rsid w:val="00D511FF"/>
    <w:rsid w:val="00D51446"/>
    <w:rsid w:val="00D537D6"/>
    <w:rsid w:val="00D546FF"/>
    <w:rsid w:val="00D54AF4"/>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661B0"/>
    <w:rsid w:val="00D708B0"/>
    <w:rsid w:val="00D70E73"/>
    <w:rsid w:val="00D71BB9"/>
    <w:rsid w:val="00D75A8B"/>
    <w:rsid w:val="00D76F86"/>
    <w:rsid w:val="00D77B1D"/>
    <w:rsid w:val="00D8021F"/>
    <w:rsid w:val="00D80383"/>
    <w:rsid w:val="00D815D6"/>
    <w:rsid w:val="00D8203B"/>
    <w:rsid w:val="00D823C6"/>
    <w:rsid w:val="00D83426"/>
    <w:rsid w:val="00D85EF7"/>
    <w:rsid w:val="00D86CA3"/>
    <w:rsid w:val="00D871CE"/>
    <w:rsid w:val="00D9196D"/>
    <w:rsid w:val="00D920A7"/>
    <w:rsid w:val="00D92982"/>
    <w:rsid w:val="00D93E15"/>
    <w:rsid w:val="00D95A22"/>
    <w:rsid w:val="00D965C0"/>
    <w:rsid w:val="00DA0701"/>
    <w:rsid w:val="00DA305E"/>
    <w:rsid w:val="00DA5007"/>
    <w:rsid w:val="00DA536E"/>
    <w:rsid w:val="00DA5417"/>
    <w:rsid w:val="00DA56E8"/>
    <w:rsid w:val="00DA67A6"/>
    <w:rsid w:val="00DB06D8"/>
    <w:rsid w:val="00DB0A9F"/>
    <w:rsid w:val="00DB377D"/>
    <w:rsid w:val="00DB7182"/>
    <w:rsid w:val="00DB7A15"/>
    <w:rsid w:val="00DC21E1"/>
    <w:rsid w:val="00DC2396"/>
    <w:rsid w:val="00DC2D36"/>
    <w:rsid w:val="00DC33E4"/>
    <w:rsid w:val="00DC3DD8"/>
    <w:rsid w:val="00DC53EF"/>
    <w:rsid w:val="00DC552C"/>
    <w:rsid w:val="00DC6843"/>
    <w:rsid w:val="00DC6D71"/>
    <w:rsid w:val="00DC7FEA"/>
    <w:rsid w:val="00DD1F9F"/>
    <w:rsid w:val="00DD288E"/>
    <w:rsid w:val="00DD7867"/>
    <w:rsid w:val="00DE3A33"/>
    <w:rsid w:val="00DE5608"/>
    <w:rsid w:val="00DE58D0"/>
    <w:rsid w:val="00DE654F"/>
    <w:rsid w:val="00DF0B6E"/>
    <w:rsid w:val="00DF15E0"/>
    <w:rsid w:val="00DF20A7"/>
    <w:rsid w:val="00DF37A0"/>
    <w:rsid w:val="00DF5C56"/>
    <w:rsid w:val="00E008FB"/>
    <w:rsid w:val="00E009BE"/>
    <w:rsid w:val="00E02CFE"/>
    <w:rsid w:val="00E03DCD"/>
    <w:rsid w:val="00E05B34"/>
    <w:rsid w:val="00E110E7"/>
    <w:rsid w:val="00E11B20"/>
    <w:rsid w:val="00E141E3"/>
    <w:rsid w:val="00E156FA"/>
    <w:rsid w:val="00E174CA"/>
    <w:rsid w:val="00E17970"/>
    <w:rsid w:val="00E17B45"/>
    <w:rsid w:val="00E17FA2"/>
    <w:rsid w:val="00E22330"/>
    <w:rsid w:val="00E25B80"/>
    <w:rsid w:val="00E30776"/>
    <w:rsid w:val="00E30B5A"/>
    <w:rsid w:val="00E3123D"/>
    <w:rsid w:val="00E31461"/>
    <w:rsid w:val="00E31C0F"/>
    <w:rsid w:val="00E31D43"/>
    <w:rsid w:val="00E32608"/>
    <w:rsid w:val="00E328C4"/>
    <w:rsid w:val="00E32C7B"/>
    <w:rsid w:val="00E33E4A"/>
    <w:rsid w:val="00E34188"/>
    <w:rsid w:val="00E345CD"/>
    <w:rsid w:val="00E34B6E"/>
    <w:rsid w:val="00E35559"/>
    <w:rsid w:val="00E36156"/>
    <w:rsid w:val="00E371BC"/>
    <w:rsid w:val="00E3723A"/>
    <w:rsid w:val="00E372E0"/>
    <w:rsid w:val="00E37860"/>
    <w:rsid w:val="00E41503"/>
    <w:rsid w:val="00E446F1"/>
    <w:rsid w:val="00E44B94"/>
    <w:rsid w:val="00E46886"/>
    <w:rsid w:val="00E47AEF"/>
    <w:rsid w:val="00E52397"/>
    <w:rsid w:val="00E53037"/>
    <w:rsid w:val="00E53B29"/>
    <w:rsid w:val="00E53B75"/>
    <w:rsid w:val="00E54E3B"/>
    <w:rsid w:val="00E557CC"/>
    <w:rsid w:val="00E57565"/>
    <w:rsid w:val="00E57A1C"/>
    <w:rsid w:val="00E604AE"/>
    <w:rsid w:val="00E62B73"/>
    <w:rsid w:val="00E63838"/>
    <w:rsid w:val="00E64022"/>
    <w:rsid w:val="00E64434"/>
    <w:rsid w:val="00E666C9"/>
    <w:rsid w:val="00E67C51"/>
    <w:rsid w:val="00E70D86"/>
    <w:rsid w:val="00E72EFC"/>
    <w:rsid w:val="00E732FD"/>
    <w:rsid w:val="00E758EC"/>
    <w:rsid w:val="00E7599C"/>
    <w:rsid w:val="00E76569"/>
    <w:rsid w:val="00E81B9B"/>
    <w:rsid w:val="00E8234C"/>
    <w:rsid w:val="00E83AA9"/>
    <w:rsid w:val="00E83BE0"/>
    <w:rsid w:val="00E85928"/>
    <w:rsid w:val="00E87822"/>
    <w:rsid w:val="00E90395"/>
    <w:rsid w:val="00E90E49"/>
    <w:rsid w:val="00E91756"/>
    <w:rsid w:val="00E917F9"/>
    <w:rsid w:val="00E91E36"/>
    <w:rsid w:val="00E9291C"/>
    <w:rsid w:val="00E93FFE"/>
    <w:rsid w:val="00E94B98"/>
    <w:rsid w:val="00E94F8A"/>
    <w:rsid w:val="00E95EE7"/>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E06"/>
    <w:rsid w:val="00EE0956"/>
    <w:rsid w:val="00EE1975"/>
    <w:rsid w:val="00EE22C9"/>
    <w:rsid w:val="00EE25E7"/>
    <w:rsid w:val="00EE57B6"/>
    <w:rsid w:val="00EE6379"/>
    <w:rsid w:val="00EE6561"/>
    <w:rsid w:val="00EF0038"/>
    <w:rsid w:val="00EF10BC"/>
    <w:rsid w:val="00EF18FE"/>
    <w:rsid w:val="00EF2E6C"/>
    <w:rsid w:val="00EF2EE3"/>
    <w:rsid w:val="00EF40ED"/>
    <w:rsid w:val="00EF45A4"/>
    <w:rsid w:val="00EF5787"/>
    <w:rsid w:val="00EF60D0"/>
    <w:rsid w:val="00EF669D"/>
    <w:rsid w:val="00EF7136"/>
    <w:rsid w:val="00F0201B"/>
    <w:rsid w:val="00F020A9"/>
    <w:rsid w:val="00F03E8C"/>
    <w:rsid w:val="00F0528D"/>
    <w:rsid w:val="00F05792"/>
    <w:rsid w:val="00F06C67"/>
    <w:rsid w:val="00F06DFD"/>
    <w:rsid w:val="00F071D1"/>
    <w:rsid w:val="00F07533"/>
    <w:rsid w:val="00F100FF"/>
    <w:rsid w:val="00F10629"/>
    <w:rsid w:val="00F11A7A"/>
    <w:rsid w:val="00F12D76"/>
    <w:rsid w:val="00F15FA5"/>
    <w:rsid w:val="00F1625B"/>
    <w:rsid w:val="00F209B7"/>
    <w:rsid w:val="00F20C4B"/>
    <w:rsid w:val="00F21C47"/>
    <w:rsid w:val="00F2376F"/>
    <w:rsid w:val="00F243D8"/>
    <w:rsid w:val="00F24E55"/>
    <w:rsid w:val="00F30828"/>
    <w:rsid w:val="00F30E66"/>
    <w:rsid w:val="00F313D6"/>
    <w:rsid w:val="00F31E10"/>
    <w:rsid w:val="00F33DF2"/>
    <w:rsid w:val="00F34D6D"/>
    <w:rsid w:val="00F35233"/>
    <w:rsid w:val="00F40806"/>
    <w:rsid w:val="00F40C33"/>
    <w:rsid w:val="00F40F0C"/>
    <w:rsid w:val="00F4350D"/>
    <w:rsid w:val="00F4352A"/>
    <w:rsid w:val="00F4766C"/>
    <w:rsid w:val="00F47D9C"/>
    <w:rsid w:val="00F507D1"/>
    <w:rsid w:val="00F51128"/>
    <w:rsid w:val="00F519CE"/>
    <w:rsid w:val="00F51ADA"/>
    <w:rsid w:val="00F51CB3"/>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2798"/>
    <w:rsid w:val="00F93AA9"/>
    <w:rsid w:val="00F968DC"/>
    <w:rsid w:val="00F96985"/>
    <w:rsid w:val="00F96EAE"/>
    <w:rsid w:val="00F96EFF"/>
    <w:rsid w:val="00F97838"/>
    <w:rsid w:val="00F97BE1"/>
    <w:rsid w:val="00FA05D5"/>
    <w:rsid w:val="00FA0C03"/>
    <w:rsid w:val="00FA12B0"/>
    <w:rsid w:val="00FA1A08"/>
    <w:rsid w:val="00FA2BB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74DB"/>
    <w:rsid w:val="00FD7660"/>
    <w:rsid w:val="00FD7F47"/>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5F2"/>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8D4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45F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7789c8df-cd92-43c1-8a83-195dbc0f0a0a"/>
    <ds:schemaRef ds:uri="http://purl.org/dc/elements/1.1/"/>
    <ds:schemaRef ds:uri="http://schemas.microsoft.com/sharepoint/v4"/>
    <ds:schemaRef ds:uri="http://schemas.openxmlformats.org/package/2006/metadata/core-properties"/>
    <ds:schemaRef ds:uri="08b2df90-05d3-4030-90d4-c9feeb4a1cd9"/>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3E981A-03D4-48A0-9741-EF74B1D5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1418</Words>
  <Characters>8088</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5</cp:revision>
  <cp:lastPrinted>2008-01-31T06:09:00Z</cp:lastPrinted>
  <dcterms:created xsi:type="dcterms:W3CDTF">2019-05-02T08:46:00Z</dcterms:created>
  <dcterms:modified xsi:type="dcterms:W3CDTF">2019-05-02T08:53:00Z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