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282B7AC" w14:textId="6E0BB23C" w:rsidR="00786D3E" w:rsidRDefault="00786D3E" w:rsidP="00786D3E">
      <w:pPr>
        <w:tabs>
          <w:tab w:val="right" w:pos="9216"/>
        </w:tabs>
        <w:spacing w:after="0"/>
        <w:rPr>
          <w:b/>
          <w:kern w:val="2"/>
          <w:sz w:val="20"/>
          <w:szCs w:val="20"/>
          <w:lang w:eastAsia="zh-CN"/>
        </w:rPr>
      </w:pPr>
      <w:r>
        <w:rPr>
          <w:noProof/>
        </w:rPr>
        <mc:AlternateContent>
          <mc:Choice Requires="wps">
            <w:drawing>
              <wp:anchor distT="0" distB="0" distL="114300" distR="114300" simplePos="0" relativeHeight="251661312" behindDoc="0" locked="1" layoutInCell="1" allowOverlap="1" wp14:anchorId="3F8282B0" wp14:editId="0CDC7341">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AB8330"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OBMwUAAFc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BhOnOBMwUA&#10;AF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#97</w:t>
      </w:r>
      <w:r>
        <w:rPr>
          <w:b/>
          <w:kern w:val="2"/>
          <w:lang w:eastAsia="zh-CN"/>
        </w:rPr>
        <w:tab/>
      </w:r>
      <w:r w:rsidR="00EB6B30" w:rsidRPr="00EB6B30">
        <w:rPr>
          <w:b/>
          <w:kern w:val="2"/>
          <w:lang w:eastAsia="zh-CN"/>
        </w:rPr>
        <w:t>R1-1906617</w:t>
      </w:r>
    </w:p>
    <w:p w14:paraId="3BCCEBE5" w14:textId="0CF7FE18" w:rsidR="00786D3E" w:rsidRDefault="00786D3E" w:rsidP="00786D3E">
      <w:pPr>
        <w:rPr>
          <w:b/>
          <w:kern w:val="2"/>
          <w:lang w:eastAsia="zh-CN"/>
        </w:rPr>
      </w:pPr>
      <w:r>
        <w:rPr>
          <w:b/>
          <w:kern w:val="2"/>
          <w:lang w:eastAsia="zh-CN"/>
        </w:rPr>
        <w:t>Reno, US</w:t>
      </w:r>
      <w:r w:rsidR="00C5585A">
        <w:rPr>
          <w:b/>
          <w:kern w:val="2"/>
          <w:lang w:eastAsia="zh-CN"/>
        </w:rPr>
        <w:t>A</w:t>
      </w:r>
      <w:r>
        <w:rPr>
          <w:b/>
          <w:kern w:val="2"/>
          <w:lang w:eastAsia="zh-CN"/>
        </w:rPr>
        <w:t>, May</w:t>
      </w:r>
      <w:r w:rsidR="00EB6B30">
        <w:rPr>
          <w:b/>
          <w:kern w:val="2"/>
          <w:lang w:eastAsia="zh-CN"/>
        </w:rPr>
        <w:t xml:space="preserve"> 13 – 17</w:t>
      </w:r>
      <w:r>
        <w:rPr>
          <w:b/>
          <w:kern w:val="2"/>
          <w:lang w:eastAsia="zh-CN"/>
        </w:rPr>
        <w:t>, 2019</w:t>
      </w:r>
    </w:p>
    <w:p w14:paraId="40FBBF2E" w14:textId="77777777" w:rsidR="009C0564" w:rsidRPr="001D340D" w:rsidRDefault="009C0564" w:rsidP="00173F76">
      <w:pPr>
        <w:pBdr>
          <w:top w:val="single" w:sz="4" w:space="1" w:color="auto"/>
        </w:pBdr>
        <w:spacing w:after="0"/>
        <w:rPr>
          <w:b/>
          <w:kern w:val="2"/>
          <w:sz w:val="16"/>
          <w:szCs w:val="16"/>
          <w:lang w:eastAsia="zh-CN"/>
        </w:rPr>
      </w:pPr>
    </w:p>
    <w:p w14:paraId="14E2273F" w14:textId="09EADE08" w:rsidR="009C0564" w:rsidRPr="00CF195E" w:rsidRDefault="009C0564" w:rsidP="00173F76">
      <w:pPr>
        <w:spacing w:after="60"/>
        <w:ind w:left="1555" w:hanging="1555"/>
        <w:rPr>
          <w:b/>
          <w:kern w:val="2"/>
          <w:lang w:eastAsia="zh-CN"/>
        </w:rPr>
      </w:pPr>
      <w:r w:rsidRPr="00605234">
        <w:rPr>
          <w:b/>
          <w:kern w:val="2"/>
          <w:lang w:eastAsia="zh-CN"/>
        </w:rPr>
        <w:t>Agenda Item:</w:t>
      </w:r>
      <w:r w:rsidR="00F31B49" w:rsidRPr="00605234">
        <w:rPr>
          <w:b/>
          <w:kern w:val="2"/>
          <w:lang w:eastAsia="zh-CN"/>
        </w:rPr>
        <w:tab/>
      </w:r>
      <w:r w:rsidR="00A02899" w:rsidRPr="00605234">
        <w:rPr>
          <w:rFonts w:hint="eastAsia"/>
          <w:b/>
          <w:kern w:val="2"/>
          <w:lang w:eastAsia="zh-CN"/>
        </w:rPr>
        <w:t>7</w:t>
      </w:r>
      <w:r w:rsidR="00A47734" w:rsidRPr="00605234">
        <w:rPr>
          <w:rFonts w:hint="eastAsia"/>
          <w:b/>
          <w:kern w:val="2"/>
          <w:lang w:eastAsia="zh-CN"/>
        </w:rPr>
        <w:t>.</w:t>
      </w:r>
      <w:r w:rsidR="00A02899" w:rsidRPr="00605234">
        <w:rPr>
          <w:rFonts w:hint="eastAsia"/>
          <w:b/>
          <w:kern w:val="2"/>
          <w:lang w:eastAsia="zh-CN"/>
        </w:rPr>
        <w:t>2</w:t>
      </w:r>
      <w:r w:rsidR="00A47734" w:rsidRPr="00605234">
        <w:rPr>
          <w:rFonts w:hint="eastAsia"/>
          <w:b/>
          <w:kern w:val="2"/>
          <w:lang w:eastAsia="zh-CN"/>
        </w:rPr>
        <w:t>.</w:t>
      </w:r>
      <w:r w:rsidR="00A02899" w:rsidRPr="00605234">
        <w:rPr>
          <w:rFonts w:hint="eastAsia"/>
          <w:b/>
          <w:kern w:val="2"/>
          <w:lang w:eastAsia="zh-CN"/>
        </w:rPr>
        <w:t>1</w:t>
      </w:r>
      <w:r w:rsidR="00AE2AA0">
        <w:rPr>
          <w:b/>
          <w:kern w:val="2"/>
          <w:lang w:eastAsia="zh-CN"/>
        </w:rPr>
        <w:t>1</w:t>
      </w:r>
      <w:r w:rsidR="00EB7F29">
        <w:rPr>
          <w:b/>
          <w:kern w:val="2"/>
          <w:lang w:eastAsia="zh-CN"/>
        </w:rPr>
        <w:t>.</w:t>
      </w:r>
      <w:r w:rsidR="00D561F2">
        <w:rPr>
          <w:b/>
          <w:kern w:val="2"/>
          <w:lang w:eastAsia="zh-CN"/>
        </w:rPr>
        <w:t>2</w:t>
      </w:r>
    </w:p>
    <w:p w14:paraId="43086611"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34406D46" w14:textId="129B9F7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5F1AB7" w:rsidRPr="00C5585A">
        <w:rPr>
          <w:b/>
        </w:rPr>
        <w:t>Sub-scenario specific path loss models for IIOT</w:t>
      </w:r>
    </w:p>
    <w:p w14:paraId="26ACDAC4"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0515DDB" w14:textId="77777777" w:rsidR="009C0564" w:rsidRPr="00CF195E" w:rsidRDefault="009C0564" w:rsidP="00173F76">
      <w:pPr>
        <w:pBdr>
          <w:bottom w:val="single" w:sz="4" w:space="1" w:color="auto"/>
        </w:pBdr>
        <w:spacing w:after="0"/>
        <w:rPr>
          <w:b/>
          <w:kern w:val="2"/>
          <w:sz w:val="16"/>
          <w:szCs w:val="16"/>
          <w:lang w:eastAsia="zh-CN"/>
        </w:rPr>
      </w:pPr>
    </w:p>
    <w:p w14:paraId="5C8A6D6E"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4594EAC1" w14:textId="77777777" w:rsidR="005B515C" w:rsidRDefault="005B515C" w:rsidP="005B515C">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0F7835C2" w14:textId="77777777" w:rsidR="004E52D0" w:rsidRDefault="004E52D0" w:rsidP="004E52D0">
      <w:r>
        <w:rPr>
          <w:bCs/>
        </w:rPr>
        <w:t xml:space="preserve">In 3GPP RAN1 #96bis meeting, </w:t>
      </w:r>
      <w:r>
        <w:t>a number of agreements for the indoor industrial channel model SI were reached. Regarding to the scenario description, four industry sub-scenarios are agreed,</w:t>
      </w:r>
    </w:p>
    <w:p w14:paraId="11B3029C" w14:textId="77777777" w:rsidR="004E52D0" w:rsidRPr="002806B8" w:rsidRDefault="004E52D0" w:rsidP="00C5585A">
      <w:pPr>
        <w:pStyle w:val="ListParagraph"/>
        <w:numPr>
          <w:ilvl w:val="0"/>
          <w:numId w:val="9"/>
        </w:numPr>
        <w:ind w:firstLineChars="0"/>
      </w:pPr>
      <w:r w:rsidRPr="002806B8">
        <w:rPr>
          <w:bCs/>
        </w:rPr>
        <w:t>Sub-scenario 1: Low clutter density, both Tx and Rx antennas are clutter-embedded (LOS or NLOS)</w:t>
      </w:r>
    </w:p>
    <w:p w14:paraId="1B77D7D1" w14:textId="77777777" w:rsidR="004E52D0" w:rsidRPr="002806B8" w:rsidRDefault="004E52D0" w:rsidP="00C5585A">
      <w:pPr>
        <w:pStyle w:val="ListParagraph"/>
        <w:numPr>
          <w:ilvl w:val="0"/>
          <w:numId w:val="9"/>
        </w:numPr>
        <w:ind w:firstLineChars="0"/>
        <w:rPr>
          <w:bCs/>
        </w:rPr>
      </w:pPr>
      <w:r w:rsidRPr="002806B8">
        <w:rPr>
          <w:bCs/>
        </w:rPr>
        <w:t>Sub-scenario 2: High clutter density, both Tx and Rx antennas are clutter-embedded (LOS or NLOS)</w:t>
      </w:r>
    </w:p>
    <w:p w14:paraId="5F9F28CB" w14:textId="77777777" w:rsidR="004E52D0" w:rsidRPr="002806B8" w:rsidRDefault="004E52D0" w:rsidP="00C5585A">
      <w:pPr>
        <w:pStyle w:val="ListParagraph"/>
        <w:numPr>
          <w:ilvl w:val="0"/>
          <w:numId w:val="9"/>
        </w:numPr>
        <w:ind w:firstLineChars="0"/>
        <w:rPr>
          <w:bCs/>
        </w:rPr>
      </w:pPr>
      <w:r w:rsidRPr="002806B8">
        <w:rPr>
          <w:bCs/>
        </w:rPr>
        <w:t>Sub-scenario 3: Low clutter density, one of Tx or Rx is elevated above the clutter (LOS or NLOS)</w:t>
      </w:r>
    </w:p>
    <w:p w14:paraId="77ECD29A" w14:textId="77777777" w:rsidR="004E52D0" w:rsidRPr="002806B8" w:rsidRDefault="004E52D0" w:rsidP="00C5585A">
      <w:pPr>
        <w:pStyle w:val="ListParagraph"/>
        <w:numPr>
          <w:ilvl w:val="0"/>
          <w:numId w:val="9"/>
        </w:numPr>
        <w:ind w:firstLineChars="0"/>
        <w:rPr>
          <w:bCs/>
        </w:rPr>
      </w:pPr>
      <w:r w:rsidRPr="002806B8">
        <w:rPr>
          <w:bCs/>
        </w:rPr>
        <w:t>Sub-scenario 4: High clutter density, one of Tx or Rx is elevated above the clutter (LOS or NLOS)</w:t>
      </w:r>
    </w:p>
    <w:p w14:paraId="53585C80" w14:textId="77777777" w:rsidR="004E52D0" w:rsidRPr="002806B8" w:rsidRDefault="004E52D0" w:rsidP="004E52D0">
      <w:pPr>
        <w:rPr>
          <w:bCs/>
        </w:rPr>
      </w:pPr>
      <w:r>
        <w:rPr>
          <w:bCs/>
        </w:rPr>
        <w:t>However, the d</w:t>
      </w:r>
      <w:r w:rsidRPr="002806B8">
        <w:rPr>
          <w:bCs/>
        </w:rPr>
        <w:t xml:space="preserve">efinition of “low” and “high” clutter density </w:t>
      </w:r>
      <w:r>
        <w:rPr>
          <w:bCs/>
        </w:rPr>
        <w:t>need to be further discussed.</w:t>
      </w:r>
    </w:p>
    <w:p w14:paraId="7CFEC720" w14:textId="768EE196" w:rsidR="00463819" w:rsidRDefault="00563F7D" w:rsidP="0076343E">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w:t>
      </w:r>
      <w:r w:rsidR="005B515C">
        <w:rPr>
          <w:lang w:eastAsia="zh-CN"/>
        </w:rPr>
        <w:t xml:space="preserve">preliminary consideration of </w:t>
      </w:r>
      <w:r w:rsidR="00FB371A">
        <w:rPr>
          <w:lang w:eastAsia="zh-CN"/>
        </w:rPr>
        <w:t>path loss</w:t>
      </w:r>
      <w:r w:rsidR="005B515C">
        <w:rPr>
          <w:lang w:eastAsia="zh-CN"/>
        </w:rPr>
        <w:t xml:space="preserve"> model in</w:t>
      </w:r>
      <w:r w:rsidR="002C701E" w:rsidRPr="002C701E">
        <w:rPr>
          <w:lang w:eastAsia="zh-CN"/>
        </w:rPr>
        <w:t xml:space="preserve"> industrial factory environment</w:t>
      </w:r>
      <w:r w:rsidR="008336D0">
        <w:rPr>
          <w:lang w:eastAsia="zh-CN"/>
        </w:rPr>
        <w:t>s</w:t>
      </w:r>
      <w:r w:rsidR="002D4168">
        <w:rPr>
          <w:lang w:eastAsia="zh-CN"/>
        </w:rPr>
        <w:t>, e.g. auto manufacturing</w:t>
      </w:r>
      <w:r w:rsidR="002C701E" w:rsidRPr="002C701E">
        <w:rPr>
          <w:lang w:eastAsia="zh-CN"/>
        </w:rPr>
        <w:t xml:space="preserve">, </w:t>
      </w:r>
      <w:bookmarkStart w:id="5" w:name="OLE_LINK7"/>
      <w:r w:rsidR="002C701E" w:rsidRPr="002C701E">
        <w:rPr>
          <w:lang w:eastAsia="zh-CN"/>
        </w:rPr>
        <w:t>ass</w:t>
      </w:r>
      <w:r w:rsidR="002D4168">
        <w:rPr>
          <w:lang w:eastAsia="zh-CN"/>
        </w:rPr>
        <w:t>embly manufacturing</w:t>
      </w:r>
      <w:r w:rsidR="002C701E">
        <w:rPr>
          <w:lang w:eastAsia="zh-CN"/>
        </w:rPr>
        <w:t xml:space="preserve"> </w:t>
      </w:r>
      <w:bookmarkEnd w:id="5"/>
      <w:r w:rsidR="002C701E">
        <w:rPr>
          <w:lang w:eastAsia="zh-CN"/>
        </w:rPr>
        <w:t>etc</w:t>
      </w:r>
      <w:r w:rsidR="00F014D5">
        <w:rPr>
          <w:lang w:eastAsia="zh-CN"/>
        </w:rPr>
        <w:t>.,</w:t>
      </w:r>
      <w:r w:rsidR="00E42B20">
        <w:rPr>
          <w:lang w:eastAsia="zh-CN"/>
        </w:rPr>
        <w:t xml:space="preserve"> based on the LS from </w:t>
      </w:r>
      <w:r w:rsidR="00E42B20" w:rsidRPr="00C751C2">
        <w:rPr>
          <w:bCs/>
        </w:rPr>
        <w:t xml:space="preserve">5G-ACIA in </w:t>
      </w:r>
      <w:r w:rsidR="00E42B20" w:rsidRPr="00C751C2">
        <w:t>RP-181521</w:t>
      </w:r>
      <w:r w:rsidR="00444DD6">
        <w:t xml:space="preserve"> [3]</w:t>
      </w:r>
      <w:r w:rsidR="00FB4DB8">
        <w:t xml:space="preserve"> </w:t>
      </w:r>
      <w:r w:rsidR="00D152E4">
        <w:rPr>
          <w:rFonts w:hint="eastAsia"/>
          <w:lang w:eastAsia="zh-CN"/>
        </w:rPr>
        <w:t xml:space="preserve">as well as </w:t>
      </w:r>
      <w:r w:rsidR="00FB4DB8">
        <w:t xml:space="preserve">other </w:t>
      </w:r>
      <w:r w:rsidR="009F3CBD">
        <w:t>reference</w:t>
      </w:r>
      <w:r w:rsidR="002D4168">
        <w:t>s</w:t>
      </w:r>
      <w:r w:rsidR="00F014D5">
        <w:t xml:space="preserve"> </w:t>
      </w:r>
      <w:r w:rsidR="00444DD6">
        <w:t>[4]</w:t>
      </w:r>
      <w:r w:rsidR="00427B22">
        <w:t xml:space="preserve">, </w:t>
      </w:r>
      <w:r w:rsidR="00AB3450">
        <w:t>[5]</w:t>
      </w:r>
      <w:r w:rsidR="005B515C">
        <w:rPr>
          <w:rFonts w:hint="eastAsia"/>
          <w:lang w:eastAsia="zh-CN"/>
        </w:rPr>
        <w:t xml:space="preserve">. </w:t>
      </w:r>
      <w:r w:rsidR="00511BB2">
        <w:rPr>
          <w:rFonts w:hint="eastAsia"/>
          <w:lang w:eastAsia="zh-CN"/>
        </w:rPr>
        <w:t>S</w:t>
      </w:r>
      <w:r w:rsidR="002C701E">
        <w:rPr>
          <w:lang w:eastAsia="zh-CN"/>
        </w:rPr>
        <w:t>peci</w:t>
      </w:r>
      <w:r w:rsidR="00511BB2">
        <w:rPr>
          <w:rFonts w:hint="eastAsia"/>
          <w:lang w:eastAsia="zh-CN"/>
        </w:rPr>
        <w:t>fic</w:t>
      </w:r>
      <w:r w:rsidR="002C701E">
        <w:rPr>
          <w:lang w:eastAsia="zh-CN"/>
        </w:rPr>
        <w:t>ally,</w:t>
      </w:r>
      <w:r w:rsidR="002C701E" w:rsidRPr="002C701E">
        <w:rPr>
          <w:lang w:eastAsia="zh-CN"/>
        </w:rPr>
        <w:t xml:space="preserve"> </w:t>
      </w:r>
      <w:r w:rsidR="002C701E">
        <w:rPr>
          <w:lang w:eastAsia="zh-CN"/>
        </w:rPr>
        <w:t xml:space="preserve">the </w:t>
      </w:r>
      <w:r w:rsidR="008336D0" w:rsidRPr="007774B3">
        <w:rPr>
          <w:lang w:val="en-GB" w:eastAsia="zh-CN"/>
        </w:rPr>
        <w:t xml:space="preserve">characteristic </w:t>
      </w:r>
      <w:r w:rsidR="002C701E">
        <w:rPr>
          <w:lang w:eastAsia="zh-CN"/>
        </w:rPr>
        <w:t xml:space="preserve">differences between </w:t>
      </w:r>
      <w:r w:rsidR="002C701E" w:rsidRPr="002C701E">
        <w:rPr>
          <w:lang w:eastAsia="zh-CN"/>
        </w:rPr>
        <w:t xml:space="preserve">the existing TR38.901 indoor scenario and </w:t>
      </w:r>
      <w:r w:rsidR="00797DD0">
        <w:rPr>
          <w:rFonts w:hint="eastAsia"/>
          <w:lang w:eastAsia="zh-CN"/>
        </w:rPr>
        <w:t xml:space="preserve">the </w:t>
      </w:r>
      <w:r w:rsidR="002C701E" w:rsidRPr="002C701E">
        <w:rPr>
          <w:lang w:eastAsia="zh-CN"/>
        </w:rPr>
        <w:t>typical indoor industrial environments</w:t>
      </w:r>
      <w:r w:rsidR="002C701E">
        <w:rPr>
          <w:lang w:eastAsia="zh-CN"/>
        </w:rPr>
        <w:t xml:space="preserve"> are provided</w:t>
      </w:r>
      <w:r w:rsidR="002C701E" w:rsidRPr="002C701E">
        <w:rPr>
          <w:lang w:eastAsia="zh-CN"/>
        </w:rPr>
        <w:t>.</w:t>
      </w:r>
      <w:r w:rsidR="002C701E">
        <w:rPr>
          <w:lang w:eastAsia="zh-CN"/>
        </w:rPr>
        <w:t xml:space="preserve"> </w:t>
      </w:r>
      <w:r w:rsidR="002024A1">
        <w:rPr>
          <w:lang w:eastAsia="zh-CN"/>
        </w:rPr>
        <w:t xml:space="preserve">These identified differences are helpful </w:t>
      </w:r>
      <w:r w:rsidR="00B25307">
        <w:rPr>
          <w:lang w:eastAsia="zh-CN"/>
        </w:rPr>
        <w:t>to</w:t>
      </w:r>
      <w:r w:rsidR="002024A1">
        <w:rPr>
          <w:lang w:eastAsia="zh-CN"/>
        </w:rPr>
        <w:t xml:space="preserve"> define</w:t>
      </w:r>
      <w:r w:rsidR="002024A1" w:rsidRPr="002024A1">
        <w:rPr>
          <w:lang w:eastAsia="zh-CN"/>
        </w:rPr>
        <w:t xml:space="preserve"> </w:t>
      </w:r>
      <w:r w:rsidR="00C3080E">
        <w:rPr>
          <w:rFonts w:hint="eastAsia"/>
          <w:lang w:eastAsia="zh-CN"/>
        </w:rPr>
        <w:t>the</w:t>
      </w:r>
      <w:r w:rsidR="00F045DC">
        <w:rPr>
          <w:rFonts w:hint="eastAsia"/>
          <w:lang w:eastAsia="zh-CN"/>
        </w:rPr>
        <w:t xml:space="preserve"> potential new </w:t>
      </w:r>
      <w:r w:rsidR="002024A1" w:rsidRPr="002024A1">
        <w:rPr>
          <w:lang w:eastAsia="zh-CN"/>
        </w:rPr>
        <w:t>propagation parameters</w:t>
      </w:r>
      <w:r w:rsidR="00F045DC">
        <w:rPr>
          <w:rFonts w:hint="eastAsia"/>
          <w:lang w:eastAsia="zh-CN"/>
        </w:rPr>
        <w:t xml:space="preserve"> and components compared to the existing InH channel model</w:t>
      </w:r>
      <w:r w:rsidR="00FE759D">
        <w:rPr>
          <w:lang w:eastAsia="zh-CN"/>
        </w:rPr>
        <w:t>.</w:t>
      </w:r>
    </w:p>
    <w:p w14:paraId="552A0EBC" w14:textId="77777777" w:rsidR="004E10BA" w:rsidRPr="00A357BB" w:rsidRDefault="004E10BA">
      <w:pPr>
        <w:rPr>
          <w:lang w:eastAsia="zh-CN"/>
        </w:rPr>
      </w:pPr>
    </w:p>
    <w:p w14:paraId="498422BB" w14:textId="3EE3D5DF" w:rsidR="00E35616" w:rsidRDefault="009C0499">
      <w:pPr>
        <w:pStyle w:val="Heading1"/>
        <w:rPr>
          <w:lang w:eastAsia="zh-CN"/>
        </w:rPr>
      </w:pPr>
      <w:r>
        <w:rPr>
          <w:lang w:eastAsia="zh-CN"/>
        </w:rPr>
        <w:t xml:space="preserve">Preliminary consideration of </w:t>
      </w:r>
      <w:r w:rsidR="00A719FF">
        <w:rPr>
          <w:lang w:eastAsia="zh-CN"/>
        </w:rPr>
        <w:t xml:space="preserve">path loss </w:t>
      </w:r>
      <w:r>
        <w:rPr>
          <w:lang w:eastAsia="zh-CN"/>
        </w:rPr>
        <w:t>model</w:t>
      </w:r>
    </w:p>
    <w:p w14:paraId="32E58F5E" w14:textId="371D139E" w:rsidR="0019631F" w:rsidRDefault="0019631F" w:rsidP="0019631F">
      <w:r>
        <w:rPr>
          <w:lang w:eastAsia="zh-CN"/>
        </w:rPr>
        <w:t>In [6]</w:t>
      </w:r>
      <w:r w:rsidR="000665AB">
        <w:rPr>
          <w:lang w:eastAsia="zh-CN"/>
        </w:rPr>
        <w:t xml:space="preserve"> [7]</w:t>
      </w:r>
      <w:r>
        <w:rPr>
          <w:lang w:eastAsia="zh-CN"/>
        </w:rPr>
        <w:t xml:space="preserve">, </w:t>
      </w:r>
      <w:r>
        <w:t xml:space="preserve">we discussed how to merge the different path loss model proposals. </w:t>
      </w:r>
      <w:r w:rsidR="006C6783">
        <w:t xml:space="preserve">Considering the different environment compared to TR 38.901 InH office building, it could be predicted that the path loss exponent changes with the environment (the size, the height, the density of machines in the working space), frequency, and link configuration. </w:t>
      </w:r>
      <w:r>
        <w:t xml:space="preserve"> </w:t>
      </w:r>
      <w:r w:rsidR="006C6783" w:rsidRPr="0047502E">
        <w:t xml:space="preserve">Generally speaking, the greater the density of large equipment and other propagation obstructions in the plant, the greater the path loss index and the greater the loss of propagation to the wireless link. </w:t>
      </w:r>
      <w:r w:rsidR="006C6783" w:rsidRPr="007A5311">
        <w:rPr>
          <w:lang w:eastAsia="zh-CN"/>
        </w:rPr>
        <w:t>BS and UE deployment scheme</w:t>
      </w:r>
      <w:r w:rsidR="006C6783">
        <w:rPr>
          <w:lang w:eastAsia="zh-CN"/>
        </w:rPr>
        <w:t>s</w:t>
      </w:r>
      <w:r w:rsidR="006C6783" w:rsidRPr="007A5311">
        <w:rPr>
          <w:lang w:eastAsia="zh-CN"/>
        </w:rPr>
        <w:t xml:space="preserve"> may be different for different </w:t>
      </w:r>
      <w:r w:rsidR="006C6783">
        <w:rPr>
          <w:lang w:eastAsia="zh-CN"/>
        </w:rPr>
        <w:t>industrial factory environment.</w:t>
      </w:r>
      <w:r w:rsidR="006C6783" w:rsidRPr="006C6783">
        <w:t xml:space="preserve"> </w:t>
      </w:r>
      <w:r w:rsidR="006C6783">
        <w:t>The variation between path loss models is huge, and direct average would lead to very high standard deviation.</w:t>
      </w:r>
    </w:p>
    <w:p w14:paraId="27DF89BB" w14:textId="77777777" w:rsidR="001D2DAB" w:rsidRDefault="001D2DAB" w:rsidP="001D2DAB">
      <w:pPr>
        <w:rPr>
          <w:b/>
          <w:i/>
          <w:lang w:eastAsia="zh-CN"/>
        </w:rPr>
      </w:pPr>
      <w:r>
        <w:rPr>
          <w:b/>
          <w:i/>
          <w:lang w:eastAsia="zh-CN"/>
        </w:rPr>
        <w:t>Proposal</w:t>
      </w:r>
      <w:r w:rsidRPr="005A6BD3">
        <w:rPr>
          <w:rFonts w:hint="eastAsia"/>
          <w:b/>
          <w:i/>
          <w:lang w:eastAsia="zh-CN"/>
        </w:rPr>
        <w:t xml:space="preserve"> </w:t>
      </w:r>
      <w:r>
        <w:rPr>
          <w:b/>
          <w:i/>
          <w:lang w:eastAsia="zh-CN"/>
        </w:rPr>
        <w:t>1</w:t>
      </w:r>
      <w:r w:rsidRPr="005A6BD3">
        <w:rPr>
          <w:rFonts w:hint="eastAsia"/>
          <w:b/>
          <w:i/>
          <w:lang w:eastAsia="zh-CN"/>
        </w:rPr>
        <w:t>:</w:t>
      </w:r>
      <w:r>
        <w:rPr>
          <w:b/>
          <w:i/>
          <w:lang w:eastAsia="zh-CN"/>
        </w:rPr>
        <w:t xml:space="preserve"> Consider the path loss model per sub-scenario. </w:t>
      </w:r>
    </w:p>
    <w:p w14:paraId="7EB0CC4F" w14:textId="23911575" w:rsidR="000665AB" w:rsidRPr="000665AB" w:rsidRDefault="00B25044" w:rsidP="000665AB">
      <w:r>
        <w:t xml:space="preserve">In order to get a stable path loss model for each sub-scenario. </w:t>
      </w:r>
      <w:r w:rsidR="000665AB" w:rsidRPr="000665AB">
        <w:t>Companies should share the results per sub-scenario</w:t>
      </w:r>
      <w:r>
        <w:t>, and provide detail measurement campaigns information, e.g.</w:t>
      </w:r>
      <w:r w:rsidR="000665AB" w:rsidRPr="000665AB">
        <w:t xml:space="preserve"> BS height above/below clutter, high/low density clutter. The merge could be done via different methods:</w:t>
      </w:r>
    </w:p>
    <w:p w14:paraId="5F9AF958" w14:textId="6DF0C191" w:rsidR="000665AB" w:rsidRPr="000665AB" w:rsidRDefault="000665AB" w:rsidP="000665AB">
      <w:r w:rsidRPr="000665AB">
        <w:t>Option 1: Collect raw data (distance, power, f, antenna height, sub-scenario) from companies. Companies are encouraged to share the data.</w:t>
      </w:r>
    </w:p>
    <w:p w14:paraId="575C8E8B" w14:textId="77777777" w:rsidR="000665AB" w:rsidRPr="000665AB" w:rsidRDefault="000665AB" w:rsidP="000665AB">
      <w:r w:rsidRPr="000665AB">
        <w:t>Option 2: Calculate average from different models</w:t>
      </w:r>
    </w:p>
    <w:p w14:paraId="14D541B7" w14:textId="77777777" w:rsidR="000665AB" w:rsidRPr="000665AB" w:rsidRDefault="000665AB" w:rsidP="000665AB">
      <w:r w:rsidRPr="000665AB">
        <w:lastRenderedPageBreak/>
        <w:t>Option 2a: generate random variables and calculate the final standard deviation.</w:t>
      </w:r>
    </w:p>
    <w:p w14:paraId="5446CD71" w14:textId="77777777" w:rsidR="000665AB" w:rsidRPr="000665AB" w:rsidRDefault="000665AB" w:rsidP="000665AB">
      <w:r w:rsidRPr="000665AB">
        <w:t>Option 2b: use mathematical method (the result should be the same as in 2a).</w:t>
      </w:r>
    </w:p>
    <w:p w14:paraId="3B44383A" w14:textId="77777777" w:rsidR="000665AB" w:rsidRPr="00153C6E" w:rsidRDefault="000665AB" w:rsidP="000665AB">
      <w:r w:rsidRPr="00153C6E">
        <w:t>Option 2c: average standard deviation.</w:t>
      </w:r>
    </w:p>
    <w:p w14:paraId="66E399A1" w14:textId="16823735" w:rsidR="0019631F" w:rsidRDefault="000665AB" w:rsidP="000665AB">
      <w:r w:rsidRPr="00153C6E">
        <w:t xml:space="preserve">Option 3: Combine raw data from Option 1 and generate random variables from different path loss models that we don’t have raw data available, and fit the path loss and </w:t>
      </w:r>
      <w:r w:rsidR="00153C6E">
        <w:t>standard deviation</w:t>
      </w:r>
      <w:r w:rsidRPr="00153C6E">
        <w:t>.</w:t>
      </w:r>
    </w:p>
    <w:p w14:paraId="64BFF64F" w14:textId="43177C0C" w:rsidR="00832CF5" w:rsidRDefault="00832CF5" w:rsidP="000665AB">
      <w:r>
        <w:t>In this contribution, we consider option 1 based on Huawei measurement campaigns in Germany and China</w:t>
      </w:r>
      <w:r w:rsidR="006A3D7A">
        <w:t xml:space="preserve"> [8]</w:t>
      </w:r>
      <w:r w:rsidR="001D2DAB">
        <w:t xml:space="preserve"> as the starting point</w:t>
      </w:r>
      <w:r>
        <w:t>.</w:t>
      </w:r>
    </w:p>
    <w:p w14:paraId="2A38141E" w14:textId="2D0CDCEB" w:rsidR="001D2DAB" w:rsidRDefault="001D2DAB" w:rsidP="001D2DAB">
      <w:pPr>
        <w:rPr>
          <w:b/>
          <w:i/>
          <w:lang w:eastAsia="zh-CN"/>
        </w:rPr>
      </w:pPr>
      <w:r>
        <w:rPr>
          <w:b/>
          <w:i/>
          <w:lang w:eastAsia="zh-CN"/>
        </w:rPr>
        <w:t xml:space="preserve">Proposal 2: For path loss merging method, </w:t>
      </w:r>
      <w:r w:rsidR="00F64320">
        <w:rPr>
          <w:b/>
          <w:i/>
          <w:lang w:eastAsia="zh-CN"/>
        </w:rPr>
        <w:t>o</w:t>
      </w:r>
      <w:r>
        <w:rPr>
          <w:b/>
          <w:i/>
          <w:lang w:eastAsia="zh-CN"/>
        </w:rPr>
        <w:t>ption 1 can a starting point.</w:t>
      </w:r>
    </w:p>
    <w:p w14:paraId="29AB2200" w14:textId="77777777" w:rsidR="001D2DAB" w:rsidRDefault="001D2DAB" w:rsidP="001D2DAB">
      <w:r>
        <w:t>In 3GPP, a statistical model is considered in TR38.901. For the path loss model, it shows that the received power attenuation mainly depends on the distance between the transmitter and the receiver. After obtaining the received power against the distance between the transmitter and the receiver, the empirical path loss model in decibels can be used for the power attenuation prediction as the following,</w:t>
      </w:r>
    </w:p>
    <w:p w14:paraId="25442827" w14:textId="77777777" w:rsidR="001D2DAB" w:rsidRDefault="001D2DAB" w:rsidP="001D2DAB">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=A+10*n*log10</m:t>
          </m:r>
          <m:d>
            <m:dPr>
              <m:ctrlPr>
                <w:rPr>
                  <w:rFonts w:ascii="Cambria Math" w:hAnsi="Cambria Math"/>
                  <w:i/>
                </w:rPr>
              </m:ctrlPr>
            </m:dPr>
            <m:e>
              <m:r>
                <w:rPr>
                  <w:rFonts w:ascii="Cambria Math" w:hAnsi="Cambria Math"/>
                </w:rPr>
                <m:t>d</m:t>
              </m:r>
            </m:e>
          </m:d>
          <m:r>
            <m:rPr>
              <m:sty m:val="p"/>
            </m:rPr>
            <w:rPr>
              <w:rFonts w:ascii="Cambria Math" w:hAnsi="Cambria Math"/>
            </w:rPr>
            <m:t>+</m:t>
          </m:r>
          <m:sSub>
            <m:sSubPr>
              <m:ctrlPr>
                <w:rPr>
                  <w:rFonts w:ascii="Cambria Math" w:hAnsi="Cambria Math"/>
                </w:rPr>
              </m:ctrlPr>
            </m:sSubPr>
            <m:e>
              <m:r>
                <w:rPr>
                  <w:rFonts w:ascii="Cambria Math" w:hAnsi="Cambria Math"/>
                </w:rPr>
                <m:t>10*m*log10</m:t>
              </m:r>
              <m:d>
                <m:dPr>
                  <m:ctrlPr>
                    <w:rPr>
                      <w:rFonts w:ascii="Cambria Math" w:hAnsi="Cambria Math"/>
                      <w:i/>
                    </w:rPr>
                  </m:ctrlPr>
                </m:dPr>
                <m:e>
                  <m:r>
                    <w:rPr>
                      <w:rFonts w:ascii="Cambria Math" w:hAnsi="Cambria Math"/>
                    </w:rPr>
                    <m:t>f</m:t>
                  </m:r>
                </m:e>
              </m:d>
              <m:r>
                <w:rPr>
                  <w:rFonts w:ascii="Cambria Math" w:hAnsi="Cambria Math"/>
                </w:rPr>
                <m:t>+X</m:t>
              </m:r>
            </m:e>
            <m:sub>
              <m:r>
                <w:rPr>
                  <w:rFonts w:ascii="Cambria Math" w:hAnsi="Cambria Math"/>
                </w:rPr>
                <m:t>σ</m:t>
              </m:r>
            </m:sub>
          </m:sSub>
        </m:oMath>
      </m:oMathPara>
    </w:p>
    <w:p w14:paraId="42C524F4" w14:textId="77777777" w:rsidR="001D2DAB" w:rsidRDefault="001D2DAB" w:rsidP="001D2DAB">
      <w:r>
        <w:t xml:space="preserve">where </w:t>
      </w:r>
      <w:r w:rsidRPr="008B615C">
        <w:rPr>
          <w:i/>
        </w:rPr>
        <w:t>d</w:t>
      </w:r>
      <w:r>
        <w:t xml:space="preserve"> is the distance of the transceiver in meters, </w:t>
      </w:r>
      <w:r w:rsidRPr="008B615C">
        <w:rPr>
          <w:i/>
        </w:rPr>
        <w:t>n</w:t>
      </w:r>
      <w:r>
        <w:t xml:space="preserve"> is the path loss coefficient considering </w:t>
      </w:r>
      <w:r w:rsidRPr="008B615C">
        <w:rPr>
          <w:i/>
        </w:rPr>
        <w:t>d</w:t>
      </w:r>
      <w:r>
        <w:t xml:space="preserve">, </w:t>
      </w:r>
      <w:r w:rsidRPr="00A357BB">
        <w:rPr>
          <w:i/>
        </w:rPr>
        <w:t>m</w:t>
      </w:r>
      <w:r>
        <w:t xml:space="preserve"> is the coefficient considering frequency </w:t>
      </w:r>
      <w:r w:rsidRPr="008B615C">
        <w:rPr>
          <w:i/>
        </w:rPr>
        <w:t>f</w:t>
      </w:r>
      <w:r>
        <w:t xml:space="preserve">, </w:t>
      </w:r>
      <w:r w:rsidRPr="008B615C">
        <w:rPr>
          <w:i/>
        </w:rPr>
        <w:t>A</w:t>
      </w:r>
      <w:r>
        <w:t xml:space="preserve"> is the intercept, and </w:t>
      </w:r>
      <m:oMath>
        <m:sSub>
          <m:sSubPr>
            <m:ctrlPr>
              <w:rPr>
                <w:rFonts w:ascii="Cambria Math" w:hAnsi="Cambria Math"/>
              </w:rPr>
            </m:ctrlPr>
          </m:sSubPr>
          <m:e>
            <m:r>
              <w:rPr>
                <w:rFonts w:ascii="Cambria Math" w:hAnsi="Cambria Math"/>
              </w:rPr>
              <m:t>X</m:t>
            </m:r>
          </m:e>
          <m:sub>
            <m:r>
              <w:rPr>
                <w:rFonts w:ascii="Cambria Math" w:hAnsi="Cambria Math"/>
              </w:rPr>
              <m:t>σ</m:t>
            </m:r>
          </m:sub>
        </m:sSub>
      </m:oMath>
      <w:r>
        <w:t xml:space="preserve"> represents the shadowing term.</w:t>
      </w:r>
    </w:p>
    <w:p w14:paraId="641C385D" w14:textId="606D5B0F" w:rsidR="001D2DAB" w:rsidRPr="001D2DAB" w:rsidRDefault="001D2DAB" w:rsidP="001D2DAB">
      <w:pPr>
        <w:rPr>
          <w:b/>
          <w:i/>
          <w:lang w:eastAsia="zh-CN"/>
        </w:rPr>
      </w:pPr>
      <w:r>
        <w:rPr>
          <w:b/>
          <w:i/>
          <w:lang w:eastAsia="zh-CN"/>
        </w:rPr>
        <w:t xml:space="preserve">Proposal 3: </w:t>
      </w:r>
      <w:r w:rsidRPr="001D2DAB">
        <w:rPr>
          <w:b/>
          <w:i/>
          <w:lang w:eastAsia="zh-CN"/>
        </w:rPr>
        <w:t>ABG model for each sub-scenario is preferred.</w:t>
      </w:r>
    </w:p>
    <w:p w14:paraId="26A7C1F0" w14:textId="605526F8" w:rsidR="001D2DAB" w:rsidRPr="00122182" w:rsidRDefault="00FB1EF7" w:rsidP="001D2DAB">
      <w:pPr>
        <w:rPr>
          <w:b/>
          <w:i/>
          <w:lang w:eastAsia="zh-CN"/>
        </w:rPr>
      </w:pPr>
      <w:r>
        <w:rPr>
          <w:b/>
          <w:i/>
          <w:lang w:eastAsia="zh-CN"/>
        </w:rPr>
        <w:t>Proposal 4:</w:t>
      </w:r>
      <w:r w:rsidR="001D2DAB" w:rsidRPr="00122182">
        <w:rPr>
          <w:b/>
          <w:i/>
          <w:lang w:eastAsia="zh-CN"/>
        </w:rPr>
        <w:t>Multi-dimensional regression as a starting point</w:t>
      </w:r>
      <w:r>
        <w:rPr>
          <w:b/>
          <w:i/>
          <w:lang w:eastAsia="zh-CN"/>
        </w:rPr>
        <w:t xml:space="preserve"> to reflect different frequency characteristics</w:t>
      </w:r>
    </w:p>
    <w:p w14:paraId="0533958A" w14:textId="6BB9D272" w:rsidR="00982473" w:rsidRDefault="00982473" w:rsidP="008B615C"/>
    <w:p w14:paraId="630B10C1" w14:textId="77777777" w:rsidR="00DC5E0E" w:rsidRDefault="00747F48" w:rsidP="00173F76">
      <w:pPr>
        <w:pStyle w:val="Heading1"/>
      </w:pPr>
      <w:bookmarkStart w:id="6" w:name="_Ref129681832"/>
      <w:r w:rsidRPr="00CF195E">
        <w:t>Conclusion</w:t>
      </w:r>
    </w:p>
    <w:p w14:paraId="3A8EB13A" w14:textId="15C085CC" w:rsidR="00F4664B" w:rsidRDefault="00F4664B" w:rsidP="00F4664B">
      <w:pPr>
        <w:rPr>
          <w:lang w:val="en-GB"/>
        </w:rPr>
      </w:pPr>
      <w:r w:rsidRPr="00251764">
        <w:rPr>
          <w:lang w:val="en-GB"/>
        </w:rPr>
        <w:t>According to the above discussions,</w:t>
      </w:r>
      <w:r>
        <w:rPr>
          <w:lang w:val="en-GB"/>
        </w:rPr>
        <w:t xml:space="preserve"> we have the following </w:t>
      </w:r>
      <w:r w:rsidR="003955C6">
        <w:rPr>
          <w:rFonts w:hint="eastAsia"/>
          <w:lang w:val="en-GB" w:eastAsia="zh-CN"/>
        </w:rPr>
        <w:t>proposals</w:t>
      </w:r>
      <w:r w:rsidRPr="00251764">
        <w:rPr>
          <w:lang w:val="en-GB"/>
        </w:rPr>
        <w:t>:</w:t>
      </w:r>
    </w:p>
    <w:p w14:paraId="271AFEB9" w14:textId="77777777" w:rsidR="003955C6" w:rsidRDefault="003955C6" w:rsidP="003955C6">
      <w:pPr>
        <w:rPr>
          <w:b/>
          <w:i/>
          <w:lang w:eastAsia="zh-CN"/>
        </w:rPr>
      </w:pPr>
      <w:r>
        <w:rPr>
          <w:b/>
          <w:i/>
          <w:lang w:eastAsia="zh-CN"/>
        </w:rPr>
        <w:t>Proposal</w:t>
      </w:r>
      <w:r w:rsidRPr="005A6BD3">
        <w:rPr>
          <w:rFonts w:hint="eastAsia"/>
          <w:b/>
          <w:i/>
          <w:lang w:eastAsia="zh-CN"/>
        </w:rPr>
        <w:t xml:space="preserve"> </w:t>
      </w:r>
      <w:r>
        <w:rPr>
          <w:b/>
          <w:i/>
          <w:lang w:eastAsia="zh-CN"/>
        </w:rPr>
        <w:t>1</w:t>
      </w:r>
      <w:r w:rsidRPr="005A6BD3">
        <w:rPr>
          <w:rFonts w:hint="eastAsia"/>
          <w:b/>
          <w:i/>
          <w:lang w:eastAsia="zh-CN"/>
        </w:rPr>
        <w:t>:</w:t>
      </w:r>
      <w:r>
        <w:rPr>
          <w:b/>
          <w:i/>
          <w:lang w:eastAsia="zh-CN"/>
        </w:rPr>
        <w:t xml:space="preserve"> Consider the path loss model per sub-scenario. </w:t>
      </w:r>
    </w:p>
    <w:p w14:paraId="1E8F9E7D" w14:textId="29559381" w:rsidR="003955C6" w:rsidRDefault="003955C6" w:rsidP="003955C6">
      <w:pPr>
        <w:rPr>
          <w:b/>
          <w:i/>
          <w:lang w:eastAsia="zh-CN"/>
        </w:rPr>
      </w:pPr>
      <w:r>
        <w:rPr>
          <w:b/>
          <w:i/>
          <w:lang w:eastAsia="zh-CN"/>
        </w:rPr>
        <w:t>Proposal 2: For path loss merging method, c</w:t>
      </w:r>
      <w:r w:rsidRPr="003955C6">
        <w:rPr>
          <w:b/>
          <w:i/>
          <w:lang w:eastAsia="zh-CN"/>
        </w:rPr>
        <w:t xml:space="preserve">ollect raw data (distance, power, f, antenna height, sub-scenario) from companies and </w:t>
      </w:r>
      <w:r w:rsidRPr="003955C6">
        <w:rPr>
          <w:rFonts w:hint="eastAsia"/>
          <w:b/>
          <w:i/>
          <w:lang w:eastAsia="zh-CN"/>
        </w:rPr>
        <w:t>c</w:t>
      </w:r>
      <w:r w:rsidRPr="003955C6">
        <w:rPr>
          <w:b/>
          <w:i/>
          <w:lang w:eastAsia="zh-CN"/>
        </w:rPr>
        <w:t>ombine raw data</w:t>
      </w:r>
      <w:r>
        <w:rPr>
          <w:b/>
          <w:i/>
          <w:lang w:eastAsia="zh-CN"/>
        </w:rPr>
        <w:t xml:space="preserve"> can a starting point.</w:t>
      </w:r>
    </w:p>
    <w:p w14:paraId="21A673C4" w14:textId="77777777" w:rsidR="003955C6" w:rsidRPr="001D2DAB" w:rsidRDefault="003955C6" w:rsidP="003955C6">
      <w:pPr>
        <w:rPr>
          <w:b/>
          <w:i/>
          <w:lang w:eastAsia="zh-CN"/>
        </w:rPr>
      </w:pPr>
      <w:r>
        <w:rPr>
          <w:b/>
          <w:i/>
          <w:lang w:eastAsia="zh-CN"/>
        </w:rPr>
        <w:t xml:space="preserve">Proposal 3: </w:t>
      </w:r>
      <w:r w:rsidRPr="001D2DAB">
        <w:rPr>
          <w:b/>
          <w:i/>
          <w:lang w:eastAsia="zh-CN"/>
        </w:rPr>
        <w:t>ABG model for each sub-scenario is preferred.</w:t>
      </w:r>
    </w:p>
    <w:p w14:paraId="09B3F927" w14:textId="77777777" w:rsidR="003955C6" w:rsidRPr="00122182" w:rsidRDefault="003955C6" w:rsidP="003955C6">
      <w:pPr>
        <w:rPr>
          <w:b/>
          <w:i/>
          <w:lang w:eastAsia="zh-CN"/>
        </w:rPr>
      </w:pPr>
      <w:r>
        <w:rPr>
          <w:b/>
          <w:i/>
          <w:lang w:eastAsia="zh-CN"/>
        </w:rPr>
        <w:t>Proposal 4:</w:t>
      </w:r>
      <w:r w:rsidRPr="00122182">
        <w:rPr>
          <w:b/>
          <w:i/>
          <w:lang w:eastAsia="zh-CN"/>
        </w:rPr>
        <w:t>Multi-dimensional regression as a starting point</w:t>
      </w:r>
      <w:r>
        <w:rPr>
          <w:b/>
          <w:i/>
          <w:lang w:eastAsia="zh-CN"/>
        </w:rPr>
        <w:t xml:space="preserve"> to reflect different frequency characteristics</w:t>
      </w:r>
    </w:p>
    <w:p w14:paraId="3FFF1CB4" w14:textId="2D178BD5" w:rsidR="003955C6" w:rsidRDefault="003955C6" w:rsidP="00F4664B">
      <w:pPr>
        <w:rPr>
          <w:lang w:val="en-GB"/>
        </w:rPr>
      </w:pPr>
    </w:p>
    <w:p w14:paraId="6B5AD605" w14:textId="77777777" w:rsidR="001D780E" w:rsidRPr="00CF195E" w:rsidRDefault="001D780E" w:rsidP="00440BC5">
      <w:pPr>
        <w:pStyle w:val="Heading1"/>
      </w:pPr>
      <w:bookmarkStart w:id="7" w:name="_Ref124589665"/>
      <w:bookmarkStart w:id="8" w:name="_Ref71620620"/>
      <w:bookmarkStart w:id="9" w:name="_Ref124671424"/>
      <w:r w:rsidRPr="00CF195E">
        <w:t>References</w:t>
      </w:r>
    </w:p>
    <w:p w14:paraId="16D164FF" w14:textId="77777777" w:rsidR="00444DD6" w:rsidRDefault="00444DD6" w:rsidP="00444DD6">
      <w:pPr>
        <w:pStyle w:val="References"/>
      </w:pPr>
      <w:bookmarkStart w:id="10" w:name="OLE_LINK3"/>
      <w:bookmarkStart w:id="11" w:name="_Ref444940176"/>
      <w:bookmarkStart w:id="12" w:name="_Ref445712275"/>
      <w:bookmarkStart w:id="13" w:name="_Ref488522507"/>
      <w:bookmarkStart w:id="14" w:name="_Ref497643507"/>
      <w:bookmarkStart w:id="15" w:name="_Ref497649910"/>
      <w:bookmarkEnd w:id="6"/>
      <w:bookmarkEnd w:id="7"/>
      <w:bookmarkEnd w:id="8"/>
      <w:bookmarkEnd w:id="9"/>
      <w:r w:rsidRPr="00B327FB">
        <w:t>RP-182138</w:t>
      </w:r>
      <w:bookmarkEnd w:id="10"/>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14:paraId="7A1C42C1" w14:textId="77777777"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14:paraId="2939E831" w14:textId="77777777" w:rsidR="00872A3E" w:rsidRDefault="00E120E4" w:rsidP="00872A3E">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14:paraId="42C3A93E" w14:textId="77777777" w:rsidR="008946DB" w:rsidRDefault="008946DB" w:rsidP="008946DB">
      <w:pPr>
        <w:pStyle w:val="References"/>
      </w:pPr>
      <w:r w:rsidRPr="002C6D63">
        <w:t>R1-1904704</w:t>
      </w:r>
      <w:r w:rsidRPr="0076343E">
        <w:t>, “Investigation of characteristics of industrial factory environment”, Huawei, HiSilicon, April</w:t>
      </w:r>
      <w:r>
        <w:t>, 2019</w:t>
      </w:r>
      <w:r w:rsidRPr="0076343E">
        <w:t>.</w:t>
      </w:r>
    </w:p>
    <w:p w14:paraId="4E2E43BC" w14:textId="77777777" w:rsidR="008946DB" w:rsidRDefault="008946DB" w:rsidP="008946DB">
      <w:pPr>
        <w:pStyle w:val="References"/>
      </w:pPr>
      <w:r w:rsidRPr="006135DA">
        <w:t>R1-1904705</w:t>
      </w:r>
      <w:r w:rsidRPr="00872A3E">
        <w:t xml:space="preserve">, “Existing literature and measurement review for industrial factory environment”, Huawei, HiSilicon, </w:t>
      </w:r>
      <w:r>
        <w:t>April 2019</w:t>
      </w:r>
      <w:r w:rsidRPr="00872A3E">
        <w:t>.</w:t>
      </w:r>
    </w:p>
    <w:bookmarkEnd w:id="11"/>
    <w:bookmarkEnd w:id="12"/>
    <w:bookmarkEnd w:id="13"/>
    <w:bookmarkEnd w:id="14"/>
    <w:bookmarkEnd w:id="15"/>
    <w:p w14:paraId="1D7198A4" w14:textId="5D96B760" w:rsidR="00701F15" w:rsidRDefault="00701F15" w:rsidP="00701F15">
      <w:pPr>
        <w:pStyle w:val="References"/>
      </w:pPr>
      <w:r w:rsidRPr="005526E8">
        <w:t>R1-190</w:t>
      </w:r>
      <w:r>
        <w:t>5735</w:t>
      </w:r>
      <w:r w:rsidRPr="005526E8">
        <w:t xml:space="preserve">, </w:t>
      </w:r>
      <w:r>
        <w:t>“</w:t>
      </w:r>
      <w:r w:rsidRPr="00AD2886">
        <w:t>Scenario specific path loss models for IIOT</w:t>
      </w:r>
      <w:r>
        <w:t xml:space="preserve">”, </w:t>
      </w:r>
      <w:r w:rsidRPr="00AD2886">
        <w:t>Huawei, HiSilicon, NTT DOCOMO</w:t>
      </w:r>
      <w:r w:rsidRPr="00013C5C">
        <w:t xml:space="preserve">, </w:t>
      </w:r>
      <w:r>
        <w:t>R</w:t>
      </w:r>
      <w:r w:rsidRPr="00A72298">
        <w:t>AN</w:t>
      </w:r>
      <w:r>
        <w:t>1</w:t>
      </w:r>
      <w:r w:rsidRPr="00A72298">
        <w:t>#96</w:t>
      </w:r>
      <w:r>
        <w:t>bis</w:t>
      </w:r>
      <w:r w:rsidRPr="00A72298">
        <w:t xml:space="preserve">, </w:t>
      </w:r>
      <w:r>
        <w:t>Xi’an</w:t>
      </w:r>
      <w:r w:rsidRPr="00A72298">
        <w:t xml:space="preserve">, </w:t>
      </w:r>
      <w:r>
        <w:t>China</w:t>
      </w:r>
      <w:r w:rsidRPr="00A72298">
        <w:t xml:space="preserve">, </w:t>
      </w:r>
      <w:r>
        <w:t>8-12</w:t>
      </w:r>
      <w:r w:rsidRPr="00A72298">
        <w:t xml:space="preserve"> </w:t>
      </w:r>
      <w:r>
        <w:t>April</w:t>
      </w:r>
      <w:r w:rsidRPr="00A72298">
        <w:t>, 2019.</w:t>
      </w:r>
    </w:p>
    <w:p w14:paraId="719F93A0" w14:textId="2876D495" w:rsidR="002245BB" w:rsidRDefault="002245BB" w:rsidP="002245BB">
      <w:pPr>
        <w:pStyle w:val="References"/>
      </w:pPr>
      <w:r w:rsidRPr="002245BB">
        <w:t>R1-1904708</w:t>
      </w:r>
      <w:r>
        <w:t>, “</w:t>
      </w:r>
      <w:r w:rsidRPr="002245BB">
        <w:t>Summary of IIOT path loss results</w:t>
      </w:r>
      <w:r>
        <w:t xml:space="preserve">”, </w:t>
      </w:r>
      <w:r w:rsidRPr="00AD2886">
        <w:t xml:space="preserve">Huawei, HiSilicon, </w:t>
      </w:r>
      <w:r w:rsidRPr="002245BB">
        <w:t>CEA-LETI</w:t>
      </w:r>
      <w:r w:rsidRPr="00013C5C">
        <w:t xml:space="preserve">, </w:t>
      </w:r>
      <w:r>
        <w:t>R</w:t>
      </w:r>
      <w:r w:rsidRPr="00A72298">
        <w:t>AN</w:t>
      </w:r>
      <w:r>
        <w:t>1</w:t>
      </w:r>
      <w:r w:rsidRPr="00A72298">
        <w:t>#96</w:t>
      </w:r>
      <w:r>
        <w:t>bis</w:t>
      </w:r>
      <w:r w:rsidRPr="00A72298">
        <w:t xml:space="preserve">, </w:t>
      </w:r>
      <w:r>
        <w:t>Xi’an</w:t>
      </w:r>
      <w:r w:rsidRPr="00A72298">
        <w:t xml:space="preserve">, </w:t>
      </w:r>
      <w:r>
        <w:t>China</w:t>
      </w:r>
      <w:r w:rsidRPr="00A72298">
        <w:t xml:space="preserve">, </w:t>
      </w:r>
      <w:r>
        <w:t>8-12</w:t>
      </w:r>
      <w:r w:rsidRPr="00A72298">
        <w:t xml:space="preserve"> </w:t>
      </w:r>
      <w:r>
        <w:t>April</w:t>
      </w:r>
      <w:r w:rsidRPr="00A72298">
        <w:t>, 2019.</w:t>
      </w:r>
    </w:p>
    <w:p w14:paraId="357006EA" w14:textId="35C45DE0" w:rsidR="00832CF5" w:rsidRPr="00872A3E" w:rsidRDefault="00832CF5" w:rsidP="002245BB">
      <w:pPr>
        <w:pStyle w:val="References"/>
      </w:pPr>
      <w:r w:rsidRPr="00832CF5">
        <w:t>R1-1904706</w:t>
      </w:r>
      <w:r>
        <w:t>, “</w:t>
      </w:r>
      <w:bookmarkStart w:id="16" w:name="OLE_LINK33"/>
      <w:r w:rsidRPr="00832CF5">
        <w:t>Preliminary channel measurement on large-scale propagation loss for indoor factory environment</w:t>
      </w:r>
      <w:bookmarkEnd w:id="16"/>
      <w:r>
        <w:t xml:space="preserve">”, </w:t>
      </w:r>
      <w:r w:rsidRPr="00AD2886">
        <w:t xml:space="preserve">Huawei, HiSilicon, </w:t>
      </w:r>
      <w:r>
        <w:t>R</w:t>
      </w:r>
      <w:r w:rsidRPr="00A72298">
        <w:t>AN</w:t>
      </w:r>
      <w:r>
        <w:t>1</w:t>
      </w:r>
      <w:r w:rsidRPr="00A72298">
        <w:t>#96</w:t>
      </w:r>
      <w:r>
        <w:t>bis</w:t>
      </w:r>
      <w:r w:rsidRPr="00A72298">
        <w:t xml:space="preserve">, </w:t>
      </w:r>
      <w:r>
        <w:t>Xi’an</w:t>
      </w:r>
      <w:r w:rsidRPr="00A72298">
        <w:t xml:space="preserve">, </w:t>
      </w:r>
      <w:r>
        <w:t>China</w:t>
      </w:r>
      <w:r w:rsidRPr="00A72298">
        <w:t xml:space="preserve">, </w:t>
      </w:r>
      <w:r>
        <w:t>8-12</w:t>
      </w:r>
      <w:r w:rsidRPr="00A72298">
        <w:t xml:space="preserve"> </w:t>
      </w:r>
      <w:r>
        <w:t>April</w:t>
      </w:r>
      <w:r w:rsidRPr="00A72298">
        <w:t>, 2019.</w:t>
      </w:r>
    </w:p>
    <w:sectPr w:rsidR="00832CF5" w:rsidRPr="00872A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D37D5" w14:textId="77777777" w:rsidR="00CF0A45" w:rsidRDefault="00CF0A45">
      <w:r>
        <w:separator/>
      </w:r>
    </w:p>
  </w:endnote>
  <w:endnote w:type="continuationSeparator" w:id="0">
    <w:p w14:paraId="32F12EEC" w14:textId="77777777" w:rsidR="00CF0A45" w:rsidRDefault="00CF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B8E9" w14:textId="77777777" w:rsidR="00CF0A45" w:rsidRDefault="00CF0A45">
      <w:r>
        <w:separator/>
      </w:r>
    </w:p>
  </w:footnote>
  <w:footnote w:type="continuationSeparator" w:id="0">
    <w:p w14:paraId="755C9FB4" w14:textId="77777777" w:rsidR="00CF0A45" w:rsidRDefault="00CF0A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A71BA7"/>
    <w:multiLevelType w:val="multilevel"/>
    <w:tmpl w:val="F8E876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207DDC"/>
    <w:multiLevelType w:val="hybridMultilevel"/>
    <w:tmpl w:val="4DF6299E"/>
    <w:lvl w:ilvl="0" w:tplc="987E8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8"/>
  </w:num>
  <w:num w:numId="4">
    <w:abstractNumId w:val="2"/>
  </w:num>
  <w:num w:numId="5">
    <w:abstractNumId w:val="5"/>
  </w:num>
  <w:num w:numId="6">
    <w:abstractNumId w:val="1"/>
  </w:num>
  <w:num w:numId="7">
    <w:abstractNumId w:val="0"/>
  </w:num>
  <w:num w:numId="8">
    <w:abstractNumId w:val="9"/>
  </w:num>
  <w:num w:numId="9">
    <w:abstractNumId w:val="4"/>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67C"/>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1B96"/>
    <w:rsid w:val="00064180"/>
    <w:rsid w:val="00064D08"/>
    <w:rsid w:val="00064ECC"/>
    <w:rsid w:val="0006543D"/>
    <w:rsid w:val="000654A8"/>
    <w:rsid w:val="00065609"/>
    <w:rsid w:val="00065D38"/>
    <w:rsid w:val="000663AC"/>
    <w:rsid w:val="000665AB"/>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BDF"/>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182"/>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1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3C6E"/>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6"/>
    <w:rsid w:val="00190B5B"/>
    <w:rsid w:val="00191C91"/>
    <w:rsid w:val="00192B5C"/>
    <w:rsid w:val="00192DD9"/>
    <w:rsid w:val="00194037"/>
    <w:rsid w:val="00194339"/>
    <w:rsid w:val="0019480A"/>
    <w:rsid w:val="00194848"/>
    <w:rsid w:val="00194E94"/>
    <w:rsid w:val="00194EA6"/>
    <w:rsid w:val="0019527D"/>
    <w:rsid w:val="001958E5"/>
    <w:rsid w:val="001958EA"/>
    <w:rsid w:val="001959F9"/>
    <w:rsid w:val="00195E0E"/>
    <w:rsid w:val="00196237"/>
    <w:rsid w:val="0019631F"/>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4A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C14"/>
    <w:rsid w:val="001D2CD5"/>
    <w:rsid w:val="001D2DAB"/>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5BB"/>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3BE"/>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666"/>
    <w:rsid w:val="00275BD0"/>
    <w:rsid w:val="00275DF4"/>
    <w:rsid w:val="0027611E"/>
    <w:rsid w:val="002768DE"/>
    <w:rsid w:val="00276A35"/>
    <w:rsid w:val="00276F91"/>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7F"/>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168"/>
    <w:rsid w:val="002D418C"/>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BBB"/>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5C6"/>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B7D84"/>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DE2"/>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1E2"/>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67F45"/>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D09"/>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C93"/>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2D0"/>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6A37"/>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5F98"/>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19D"/>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1AD"/>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58B1"/>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A1"/>
    <w:rsid w:val="005D4EFA"/>
    <w:rsid w:val="005D5067"/>
    <w:rsid w:val="005D55BA"/>
    <w:rsid w:val="005D5738"/>
    <w:rsid w:val="005D5ADB"/>
    <w:rsid w:val="005D6245"/>
    <w:rsid w:val="005D62C6"/>
    <w:rsid w:val="005D648A"/>
    <w:rsid w:val="005D658E"/>
    <w:rsid w:val="005D6A5C"/>
    <w:rsid w:val="005D6C07"/>
    <w:rsid w:val="005D6F3A"/>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AB7"/>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234"/>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083F"/>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C52"/>
    <w:rsid w:val="00622E2A"/>
    <w:rsid w:val="00622E3F"/>
    <w:rsid w:val="00622F89"/>
    <w:rsid w:val="00623089"/>
    <w:rsid w:val="0062308E"/>
    <w:rsid w:val="006234C4"/>
    <w:rsid w:val="006240E9"/>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47A4E"/>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3AB"/>
    <w:rsid w:val="00666422"/>
    <w:rsid w:val="006668E8"/>
    <w:rsid w:val="00666AD5"/>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179"/>
    <w:rsid w:val="006A3205"/>
    <w:rsid w:val="006A3D7A"/>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573B"/>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783"/>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15"/>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8DF"/>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3E"/>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2D2"/>
    <w:rsid w:val="007B488B"/>
    <w:rsid w:val="007B4EE1"/>
    <w:rsid w:val="007B50E7"/>
    <w:rsid w:val="007B511C"/>
    <w:rsid w:val="007B52CD"/>
    <w:rsid w:val="007B5DEC"/>
    <w:rsid w:val="007B5E2F"/>
    <w:rsid w:val="007B69E6"/>
    <w:rsid w:val="007B6C10"/>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0F53"/>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B6F"/>
    <w:rsid w:val="00827F0D"/>
    <w:rsid w:val="00830996"/>
    <w:rsid w:val="00830DAD"/>
    <w:rsid w:val="00830DC3"/>
    <w:rsid w:val="00830EF4"/>
    <w:rsid w:val="00831555"/>
    <w:rsid w:val="00831556"/>
    <w:rsid w:val="00831E50"/>
    <w:rsid w:val="00831F52"/>
    <w:rsid w:val="00832154"/>
    <w:rsid w:val="00832997"/>
    <w:rsid w:val="00832B1F"/>
    <w:rsid w:val="00832C64"/>
    <w:rsid w:val="00832CF5"/>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6DB"/>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090"/>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A37"/>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1AB"/>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899"/>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477"/>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306"/>
    <w:rsid w:val="00A63BF3"/>
    <w:rsid w:val="00A63F95"/>
    <w:rsid w:val="00A63FDF"/>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9FF"/>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3F7C"/>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AA0"/>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C76"/>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044"/>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18"/>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912"/>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AA1"/>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BF7FD1"/>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5D3"/>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0FD3"/>
    <w:rsid w:val="00C21516"/>
    <w:rsid w:val="00C21673"/>
    <w:rsid w:val="00C2183C"/>
    <w:rsid w:val="00C21C7A"/>
    <w:rsid w:val="00C23130"/>
    <w:rsid w:val="00C23275"/>
    <w:rsid w:val="00C23C10"/>
    <w:rsid w:val="00C2423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1E0"/>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85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31F"/>
    <w:rsid w:val="00C8766B"/>
    <w:rsid w:val="00C87EA9"/>
    <w:rsid w:val="00C901A2"/>
    <w:rsid w:val="00C903F0"/>
    <w:rsid w:val="00C910E0"/>
    <w:rsid w:val="00C914FC"/>
    <w:rsid w:val="00C91858"/>
    <w:rsid w:val="00C91DE3"/>
    <w:rsid w:val="00C9205E"/>
    <w:rsid w:val="00C92271"/>
    <w:rsid w:val="00C9243E"/>
    <w:rsid w:val="00C92632"/>
    <w:rsid w:val="00C92BB8"/>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68C1"/>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A45"/>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3D4"/>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1F2"/>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20B"/>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100"/>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B30"/>
    <w:rsid w:val="00EB6D83"/>
    <w:rsid w:val="00EB70B0"/>
    <w:rsid w:val="00EB71BC"/>
    <w:rsid w:val="00EB7633"/>
    <w:rsid w:val="00EB770B"/>
    <w:rsid w:val="00EB7736"/>
    <w:rsid w:val="00EB77D7"/>
    <w:rsid w:val="00EB780C"/>
    <w:rsid w:val="00EB7F29"/>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DC2"/>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3EFC"/>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29D"/>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468"/>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320"/>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CB"/>
    <w:rsid w:val="00F732EC"/>
    <w:rsid w:val="00F73763"/>
    <w:rsid w:val="00F73BBF"/>
    <w:rsid w:val="00F73D08"/>
    <w:rsid w:val="00F7503B"/>
    <w:rsid w:val="00F7586B"/>
    <w:rsid w:val="00F759C5"/>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EF7"/>
    <w:rsid w:val="00FB1F7E"/>
    <w:rsid w:val="00FB1F94"/>
    <w:rsid w:val="00FB2095"/>
    <w:rsid w:val="00FB2537"/>
    <w:rsid w:val="00FB25D6"/>
    <w:rsid w:val="00FB2D4F"/>
    <w:rsid w:val="00FB3104"/>
    <w:rsid w:val="00FB3138"/>
    <w:rsid w:val="00FB3236"/>
    <w:rsid w:val="00FB33DC"/>
    <w:rsid w:val="00FB362A"/>
    <w:rsid w:val="00FB371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4F59"/>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C847A"/>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519BC-0657-4F18-90A6-A885D1DB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2</cp:revision>
  <cp:lastPrinted>2016-09-23T15:14:00Z</cp:lastPrinted>
  <dcterms:created xsi:type="dcterms:W3CDTF">2019-05-03T19:23:00Z</dcterms:created>
  <dcterms:modified xsi:type="dcterms:W3CDTF">2019-05-03T19:23:00Z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(3)mNhqpQ+dUYhDBng1DMHy12ICZyWGJe+xi2vU2osIoXh16wsdCn/541vYFTwG5oeoqWxCIeFl
d4RJD7KOeerspAGHw1hOu7AqFFjDcinxjbv7F3ZKUfgigvuRfGnYiDj/fBwbOnltn4DTXNt2
88sx01oB4LawVoQRNPZmlVt1zgR+kWwQx0enuAYzYeOpbhgqOMRl/FBANg41afFqC1r9gVxQ
OBtAUuVxJJAakgy4Bk</vt:lpwstr>
  </property>
  <property fmtid="{D5CDD505-2E9C-101B-9397-08002B2CF9AE}" pid="13" name="_2015_ms_pID_725343_00">
    <vt:lpwstr>_2015_ms_pID_725343</vt:lpwstr>
  </property>
  <property fmtid="{D5CDD505-2E9C-101B-9397-08002B2CF9AE}" pid="14" name="_2015_ms_pID_7253431">
    <vt:lpwstr>n8XT+2/NRM7mY2Z+qCKHqSdytO3QZJDZcVanRfUy9cZquojQQaVKF2
SnYa8QQa7M9H1+Qul84Zg/ybpiKSAhJ2yeJjhD0mwK8I6qcc4LMmF1+TXBwbCaahVCBt9t9Z
GN4OUNTueBEkMzm+1AfLExsxT+YAmDvSw+C0CIAt53RyJf9Ji+eYnU66p3D1ZE9bcPCysfPx
3hS/SngusGiBX4sInu5yAoQZNLEARMnzZ9nf</vt:lpwstr>
  </property>
  <property fmtid="{D5CDD505-2E9C-101B-9397-08002B2CF9AE}" pid="15" name="_2015_ms_pID_7253431_00">
    <vt:lpwstr>_2015_ms_pID_7253431</vt:lpwstr>
  </property>
  <property fmtid="{D5CDD505-2E9C-101B-9397-08002B2CF9AE}" pid="16" name="_2015_ms_pID_7253432">
    <vt:lpwstr>kDm7J4Yrqp1qLcQk+08Qb9w98XUHJIIMdNOV
SAgU8Fa7/UkVEACjPdaF+51Gj5OcCkA3R4xzUCpfUPC5+Eg3MV4=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1556071655</vt:lpwstr>
  </property>
</Properties>
</file>