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129BF0" w14:textId="77777777" w:rsidR="00E36103" w:rsidRPr="00794F8E" w:rsidRDefault="00E36103" w:rsidP="00E36103">
      <w:pPr>
        <w:pStyle w:val="3GPPHeader"/>
        <w:rPr>
          <w:rFonts w:eastAsiaTheme="minorEastAsia"/>
          <w:lang w:eastAsia="zh-TW"/>
        </w:rPr>
      </w:pPr>
      <w:bookmarkStart w:id="0" w:name="_GoBack"/>
      <w:bookmarkEnd w:id="0"/>
      <w:r w:rsidRPr="00794F8E">
        <w:rPr>
          <w:rFonts w:eastAsiaTheme="minorEastAsia" w:hint="eastAsia"/>
          <w:lang w:eastAsia="zh-TW"/>
        </w:rPr>
        <w:t>3</w:t>
      </w:r>
      <w:r w:rsidRPr="00794F8E">
        <w:rPr>
          <w:rFonts w:eastAsiaTheme="minorEastAsia"/>
          <w:lang w:eastAsia="zh-TW"/>
        </w:rPr>
        <w:t>GPP TSG-RAN WG1 Meeting #96</w:t>
      </w:r>
      <w:r w:rsidR="006D4CBB">
        <w:rPr>
          <w:rFonts w:eastAsiaTheme="minorEastAsia"/>
          <w:lang w:eastAsia="zh-TW"/>
        </w:rPr>
        <w:t>-</w:t>
      </w:r>
      <w:r>
        <w:rPr>
          <w:rFonts w:eastAsiaTheme="minorEastAsia"/>
          <w:lang w:eastAsia="zh-TW"/>
        </w:rPr>
        <w:t>Bis</w:t>
      </w:r>
      <w:r w:rsidRPr="00794F8E">
        <w:rPr>
          <w:rFonts w:eastAsiaTheme="minorEastAsia"/>
          <w:lang w:eastAsia="zh-TW"/>
        </w:rPr>
        <w:tab/>
      </w:r>
      <w:r w:rsidR="006335C9" w:rsidRPr="006335C9">
        <w:rPr>
          <w:rFonts w:eastAsiaTheme="minorEastAsia"/>
          <w:lang w:eastAsia="zh-TW"/>
        </w:rPr>
        <w:t>R1-1905061</w:t>
      </w:r>
    </w:p>
    <w:p w14:paraId="22F51D55" w14:textId="77777777" w:rsidR="00E36103" w:rsidRPr="00794F8E" w:rsidRDefault="00E36103" w:rsidP="00E36103">
      <w:pPr>
        <w:pStyle w:val="3GPPHeader"/>
        <w:rPr>
          <w:rFonts w:eastAsiaTheme="minorEastAsia"/>
          <w:lang w:eastAsia="zh-TW"/>
        </w:rPr>
      </w:pPr>
      <w:r>
        <w:rPr>
          <w:rFonts w:eastAsiaTheme="minorEastAsia"/>
          <w:lang w:eastAsia="zh-TW"/>
        </w:rPr>
        <w:t>Xi’an</w:t>
      </w:r>
      <w:r w:rsidRPr="00794F8E">
        <w:rPr>
          <w:rFonts w:eastAsiaTheme="minorEastAsia"/>
          <w:lang w:eastAsia="zh-TW"/>
        </w:rPr>
        <w:t xml:space="preserve">, </w:t>
      </w:r>
      <w:r>
        <w:rPr>
          <w:rFonts w:eastAsiaTheme="minorEastAsia"/>
          <w:lang w:eastAsia="zh-TW"/>
        </w:rPr>
        <w:t>China</w:t>
      </w:r>
      <w:r w:rsidRPr="00794F8E">
        <w:rPr>
          <w:rFonts w:eastAsiaTheme="minorEastAsia"/>
          <w:lang w:eastAsia="zh-TW"/>
        </w:rPr>
        <w:t xml:space="preserve">, </w:t>
      </w:r>
      <w:r>
        <w:rPr>
          <w:rFonts w:eastAsiaTheme="minorEastAsia"/>
          <w:lang w:eastAsia="zh-TW"/>
        </w:rPr>
        <w:t>8</w:t>
      </w:r>
      <w:r w:rsidRPr="00794F8E">
        <w:rPr>
          <w:rFonts w:eastAsiaTheme="minorEastAsia"/>
          <w:vertAlign w:val="superscript"/>
          <w:lang w:eastAsia="zh-TW"/>
        </w:rPr>
        <w:t>th</w:t>
      </w:r>
      <w:r w:rsidRPr="00794F8E">
        <w:rPr>
          <w:rFonts w:eastAsiaTheme="minorEastAsia"/>
          <w:lang w:eastAsia="zh-TW"/>
        </w:rPr>
        <w:t xml:space="preserve"> </w:t>
      </w:r>
      <w:r>
        <w:rPr>
          <w:rFonts w:eastAsiaTheme="minorEastAsia"/>
          <w:lang w:eastAsia="zh-TW"/>
        </w:rPr>
        <w:t>April</w:t>
      </w:r>
      <w:r w:rsidRPr="00794F8E">
        <w:rPr>
          <w:rFonts w:eastAsiaTheme="minorEastAsia"/>
          <w:lang w:eastAsia="zh-TW"/>
        </w:rPr>
        <w:t xml:space="preserve">- </w:t>
      </w:r>
      <w:r w:rsidRPr="007A6D9F">
        <w:rPr>
          <w:rFonts w:eastAsiaTheme="minorEastAsia"/>
          <w:noProof/>
          <w:lang w:eastAsia="zh-TW"/>
        </w:rPr>
        <w:t>12</w:t>
      </w:r>
      <w:r w:rsidR="00DD2233">
        <w:rPr>
          <w:rFonts w:eastAsiaTheme="minorEastAsia"/>
          <w:noProof/>
          <w:vertAlign w:val="superscript"/>
          <w:lang w:eastAsia="zh-TW"/>
        </w:rPr>
        <w:t>th</w:t>
      </w:r>
      <w:r w:rsidRPr="00794F8E">
        <w:rPr>
          <w:rFonts w:eastAsiaTheme="minorEastAsia"/>
          <w:lang w:eastAsia="zh-TW"/>
        </w:rPr>
        <w:t xml:space="preserve"> </w:t>
      </w:r>
      <w:r>
        <w:rPr>
          <w:rFonts w:eastAsiaTheme="minorEastAsia"/>
          <w:lang w:eastAsia="zh-TW"/>
        </w:rPr>
        <w:t>April</w:t>
      </w:r>
      <w:r w:rsidRPr="00794F8E">
        <w:rPr>
          <w:rFonts w:eastAsiaTheme="minorEastAsia"/>
          <w:lang w:eastAsia="zh-TW"/>
        </w:rPr>
        <w:t xml:space="preserve"> 2019</w:t>
      </w:r>
    </w:p>
    <w:p w14:paraId="307302DF" w14:textId="77777777" w:rsidR="001E10F3" w:rsidRPr="00E36103" w:rsidRDefault="001E10F3" w:rsidP="001E10F3">
      <w:pPr>
        <w:pStyle w:val="3GPPHeader"/>
        <w:rPr>
          <w:rFonts w:eastAsiaTheme="minorEastAsia"/>
          <w:lang w:eastAsia="zh-TW"/>
        </w:rPr>
      </w:pPr>
    </w:p>
    <w:p w14:paraId="4741F94E" w14:textId="77777777" w:rsidR="001E10F3" w:rsidRPr="00794F8E" w:rsidRDefault="001E10F3" w:rsidP="001E10F3">
      <w:pPr>
        <w:pStyle w:val="3GPPHeader"/>
        <w:rPr>
          <w:rFonts w:eastAsiaTheme="minorEastAsia"/>
          <w:lang w:eastAsia="zh-TW"/>
        </w:rPr>
      </w:pPr>
      <w:r w:rsidRPr="00794F8E">
        <w:rPr>
          <w:rFonts w:eastAsiaTheme="minorEastAsia" w:hint="eastAsia"/>
          <w:lang w:eastAsia="zh-TW"/>
        </w:rPr>
        <w:t>S</w:t>
      </w:r>
      <w:r w:rsidRPr="00794F8E">
        <w:rPr>
          <w:rFonts w:eastAsiaTheme="minorEastAsia"/>
          <w:lang w:eastAsia="zh-TW"/>
        </w:rPr>
        <w:t>ource:</w:t>
      </w:r>
      <w:r w:rsidRPr="00794F8E">
        <w:rPr>
          <w:rFonts w:eastAsiaTheme="minorEastAsia"/>
          <w:lang w:eastAsia="zh-TW"/>
        </w:rPr>
        <w:tab/>
        <w:t>Asia Pacific Telecom</w:t>
      </w:r>
    </w:p>
    <w:p w14:paraId="49060C70" w14:textId="77777777" w:rsidR="001E10F3" w:rsidRPr="00794F8E" w:rsidRDefault="001E10F3" w:rsidP="001E10F3">
      <w:pPr>
        <w:pStyle w:val="3GPPHeader"/>
        <w:rPr>
          <w:rFonts w:eastAsiaTheme="minorEastAsia"/>
          <w:lang w:eastAsia="zh-TW"/>
        </w:rPr>
      </w:pPr>
      <w:r w:rsidRPr="00794F8E">
        <w:rPr>
          <w:rFonts w:eastAsiaTheme="minorEastAsia" w:hint="eastAsia"/>
          <w:lang w:eastAsia="zh-TW"/>
        </w:rPr>
        <w:t>T</w:t>
      </w:r>
      <w:r w:rsidRPr="00794F8E">
        <w:rPr>
          <w:rFonts w:eastAsiaTheme="minorEastAsia"/>
          <w:lang w:eastAsia="zh-TW"/>
        </w:rPr>
        <w:t>itle:</w:t>
      </w:r>
      <w:r w:rsidRPr="00794F8E">
        <w:rPr>
          <w:rFonts w:eastAsiaTheme="minorEastAsia"/>
          <w:lang w:eastAsia="zh-TW"/>
        </w:rPr>
        <w:tab/>
        <w:t>PDCCH enhancements for NR URLLC</w:t>
      </w:r>
    </w:p>
    <w:p w14:paraId="0817FC22" w14:textId="77777777" w:rsidR="001E10F3" w:rsidRPr="00794F8E" w:rsidRDefault="001E10F3" w:rsidP="001E10F3">
      <w:pPr>
        <w:pStyle w:val="3GPPHeader"/>
        <w:rPr>
          <w:rFonts w:eastAsiaTheme="minorEastAsia"/>
          <w:lang w:eastAsia="zh-TW"/>
        </w:rPr>
      </w:pPr>
      <w:r w:rsidRPr="00794F8E">
        <w:rPr>
          <w:rFonts w:eastAsiaTheme="minorEastAsia"/>
          <w:lang w:eastAsia="zh-TW"/>
        </w:rPr>
        <w:t>Agenda item:</w:t>
      </w:r>
      <w:r w:rsidRPr="00794F8E">
        <w:rPr>
          <w:rFonts w:eastAsiaTheme="minorEastAsia"/>
          <w:lang w:eastAsia="zh-TW"/>
        </w:rPr>
        <w:tab/>
        <w:t>7.2.6.1</w:t>
      </w:r>
    </w:p>
    <w:p w14:paraId="1B3056DB" w14:textId="77777777" w:rsidR="001E10F3" w:rsidRPr="00794F8E" w:rsidRDefault="001E10F3" w:rsidP="001E10F3">
      <w:pPr>
        <w:pStyle w:val="3GPPHeader"/>
        <w:rPr>
          <w:rFonts w:eastAsiaTheme="minorEastAsia"/>
          <w:lang w:eastAsia="zh-TW"/>
        </w:rPr>
      </w:pPr>
      <w:r w:rsidRPr="00794F8E">
        <w:rPr>
          <w:rFonts w:eastAsiaTheme="minorEastAsia" w:hint="eastAsia"/>
          <w:lang w:eastAsia="zh-TW"/>
        </w:rPr>
        <w:t>D</w:t>
      </w:r>
      <w:r w:rsidRPr="00794F8E">
        <w:rPr>
          <w:rFonts w:eastAsiaTheme="minorEastAsia"/>
          <w:lang w:eastAsia="zh-TW"/>
        </w:rPr>
        <w:t xml:space="preserve">ocument for: </w:t>
      </w:r>
      <w:r w:rsidRPr="00794F8E">
        <w:rPr>
          <w:rFonts w:eastAsiaTheme="minorEastAsia"/>
          <w:lang w:eastAsia="zh-TW"/>
        </w:rPr>
        <w:tab/>
        <w:t>Discussion and Decision</w:t>
      </w:r>
    </w:p>
    <w:p w14:paraId="2880D35F" w14:textId="77777777" w:rsidR="001E10F3" w:rsidRDefault="001E10F3" w:rsidP="001E10F3">
      <w:pPr>
        <w:pStyle w:val="Heading1"/>
        <w:numPr>
          <w:ilvl w:val="0"/>
          <w:numId w:val="4"/>
        </w:numPr>
        <w:rPr>
          <w:rFonts w:eastAsiaTheme="minorEastAsia"/>
          <w:lang w:eastAsia="zh-TW"/>
        </w:rPr>
      </w:pPr>
      <w:r>
        <w:rPr>
          <w:rFonts w:eastAsiaTheme="minorEastAsia" w:hint="eastAsia"/>
          <w:lang w:eastAsia="zh-TW"/>
        </w:rPr>
        <w:t>I</w:t>
      </w:r>
      <w:r>
        <w:rPr>
          <w:rFonts w:eastAsiaTheme="minorEastAsia"/>
          <w:lang w:eastAsia="zh-TW"/>
        </w:rPr>
        <w:t>ntroduction</w:t>
      </w:r>
    </w:p>
    <w:p w14:paraId="7139A5BF" w14:textId="77777777" w:rsidR="001E10F3" w:rsidRDefault="001E10F3">
      <w:pPr>
        <w:rPr>
          <w:sz w:val="22"/>
          <w:lang w:eastAsia="zh-TW"/>
        </w:rPr>
      </w:pPr>
      <w:r w:rsidRPr="00AF1AF3">
        <w:rPr>
          <w:sz w:val="22"/>
          <w:lang w:eastAsia="zh-TW"/>
        </w:rPr>
        <w:t xml:space="preserve">In RAN1 </w:t>
      </w:r>
      <w:r w:rsidR="00E36103">
        <w:rPr>
          <w:sz w:val="22"/>
          <w:lang w:eastAsia="zh-TW"/>
        </w:rPr>
        <w:t>#96</w:t>
      </w:r>
      <w:r w:rsidRPr="00AF1AF3">
        <w:rPr>
          <w:sz w:val="22"/>
          <w:lang w:eastAsia="zh-TW"/>
        </w:rPr>
        <w:t xml:space="preserve"> meeting, the following </w:t>
      </w:r>
      <w:r w:rsidR="00E36103">
        <w:rPr>
          <w:sz w:val="22"/>
          <w:lang w:eastAsia="zh-TW"/>
        </w:rPr>
        <w:t>agreements have been made</w:t>
      </w:r>
      <w:r w:rsidRPr="00AF1AF3">
        <w:rPr>
          <w:sz w:val="22"/>
          <w:lang w:eastAsia="zh-TW"/>
        </w:rPr>
        <w:t xml:space="preserve"> related to the </w:t>
      </w:r>
      <w:r w:rsidR="00A4702C">
        <w:rPr>
          <w:sz w:val="22"/>
          <w:lang w:eastAsia="zh-TW"/>
        </w:rPr>
        <w:t>increased PDCCH monitoring capability</w:t>
      </w:r>
      <w:r w:rsidRPr="00AF1AF3">
        <w:rPr>
          <w:sz w:val="22"/>
          <w:lang w:eastAsia="zh-TW"/>
        </w:rPr>
        <w:t>:</w:t>
      </w:r>
    </w:p>
    <w:p w14:paraId="4B98801B" w14:textId="77777777" w:rsidR="00A4702C" w:rsidRPr="00324FCB" w:rsidRDefault="00A4702C" w:rsidP="00A4702C">
      <w:pPr>
        <w:rPr>
          <w:lang w:eastAsia="x-none"/>
        </w:rPr>
      </w:pPr>
      <w:r w:rsidRPr="00A4702C">
        <w:rPr>
          <w:sz w:val="22"/>
          <w:szCs w:val="22"/>
          <w:highlight w:val="green"/>
          <w:lang w:eastAsia="x-none"/>
        </w:rPr>
        <w:t>Agreements</w:t>
      </w:r>
      <w:r w:rsidRPr="00324FCB">
        <w:rPr>
          <w:lang w:eastAsia="x-none"/>
        </w:rPr>
        <w:t>:</w:t>
      </w:r>
    </w:p>
    <w:p w14:paraId="34775F0E" w14:textId="77777777" w:rsidR="00A4702C" w:rsidRPr="00A4702C" w:rsidRDefault="00A4702C" w:rsidP="00A4702C">
      <w:pPr>
        <w:rPr>
          <w:sz w:val="22"/>
          <w:szCs w:val="22"/>
        </w:rPr>
      </w:pPr>
      <w:r w:rsidRPr="00A4702C">
        <w:rPr>
          <w:rFonts w:hint="eastAsia"/>
          <w:sz w:val="22"/>
          <w:szCs w:val="22"/>
        </w:rPr>
        <w:t>S</w:t>
      </w:r>
      <w:r w:rsidRPr="00A4702C">
        <w:rPr>
          <w:sz w:val="22"/>
          <w:szCs w:val="22"/>
        </w:rPr>
        <w:t xml:space="preserve">upport increased PDCCH monitoring capability on at least the maximum number of non-overlapped CCEs per slot for channel estimation for Rel-16 NR </w:t>
      </w:r>
      <w:r w:rsidRPr="007A6D9F">
        <w:rPr>
          <w:noProof/>
          <w:sz w:val="22"/>
          <w:szCs w:val="22"/>
        </w:rPr>
        <w:t>URLLC</w:t>
      </w:r>
      <w:r w:rsidRPr="00A4702C">
        <w:rPr>
          <w:sz w:val="22"/>
          <w:szCs w:val="22"/>
        </w:rPr>
        <w:t xml:space="preserve"> for at least one SCS subject to the following restrictions:</w:t>
      </w:r>
    </w:p>
    <w:p w14:paraId="62866E5B" w14:textId="77777777" w:rsidR="00A4702C" w:rsidRPr="00A4702C" w:rsidRDefault="00A4702C" w:rsidP="00A4702C">
      <w:pPr>
        <w:pStyle w:val="ListParagraph"/>
        <w:numPr>
          <w:ilvl w:val="0"/>
          <w:numId w:val="41"/>
        </w:numPr>
        <w:autoSpaceDE w:val="0"/>
        <w:autoSpaceDN w:val="0"/>
        <w:adjustRightInd w:val="0"/>
        <w:snapToGrid w:val="0"/>
        <w:spacing w:after="120"/>
        <w:jc w:val="both"/>
        <w:rPr>
          <w:sz w:val="22"/>
          <w:szCs w:val="22"/>
        </w:rPr>
      </w:pPr>
      <w:r w:rsidRPr="00A4702C">
        <w:rPr>
          <w:sz w:val="22"/>
          <w:szCs w:val="22"/>
          <w:lang w:eastAsia="zh-CN"/>
        </w:rPr>
        <w:t>Explicit limitation on the maximum number of BDs/non-overlapping CCEs per monitoring occasion and/or per monitoring span, and</w:t>
      </w:r>
    </w:p>
    <w:p w14:paraId="5A4483D5" w14:textId="77777777" w:rsidR="00A4702C" w:rsidRPr="00A4702C" w:rsidRDefault="00A4702C" w:rsidP="00A4702C">
      <w:pPr>
        <w:pStyle w:val="ListParagraph"/>
        <w:numPr>
          <w:ilvl w:val="0"/>
          <w:numId w:val="41"/>
        </w:numPr>
        <w:autoSpaceDE w:val="0"/>
        <w:autoSpaceDN w:val="0"/>
        <w:adjustRightInd w:val="0"/>
        <w:snapToGrid w:val="0"/>
        <w:spacing w:after="120"/>
        <w:jc w:val="both"/>
        <w:rPr>
          <w:sz w:val="22"/>
          <w:szCs w:val="22"/>
        </w:rPr>
      </w:pPr>
      <w:r w:rsidRPr="00A4702C">
        <w:rPr>
          <w:sz w:val="22"/>
          <w:szCs w:val="22"/>
          <w:lang w:eastAsia="zh-CN"/>
        </w:rPr>
        <w:t>The set of applicable SCS(s) to be finalized during the WI phase</w:t>
      </w:r>
    </w:p>
    <w:p w14:paraId="11825601" w14:textId="77777777" w:rsidR="00A4702C" w:rsidRPr="00A4702C" w:rsidRDefault="00A4702C" w:rsidP="00A4702C">
      <w:pPr>
        <w:pStyle w:val="ListParagraph"/>
        <w:numPr>
          <w:ilvl w:val="0"/>
          <w:numId w:val="41"/>
        </w:numPr>
        <w:autoSpaceDE w:val="0"/>
        <w:autoSpaceDN w:val="0"/>
        <w:adjustRightInd w:val="0"/>
        <w:snapToGrid w:val="0"/>
        <w:spacing w:after="120"/>
        <w:jc w:val="both"/>
        <w:rPr>
          <w:sz w:val="22"/>
          <w:szCs w:val="22"/>
        </w:rPr>
      </w:pPr>
      <w:r w:rsidRPr="00A4702C">
        <w:rPr>
          <w:sz w:val="22"/>
          <w:szCs w:val="22"/>
          <w:lang w:eastAsia="zh-CN"/>
        </w:rPr>
        <w:t xml:space="preserve">Additional restrictions (e.g., impact # of CCs if any, potential limitations on PDSCH/PUSCH processing, </w:t>
      </w:r>
      <w:r w:rsidRPr="00DD2233">
        <w:rPr>
          <w:noProof/>
          <w:sz w:val="22"/>
          <w:szCs w:val="22"/>
          <w:lang w:eastAsia="zh-CN"/>
        </w:rPr>
        <w:t>impact</w:t>
      </w:r>
      <w:r w:rsidRPr="00A4702C">
        <w:rPr>
          <w:sz w:val="22"/>
          <w:szCs w:val="22"/>
          <w:lang w:eastAsia="zh-CN"/>
        </w:rPr>
        <w:t xml:space="preserve"> of wideband RS for CCE counting if any, etc.) can be considered during the WI phase </w:t>
      </w:r>
    </w:p>
    <w:p w14:paraId="502A0CC0" w14:textId="77777777" w:rsidR="00A4702C" w:rsidRPr="00A4702C" w:rsidRDefault="00A4702C" w:rsidP="00A4702C">
      <w:pPr>
        <w:rPr>
          <w:sz w:val="22"/>
          <w:szCs w:val="22"/>
          <w:lang w:eastAsia="x-none"/>
        </w:rPr>
      </w:pPr>
      <w:r w:rsidRPr="00A4702C">
        <w:rPr>
          <w:sz w:val="22"/>
          <w:szCs w:val="22"/>
          <w:highlight w:val="green"/>
          <w:lang w:eastAsia="x-none"/>
        </w:rPr>
        <w:t>Agreements</w:t>
      </w:r>
      <w:r w:rsidRPr="00A4702C">
        <w:rPr>
          <w:sz w:val="22"/>
          <w:szCs w:val="22"/>
          <w:lang w:eastAsia="x-none"/>
        </w:rPr>
        <w:t>:</w:t>
      </w:r>
    </w:p>
    <w:p w14:paraId="7837F7EA" w14:textId="77777777" w:rsidR="00A4702C" w:rsidRPr="007237FF" w:rsidRDefault="00A4702C" w:rsidP="007237FF">
      <w:pPr>
        <w:numPr>
          <w:ilvl w:val="0"/>
          <w:numId w:val="45"/>
        </w:numPr>
        <w:overflowPunct/>
        <w:autoSpaceDE/>
        <w:autoSpaceDN/>
        <w:adjustRightInd/>
        <w:spacing w:after="0"/>
        <w:jc w:val="left"/>
        <w:textAlignment w:val="auto"/>
        <w:rPr>
          <w:kern w:val="2"/>
          <w:sz w:val="22"/>
          <w:szCs w:val="22"/>
        </w:rPr>
      </w:pPr>
      <w:r w:rsidRPr="00A4702C">
        <w:rPr>
          <w:sz w:val="22"/>
          <w:szCs w:val="22"/>
        </w:rPr>
        <w:t xml:space="preserve">Enhancements for PDCCH monitoring </w:t>
      </w:r>
      <w:r w:rsidRPr="00A4702C">
        <w:rPr>
          <w:kern w:val="2"/>
          <w:sz w:val="22"/>
          <w:szCs w:val="22"/>
        </w:rPr>
        <w:t>capability on the maximum number of monitored PDCCH candidates per slot (with potential restrictions) for Rel-16 NR URLLC can be further considered in work item phase.</w:t>
      </w:r>
    </w:p>
    <w:p w14:paraId="162EC7DE" w14:textId="77777777" w:rsidR="001E10F3" w:rsidRPr="00A4702C" w:rsidRDefault="001E10F3" w:rsidP="001E10F3">
      <w:pPr>
        <w:rPr>
          <w:sz w:val="22"/>
          <w:szCs w:val="22"/>
          <w:lang w:eastAsia="zh-TW"/>
        </w:rPr>
      </w:pPr>
      <w:r w:rsidRPr="00A4702C">
        <w:rPr>
          <w:sz w:val="22"/>
          <w:szCs w:val="22"/>
          <w:lang w:eastAsia="zh-TW"/>
        </w:rPr>
        <w:t xml:space="preserve">In this contribution, we provide our views on PDCCH monitoring enhancements for </w:t>
      </w:r>
      <w:r w:rsidRPr="00DD2233">
        <w:rPr>
          <w:noProof/>
          <w:sz w:val="22"/>
          <w:szCs w:val="22"/>
          <w:lang w:eastAsia="zh-TW"/>
        </w:rPr>
        <w:t>URLLC</w:t>
      </w:r>
      <w:r w:rsidRPr="00A4702C">
        <w:rPr>
          <w:sz w:val="22"/>
          <w:szCs w:val="22"/>
          <w:lang w:eastAsia="zh-TW"/>
        </w:rPr>
        <w:t>.</w:t>
      </w:r>
    </w:p>
    <w:p w14:paraId="1BB64CDE" w14:textId="77777777" w:rsidR="001E10F3" w:rsidRDefault="001E10F3" w:rsidP="001E10F3">
      <w:pPr>
        <w:pStyle w:val="Heading1"/>
        <w:numPr>
          <w:ilvl w:val="0"/>
          <w:numId w:val="4"/>
        </w:numPr>
        <w:rPr>
          <w:rFonts w:eastAsiaTheme="minorEastAsia"/>
          <w:lang w:eastAsia="zh-TW"/>
        </w:rPr>
      </w:pPr>
      <w:r>
        <w:rPr>
          <w:lang w:eastAsia="zh-TW"/>
        </w:rPr>
        <w:t>Discussion</w:t>
      </w:r>
    </w:p>
    <w:p w14:paraId="3BAFA37C" w14:textId="77777777" w:rsidR="001E10F3" w:rsidRDefault="001E10F3" w:rsidP="001E10F3">
      <w:pPr>
        <w:pStyle w:val="Heading2"/>
        <w:numPr>
          <w:ilvl w:val="1"/>
          <w:numId w:val="4"/>
        </w:numPr>
        <w:rPr>
          <w:lang w:eastAsia="zh-TW"/>
        </w:rPr>
      </w:pPr>
      <w:r>
        <w:rPr>
          <w:lang w:eastAsia="zh-TW"/>
        </w:rPr>
        <w:t xml:space="preserve">Enhance </w:t>
      </w:r>
      <w:r w:rsidR="000B28C3">
        <w:rPr>
          <w:lang w:eastAsia="zh-TW"/>
        </w:rPr>
        <w:t>PDCCH monitoring capability on the maximum number of monitored PDCCH candidates per slot</w:t>
      </w:r>
    </w:p>
    <w:p w14:paraId="5C1FA6C9" w14:textId="77777777" w:rsidR="001E10F3" w:rsidRPr="00AF1AF3" w:rsidRDefault="000B28C3" w:rsidP="00AF1AF3">
      <w:pPr>
        <w:rPr>
          <w:sz w:val="22"/>
          <w:lang w:eastAsia="zh-TW"/>
        </w:rPr>
      </w:pPr>
      <w:r>
        <w:rPr>
          <w:sz w:val="22"/>
          <w:lang w:eastAsia="zh-TW"/>
        </w:rPr>
        <w:t>In RAN1 #96 meeting</w:t>
      </w:r>
      <w:r w:rsidR="001E10F3" w:rsidRPr="00AF1AF3">
        <w:rPr>
          <w:sz w:val="22"/>
          <w:lang w:eastAsia="zh-TW"/>
        </w:rPr>
        <w:t xml:space="preserve">, </w:t>
      </w:r>
      <w:r w:rsidR="007237FF">
        <w:rPr>
          <w:sz w:val="22"/>
          <w:lang w:eastAsia="zh-TW"/>
        </w:rPr>
        <w:t xml:space="preserve">increasing </w:t>
      </w:r>
      <w:r w:rsidR="001E10F3" w:rsidRPr="00AF1AF3">
        <w:rPr>
          <w:sz w:val="22"/>
          <w:lang w:eastAsia="zh-TW"/>
        </w:rPr>
        <w:t>the maximum number of CCEs per</w:t>
      </w:r>
      <w:r w:rsidR="007237FF">
        <w:rPr>
          <w:sz w:val="22"/>
          <w:lang w:eastAsia="zh-TW"/>
        </w:rPr>
        <w:t xml:space="preserve"> slot for channel estimation was </w:t>
      </w:r>
      <w:r>
        <w:rPr>
          <w:sz w:val="22"/>
          <w:lang w:eastAsia="zh-TW"/>
        </w:rPr>
        <w:t xml:space="preserve">already </w:t>
      </w:r>
      <w:r w:rsidR="007237FF">
        <w:rPr>
          <w:sz w:val="22"/>
          <w:lang w:eastAsia="zh-TW"/>
        </w:rPr>
        <w:t>agreed to be supported for Rel-16 NR URLLC</w:t>
      </w:r>
      <w:r w:rsidR="001E10F3" w:rsidRPr="00AF1AF3">
        <w:rPr>
          <w:sz w:val="22"/>
          <w:lang w:eastAsia="zh-TW"/>
        </w:rPr>
        <w:t xml:space="preserve">. </w:t>
      </w:r>
      <w:r>
        <w:rPr>
          <w:sz w:val="22"/>
          <w:lang w:eastAsia="zh-TW"/>
        </w:rPr>
        <w:t>Hence</w:t>
      </w:r>
      <w:r w:rsidR="001E10F3" w:rsidRPr="00AF1AF3">
        <w:rPr>
          <w:sz w:val="22"/>
          <w:lang w:eastAsia="zh-TW"/>
        </w:rPr>
        <w:t xml:space="preserve">, with additional DCI formats of different sizes for URLLC application in mind, </w:t>
      </w:r>
      <w:r w:rsidR="00D11BE3">
        <w:rPr>
          <w:sz w:val="22"/>
          <w:lang w:eastAsia="zh-TW"/>
        </w:rPr>
        <w:t xml:space="preserve">the </w:t>
      </w:r>
      <w:r w:rsidR="00AF1AF3" w:rsidRPr="00F35FE7">
        <w:rPr>
          <w:sz w:val="22"/>
          <w:lang w:eastAsia="zh-TW"/>
        </w:rPr>
        <w:t>increased number of BDs</w:t>
      </w:r>
      <w:r w:rsidR="00AF1AF3" w:rsidRPr="00AF1AF3">
        <w:rPr>
          <w:sz w:val="22"/>
          <w:lang w:eastAsia="zh-TW"/>
        </w:rPr>
        <w:t xml:space="preserve"> </w:t>
      </w:r>
      <w:r w:rsidR="00AF1AF3">
        <w:rPr>
          <w:sz w:val="22"/>
          <w:lang w:eastAsia="zh-TW"/>
        </w:rPr>
        <w:t xml:space="preserve">should </w:t>
      </w:r>
      <w:r>
        <w:rPr>
          <w:sz w:val="22"/>
          <w:lang w:eastAsia="zh-TW"/>
        </w:rPr>
        <w:t xml:space="preserve">also </w:t>
      </w:r>
      <w:r w:rsidR="00AF1AF3" w:rsidRPr="00F35FE7">
        <w:rPr>
          <w:sz w:val="22"/>
          <w:lang w:eastAsia="zh-TW"/>
        </w:rPr>
        <w:t>be required</w:t>
      </w:r>
      <w:r w:rsidR="00AF1AF3" w:rsidRPr="00AF1AF3">
        <w:rPr>
          <w:sz w:val="22"/>
          <w:lang w:eastAsia="zh-TW"/>
        </w:rPr>
        <w:t xml:space="preserve"> </w:t>
      </w:r>
      <w:r w:rsidR="00AF1AF3">
        <w:rPr>
          <w:sz w:val="22"/>
          <w:lang w:eastAsia="zh-TW"/>
        </w:rPr>
        <w:t xml:space="preserve">for </w:t>
      </w:r>
      <w:r w:rsidR="001E10F3" w:rsidRPr="00AF1AF3">
        <w:rPr>
          <w:sz w:val="22"/>
          <w:lang w:eastAsia="zh-TW"/>
        </w:rPr>
        <w:t>a UE</w:t>
      </w:r>
      <w:r w:rsidR="00AF1AF3">
        <w:rPr>
          <w:sz w:val="22"/>
          <w:lang w:eastAsia="zh-TW"/>
        </w:rPr>
        <w:t xml:space="preserve"> that</w:t>
      </w:r>
      <w:r w:rsidR="001E10F3" w:rsidRPr="00AF1AF3">
        <w:rPr>
          <w:sz w:val="22"/>
          <w:lang w:eastAsia="zh-TW"/>
        </w:rPr>
        <w:t xml:space="preserve"> supports </w:t>
      </w:r>
      <w:r w:rsidR="001E10F3" w:rsidRPr="00DD2233">
        <w:rPr>
          <w:noProof/>
          <w:sz w:val="22"/>
          <w:lang w:eastAsia="zh-TW"/>
        </w:rPr>
        <w:t>eMBB</w:t>
      </w:r>
      <w:r w:rsidR="001E10F3" w:rsidRPr="00AF1AF3">
        <w:rPr>
          <w:sz w:val="22"/>
          <w:lang w:eastAsia="zh-TW"/>
        </w:rPr>
        <w:t xml:space="preserve"> and URLLC services simultaneously.  </w:t>
      </w:r>
    </w:p>
    <w:p w14:paraId="454E4596" w14:textId="77777777" w:rsidR="001E10F3" w:rsidRPr="00AF1AF3" w:rsidRDefault="00DC0574" w:rsidP="00AF1AF3">
      <w:pPr>
        <w:pStyle w:val="Proposal"/>
        <w:numPr>
          <w:ilvl w:val="0"/>
          <w:numId w:val="2"/>
        </w:numPr>
        <w:tabs>
          <w:tab w:val="clear" w:pos="1304"/>
        </w:tabs>
        <w:ind w:left="1710" w:hanging="1710"/>
        <w:rPr>
          <w:rFonts w:eastAsiaTheme="minorEastAsia"/>
          <w:sz w:val="22"/>
          <w:lang w:eastAsia="zh-TW"/>
        </w:rPr>
      </w:pPr>
      <w:bookmarkStart w:id="1" w:name="_Toc1054045"/>
      <w:bookmarkStart w:id="2" w:name="_Toc4685924"/>
      <w:bookmarkStart w:id="3" w:name="_Hlk861241"/>
      <w:r>
        <w:rPr>
          <w:rFonts w:eastAsiaTheme="minorEastAsia"/>
          <w:sz w:val="22"/>
          <w:lang w:eastAsia="zh-TW"/>
        </w:rPr>
        <w:t xml:space="preserve">Increase the maximum number of BDs per slot for a UE requiring </w:t>
      </w:r>
      <w:r w:rsidR="001E10F3" w:rsidRPr="00AF1AF3">
        <w:rPr>
          <w:rFonts w:eastAsiaTheme="minorEastAsia"/>
          <w:sz w:val="22"/>
          <w:lang w:eastAsia="zh-TW"/>
        </w:rPr>
        <w:t xml:space="preserve">both </w:t>
      </w:r>
      <w:r w:rsidR="001E10F3" w:rsidRPr="00DD2233">
        <w:rPr>
          <w:rFonts w:eastAsiaTheme="minorEastAsia"/>
          <w:noProof/>
          <w:sz w:val="22"/>
          <w:lang w:eastAsia="zh-TW"/>
        </w:rPr>
        <w:t>eMBB</w:t>
      </w:r>
      <w:r w:rsidR="001E10F3" w:rsidRPr="00AF1AF3">
        <w:rPr>
          <w:rFonts w:eastAsiaTheme="minorEastAsia"/>
          <w:sz w:val="22"/>
          <w:lang w:eastAsia="zh-TW"/>
        </w:rPr>
        <w:t xml:space="preserve"> and </w:t>
      </w:r>
      <w:r w:rsidR="001E10F3" w:rsidRPr="00DD2233">
        <w:rPr>
          <w:rFonts w:eastAsiaTheme="minorEastAsia"/>
          <w:noProof/>
          <w:sz w:val="22"/>
          <w:lang w:eastAsia="zh-TW"/>
        </w:rPr>
        <w:t>URLLC</w:t>
      </w:r>
      <w:r w:rsidR="001E10F3" w:rsidRPr="00AF1AF3">
        <w:rPr>
          <w:rFonts w:eastAsiaTheme="minorEastAsia"/>
          <w:sz w:val="22"/>
          <w:lang w:eastAsia="zh-TW"/>
        </w:rPr>
        <w:t xml:space="preserve"> services.</w:t>
      </w:r>
      <w:bookmarkEnd w:id="1"/>
      <w:r w:rsidR="001E10F3" w:rsidRPr="00AF1AF3">
        <w:rPr>
          <w:rFonts w:eastAsiaTheme="minorEastAsia"/>
          <w:sz w:val="22"/>
          <w:lang w:eastAsia="zh-TW"/>
        </w:rPr>
        <w:t xml:space="preserve"> </w:t>
      </w:r>
      <w:bookmarkEnd w:id="2"/>
      <w:r w:rsidR="001E10F3" w:rsidRPr="00AF1AF3">
        <w:rPr>
          <w:rFonts w:eastAsiaTheme="minorEastAsia"/>
          <w:sz w:val="22"/>
          <w:lang w:eastAsia="zh-TW"/>
        </w:rPr>
        <w:t xml:space="preserve"> </w:t>
      </w:r>
    </w:p>
    <w:bookmarkEnd w:id="3"/>
    <w:p w14:paraId="66D059CA" w14:textId="77777777" w:rsidR="001E10F3" w:rsidRPr="00AF1AF3" w:rsidRDefault="001E10F3" w:rsidP="001E10F3">
      <w:pPr>
        <w:pStyle w:val="B1"/>
        <w:ind w:left="0" w:firstLine="0"/>
        <w:jc w:val="both"/>
        <w:rPr>
          <w:szCs w:val="20"/>
        </w:rPr>
      </w:pPr>
      <w:r w:rsidRPr="00AF1AF3">
        <w:rPr>
          <w:szCs w:val="20"/>
        </w:rPr>
        <w:t xml:space="preserve">Since multiple PDCCH monitoring occasions within a slot can be configured for Case 2, </w:t>
      </w:r>
      <w:r w:rsidRPr="00AF1AF3">
        <w:rPr>
          <w:szCs w:val="20"/>
          <w:lang w:val="en-US"/>
        </w:rPr>
        <w:t>imposing</w:t>
      </w:r>
      <w:r w:rsidRPr="00AF1AF3">
        <w:rPr>
          <w:szCs w:val="20"/>
        </w:rPr>
        <w:t xml:space="preserve"> the limit </w:t>
      </w:r>
      <w:r w:rsidRPr="00AF1AF3">
        <w:rPr>
          <w:szCs w:val="20"/>
          <w:lang w:val="en-US"/>
        </w:rPr>
        <w:t>on the number of</w:t>
      </w:r>
      <w:r w:rsidRPr="00AF1AF3">
        <w:rPr>
          <w:szCs w:val="20"/>
        </w:rPr>
        <w:t xml:space="preserve"> BDs/CCEs in the unit of </w:t>
      </w:r>
      <w:r w:rsidR="00DD2233">
        <w:rPr>
          <w:szCs w:val="20"/>
        </w:rPr>
        <w:t xml:space="preserve">the </w:t>
      </w:r>
      <w:r w:rsidRPr="00DD2233">
        <w:rPr>
          <w:noProof/>
          <w:szCs w:val="20"/>
        </w:rPr>
        <w:t>slot</w:t>
      </w:r>
      <w:r w:rsidRPr="00AF1AF3">
        <w:rPr>
          <w:szCs w:val="20"/>
        </w:rPr>
        <w:t xml:space="preserve"> may not appropriately reflect the exact distribution of PDCCH monitoring. For example, while considering scheduling of both </w:t>
      </w:r>
      <w:r w:rsidRPr="00DD2233">
        <w:rPr>
          <w:noProof/>
          <w:szCs w:val="20"/>
        </w:rPr>
        <w:t>eMBB</w:t>
      </w:r>
      <w:r w:rsidRPr="00AF1AF3">
        <w:rPr>
          <w:szCs w:val="20"/>
        </w:rPr>
        <w:t xml:space="preserve"> and URLLC for a UE, this may lead to </w:t>
      </w:r>
      <w:r w:rsidRPr="00DD2233">
        <w:rPr>
          <w:noProof/>
          <w:szCs w:val="20"/>
        </w:rPr>
        <w:t>asymmetric</w:t>
      </w:r>
      <w:r w:rsidRPr="00AF1AF3">
        <w:rPr>
          <w:szCs w:val="20"/>
        </w:rPr>
        <w:t xml:space="preserve"> distribution of PDCCH monitoring</w:t>
      </w:r>
      <w:r w:rsidRPr="00AF1AF3">
        <w:rPr>
          <w:szCs w:val="20"/>
          <w:lang w:val="en-US"/>
        </w:rPr>
        <w:t xml:space="preserve"> occasions</w:t>
      </w:r>
      <w:r w:rsidRPr="00AF1AF3">
        <w:rPr>
          <w:szCs w:val="20"/>
        </w:rPr>
        <w:t xml:space="preserve"> within a slot. </w:t>
      </w:r>
      <w:r w:rsidR="007A2201">
        <w:rPr>
          <w:szCs w:val="20"/>
        </w:rPr>
        <w:t xml:space="preserve">In </w:t>
      </w:r>
      <w:r w:rsidR="00284355">
        <w:rPr>
          <w:szCs w:val="20"/>
          <w:lang w:val="en-US"/>
        </w:rPr>
        <w:t>F</w:t>
      </w:r>
      <w:proofErr w:type="spellStart"/>
      <w:r w:rsidR="007A2201">
        <w:rPr>
          <w:szCs w:val="20"/>
        </w:rPr>
        <w:t>igure</w:t>
      </w:r>
      <w:proofErr w:type="spellEnd"/>
      <w:r w:rsidR="007A2201">
        <w:rPr>
          <w:szCs w:val="20"/>
        </w:rPr>
        <w:t xml:space="preserve"> 1, PDCCH monitoring candidates mostly distribute on the first three symbols, then the limits of </w:t>
      </w:r>
      <w:r w:rsidR="00D11BE3">
        <w:rPr>
          <w:szCs w:val="20"/>
        </w:rPr>
        <w:t>the</w:t>
      </w:r>
      <w:r w:rsidR="00DD2233">
        <w:rPr>
          <w:szCs w:val="20"/>
        </w:rPr>
        <w:t xml:space="preserve"> </w:t>
      </w:r>
      <w:r w:rsidR="007A2201" w:rsidRPr="00DD2233">
        <w:rPr>
          <w:noProof/>
          <w:szCs w:val="20"/>
        </w:rPr>
        <w:t>maximum</w:t>
      </w:r>
      <w:r w:rsidR="007A2201">
        <w:rPr>
          <w:szCs w:val="20"/>
        </w:rPr>
        <w:t xml:space="preserve"> number of BDs/CCEs in first three symbols should be different than the limits of BDs/CCEs in other PDCCH </w:t>
      </w:r>
      <w:r w:rsidR="007A2201">
        <w:rPr>
          <w:szCs w:val="20"/>
        </w:rPr>
        <w:lastRenderedPageBreak/>
        <w:t>monitoring occasions or sub-slot.</w:t>
      </w:r>
      <w:r w:rsidR="007A2201">
        <w:rPr>
          <w:rFonts w:hint="eastAsia"/>
          <w:szCs w:val="20"/>
          <w:lang w:eastAsia="zh-TW"/>
        </w:rPr>
        <w:t xml:space="preserve"> </w:t>
      </w:r>
      <w:r w:rsidRPr="00AF1AF3">
        <w:rPr>
          <w:szCs w:val="20"/>
        </w:rPr>
        <w:t xml:space="preserve">Thus, </w:t>
      </w:r>
      <w:r w:rsidR="00311BC7">
        <w:rPr>
          <w:szCs w:val="20"/>
        </w:rPr>
        <w:t>defining</w:t>
      </w:r>
      <w:r w:rsidRPr="00AF1AF3">
        <w:rPr>
          <w:szCs w:val="20"/>
        </w:rPr>
        <w:t xml:space="preserve"> </w:t>
      </w:r>
      <w:r w:rsidR="00D11BE3">
        <w:rPr>
          <w:szCs w:val="20"/>
        </w:rPr>
        <w:t>the</w:t>
      </w:r>
      <w:r w:rsidR="00DD2233">
        <w:rPr>
          <w:szCs w:val="20"/>
        </w:rPr>
        <w:t xml:space="preserve"> </w:t>
      </w:r>
      <w:r w:rsidRPr="00DD2233">
        <w:rPr>
          <w:noProof/>
          <w:szCs w:val="20"/>
        </w:rPr>
        <w:t>maximum</w:t>
      </w:r>
      <w:r w:rsidRPr="00AF1AF3">
        <w:rPr>
          <w:szCs w:val="20"/>
        </w:rPr>
        <w:t xml:space="preserve"> number of BDs/CCEs </w:t>
      </w:r>
      <w:r w:rsidR="00612D85">
        <w:rPr>
          <w:szCs w:val="20"/>
        </w:rPr>
        <w:t>based</w:t>
      </w:r>
      <w:r w:rsidRPr="00AF1AF3">
        <w:rPr>
          <w:szCs w:val="20"/>
        </w:rPr>
        <w:t xml:space="preserve"> on per</w:t>
      </w:r>
      <w:r w:rsidR="002B50D5">
        <w:rPr>
          <w:szCs w:val="20"/>
        </w:rPr>
        <w:t>-</w:t>
      </w:r>
      <w:r w:rsidRPr="00AF1AF3">
        <w:rPr>
          <w:szCs w:val="20"/>
        </w:rPr>
        <w:t>sub-slot or per</w:t>
      </w:r>
      <w:r w:rsidR="002B50D5">
        <w:rPr>
          <w:szCs w:val="20"/>
        </w:rPr>
        <w:t>-</w:t>
      </w:r>
      <w:r w:rsidRPr="00AF1AF3">
        <w:rPr>
          <w:szCs w:val="20"/>
        </w:rPr>
        <w:t>monitoring occasion</w:t>
      </w:r>
      <w:r w:rsidRPr="00AF1AF3">
        <w:rPr>
          <w:szCs w:val="20"/>
          <w:lang w:val="en-US"/>
        </w:rPr>
        <w:t xml:space="preserve"> basis</w:t>
      </w:r>
      <w:r w:rsidR="00612D85">
        <w:rPr>
          <w:szCs w:val="20"/>
          <w:lang w:val="en-US"/>
        </w:rPr>
        <w:t xml:space="preserve"> </w:t>
      </w:r>
      <w:r w:rsidR="00284355">
        <w:rPr>
          <w:szCs w:val="20"/>
          <w:lang w:val="en-US"/>
        </w:rPr>
        <w:t>fits the</w:t>
      </w:r>
      <w:r w:rsidR="00612D85">
        <w:rPr>
          <w:szCs w:val="20"/>
          <w:lang w:val="en-US"/>
        </w:rPr>
        <w:t xml:space="preserve"> </w:t>
      </w:r>
      <w:r w:rsidR="007A2201">
        <w:rPr>
          <w:szCs w:val="20"/>
          <w:lang w:val="en-US"/>
        </w:rPr>
        <w:t>scheduling</w:t>
      </w:r>
      <w:r w:rsidR="00284355">
        <w:rPr>
          <w:szCs w:val="20"/>
          <w:lang w:val="en-US"/>
        </w:rPr>
        <w:t xml:space="preserve"> need</w:t>
      </w:r>
      <w:r w:rsidR="00C7394E">
        <w:rPr>
          <w:szCs w:val="20"/>
          <w:lang w:val="en-US"/>
        </w:rPr>
        <w:t xml:space="preserve"> for Rel-16 UE</w:t>
      </w:r>
      <w:r w:rsidR="00284355">
        <w:rPr>
          <w:szCs w:val="20"/>
          <w:lang w:val="en-US"/>
        </w:rPr>
        <w:t xml:space="preserve"> better</w:t>
      </w:r>
      <w:r w:rsidRPr="00AF1AF3">
        <w:rPr>
          <w:szCs w:val="20"/>
        </w:rPr>
        <w:t>.</w:t>
      </w:r>
    </w:p>
    <w:p w14:paraId="62119377" w14:textId="77777777" w:rsidR="001E10F3" w:rsidRPr="00AF1AF3" w:rsidRDefault="001E10F3" w:rsidP="001E10F3">
      <w:pPr>
        <w:pStyle w:val="B1"/>
        <w:ind w:left="0" w:firstLine="0"/>
        <w:jc w:val="center"/>
        <w:rPr>
          <w:szCs w:val="20"/>
        </w:rPr>
      </w:pPr>
      <w:r w:rsidRPr="00AF1AF3">
        <w:rPr>
          <w:noProof/>
          <w:szCs w:val="20"/>
        </w:rPr>
        <w:drawing>
          <wp:inline distT="0" distB="0" distL="0" distR="0" wp14:anchorId="54CC8A96" wp14:editId="45ED6FBD">
            <wp:extent cx="3841750" cy="559195"/>
            <wp:effectExtent l="0" t="0" r="6350" b="0"/>
            <wp:docPr id="1" name="圖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figure1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10404" cy="5691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7532A73" w14:textId="77777777" w:rsidR="001E10F3" w:rsidRPr="00AF1AF3" w:rsidRDefault="001E10F3" w:rsidP="001E10F3">
      <w:pPr>
        <w:pStyle w:val="B1"/>
        <w:jc w:val="center"/>
        <w:rPr>
          <w:szCs w:val="20"/>
          <w:lang w:eastAsia="zh-TW"/>
        </w:rPr>
      </w:pPr>
      <w:r w:rsidRPr="00AF1AF3">
        <w:rPr>
          <w:szCs w:val="20"/>
          <w:lang w:eastAsia="zh-TW"/>
        </w:rPr>
        <w:t>Figure 1. Asymmetric distribution of PDCCH monitoring within a slot</w:t>
      </w:r>
    </w:p>
    <w:p w14:paraId="2C905F09" w14:textId="77777777" w:rsidR="001E10F3" w:rsidRPr="00AF1AF3" w:rsidRDefault="00DC0574" w:rsidP="00AF1AF3">
      <w:pPr>
        <w:pStyle w:val="Proposal"/>
        <w:numPr>
          <w:ilvl w:val="0"/>
          <w:numId w:val="2"/>
        </w:numPr>
        <w:tabs>
          <w:tab w:val="clear" w:pos="1304"/>
        </w:tabs>
        <w:ind w:left="1710" w:hanging="1710"/>
        <w:rPr>
          <w:rFonts w:eastAsiaTheme="minorEastAsia"/>
          <w:sz w:val="22"/>
          <w:lang w:eastAsia="zh-TW"/>
        </w:rPr>
      </w:pPr>
      <w:bookmarkStart w:id="4" w:name="_Toc1054046"/>
      <w:bookmarkStart w:id="5" w:name="_Toc4685925"/>
      <w:bookmarkStart w:id="6" w:name="_Hlk861261"/>
      <w:r>
        <w:rPr>
          <w:rFonts w:eastAsiaTheme="minorEastAsia"/>
          <w:sz w:val="22"/>
          <w:lang w:eastAsia="zh-TW"/>
        </w:rPr>
        <w:t xml:space="preserve">Support defining the </w:t>
      </w:r>
      <w:r w:rsidR="001E10F3" w:rsidRPr="00AF1AF3">
        <w:rPr>
          <w:rFonts w:eastAsiaTheme="minorEastAsia"/>
          <w:sz w:val="22"/>
          <w:lang w:eastAsia="zh-TW"/>
        </w:rPr>
        <w:t>maximum number of BDs/CCEs in the unit of sub-slot or monitoring occasion for Rel-16 UE.</w:t>
      </w:r>
      <w:bookmarkEnd w:id="4"/>
      <w:bookmarkEnd w:id="5"/>
      <w:r w:rsidR="001E10F3" w:rsidRPr="00AF1AF3">
        <w:rPr>
          <w:rFonts w:eastAsiaTheme="minorEastAsia"/>
          <w:sz w:val="22"/>
          <w:lang w:eastAsia="zh-TW"/>
        </w:rPr>
        <w:t xml:space="preserve"> </w:t>
      </w:r>
    </w:p>
    <w:bookmarkEnd w:id="6"/>
    <w:p w14:paraId="399AAD45" w14:textId="77777777" w:rsidR="001E10F3" w:rsidRDefault="001E10F3" w:rsidP="001E10F3">
      <w:pPr>
        <w:pStyle w:val="Heading2"/>
        <w:numPr>
          <w:ilvl w:val="1"/>
          <w:numId w:val="4"/>
        </w:numPr>
        <w:rPr>
          <w:lang w:eastAsia="zh-TW"/>
        </w:rPr>
      </w:pPr>
      <w:r>
        <w:rPr>
          <w:lang w:eastAsia="zh-TW"/>
        </w:rPr>
        <w:t xml:space="preserve">UE capability for the enhanced PDCCH monitoring capability </w:t>
      </w:r>
    </w:p>
    <w:p w14:paraId="7DF5F11A" w14:textId="77777777" w:rsidR="001E10F3" w:rsidRPr="00AF1AF3" w:rsidRDefault="001E10F3" w:rsidP="00AF1AF3">
      <w:pPr>
        <w:pStyle w:val="B1"/>
        <w:ind w:left="0" w:firstLine="0"/>
        <w:jc w:val="both"/>
      </w:pPr>
      <w:r w:rsidRPr="00AF1AF3">
        <w:t xml:space="preserve">Due to </w:t>
      </w:r>
      <w:r w:rsidR="00DD2233">
        <w:t xml:space="preserve">the </w:t>
      </w:r>
      <w:r w:rsidRPr="00DD2233">
        <w:rPr>
          <w:noProof/>
        </w:rPr>
        <w:t>different</w:t>
      </w:r>
      <w:r w:rsidRPr="00AF1AF3">
        <w:t xml:space="preserve"> limit of the number of BDs/CCEs for supporting different services</w:t>
      </w:r>
      <w:r w:rsidRPr="00AF1AF3">
        <w:rPr>
          <w:lang w:eastAsia="zh-TW"/>
        </w:rPr>
        <w:t xml:space="preserve"> </w:t>
      </w:r>
      <w:r w:rsidRPr="00AF1AF3">
        <w:t xml:space="preserve">in each slot, more than one PDCCH configuration can be adaptively configured corresponding to different UE traffic. More specifically, we </w:t>
      </w:r>
      <w:r w:rsidR="00E62208">
        <w:rPr>
          <w:lang w:val="en-US"/>
        </w:rPr>
        <w:t>think</w:t>
      </w:r>
      <w:r w:rsidR="00E62208" w:rsidRPr="00AF1AF3">
        <w:t xml:space="preserve"> </w:t>
      </w:r>
      <w:r w:rsidRPr="00AF1AF3">
        <w:t>each configuration can be configured with different monitoring occasion</w:t>
      </w:r>
      <w:r w:rsidR="00E62208">
        <w:rPr>
          <w:lang w:val="en-US"/>
        </w:rPr>
        <w:t>s</w:t>
      </w:r>
      <w:r w:rsidRPr="00AF1AF3">
        <w:t xml:space="preserve">, </w:t>
      </w:r>
      <w:r w:rsidR="00DD2233">
        <w:t xml:space="preserve">the </w:t>
      </w:r>
      <w:r w:rsidRPr="00DD2233">
        <w:rPr>
          <w:noProof/>
          <w:lang w:val="en-US"/>
        </w:rPr>
        <w:t>different</w:t>
      </w:r>
      <w:r w:rsidRPr="00AF1AF3">
        <w:t xml:space="preserve"> maximum number of BDs/CCEs, and </w:t>
      </w:r>
      <w:r w:rsidRPr="00AF1AF3">
        <w:rPr>
          <w:lang w:val="en-US"/>
        </w:rPr>
        <w:t xml:space="preserve">different </w:t>
      </w:r>
      <w:r w:rsidRPr="00AF1AF3">
        <w:t>monitored DCI formats</w:t>
      </w:r>
      <w:r w:rsidRPr="00AF1AF3">
        <w:rPr>
          <w:lang w:eastAsia="zh-TW"/>
        </w:rPr>
        <w:t xml:space="preserve">. Also, it </w:t>
      </w:r>
      <w:r w:rsidR="00E62208">
        <w:rPr>
          <w:lang w:val="en-US" w:eastAsia="zh-TW"/>
        </w:rPr>
        <w:t>should</w:t>
      </w:r>
      <w:r w:rsidR="00E62208" w:rsidRPr="00AF1AF3">
        <w:rPr>
          <w:lang w:eastAsia="zh-TW"/>
        </w:rPr>
        <w:t xml:space="preserve"> </w:t>
      </w:r>
      <w:r w:rsidRPr="00AF1AF3">
        <w:rPr>
          <w:lang w:eastAsia="zh-TW"/>
        </w:rPr>
        <w:t>be further studied</w:t>
      </w:r>
      <w:r w:rsidRPr="00AF1AF3">
        <w:rPr>
          <w:lang w:val="en-US" w:eastAsia="zh-TW"/>
        </w:rPr>
        <w:t xml:space="preserve"> to use</w:t>
      </w:r>
      <w:r w:rsidRPr="00AF1AF3">
        <w:rPr>
          <w:lang w:eastAsia="zh-TW"/>
        </w:rPr>
        <w:t xml:space="preserve"> either explicit or implicit </w:t>
      </w:r>
      <w:r w:rsidRPr="00DD2233">
        <w:rPr>
          <w:noProof/>
          <w:lang w:eastAsia="zh-TW"/>
        </w:rPr>
        <w:t>signa</w:t>
      </w:r>
      <w:r w:rsidR="00DD2233">
        <w:rPr>
          <w:noProof/>
          <w:lang w:eastAsia="zh-TW"/>
        </w:rPr>
        <w:t>l</w:t>
      </w:r>
      <w:r w:rsidRPr="00DD2233">
        <w:rPr>
          <w:noProof/>
          <w:lang w:eastAsia="zh-TW"/>
        </w:rPr>
        <w:t>ling</w:t>
      </w:r>
      <w:r w:rsidRPr="00AF1AF3">
        <w:rPr>
          <w:lang w:eastAsia="zh-TW"/>
        </w:rPr>
        <w:t xml:space="preserve"> to support the activation/deactivation among multiple PDCCH configurations</w:t>
      </w:r>
      <w:r w:rsidRPr="00AF1AF3">
        <w:t xml:space="preserve">. With multiple PDCCH configurations and activation/de-activation mechanism, it not only can configure PDCCH monitoring in a more flexible way but can also </w:t>
      </w:r>
      <w:bookmarkStart w:id="7" w:name="_Hlk1037241"/>
      <w:r w:rsidRPr="00AF1AF3">
        <w:t xml:space="preserve">provide more flexibility to </w:t>
      </w:r>
      <w:r w:rsidR="008A1279">
        <w:t xml:space="preserve">strike a </w:t>
      </w:r>
      <w:r w:rsidR="00E62208">
        <w:rPr>
          <w:lang w:val="en-US"/>
        </w:rPr>
        <w:t>balance</w:t>
      </w:r>
      <w:r w:rsidR="00E62208" w:rsidRPr="00AF1AF3">
        <w:t xml:space="preserve"> </w:t>
      </w:r>
      <w:r w:rsidRPr="00AF1AF3">
        <w:t xml:space="preserve">between power consumption and UE complexity due to </w:t>
      </w:r>
      <w:r w:rsidR="00DD2233">
        <w:t xml:space="preserve">the </w:t>
      </w:r>
      <w:r w:rsidRPr="00DD2233">
        <w:rPr>
          <w:noProof/>
        </w:rPr>
        <w:t>increased</w:t>
      </w:r>
      <w:r w:rsidRPr="00AF1AF3">
        <w:t xml:space="preserve"> number of BDs/CCEs.</w:t>
      </w:r>
      <w:bookmarkEnd w:id="7"/>
    </w:p>
    <w:p w14:paraId="5F2F65C2" w14:textId="77777777" w:rsidR="001E10F3" w:rsidRPr="0002033F" w:rsidRDefault="001E10F3" w:rsidP="00AF1AF3">
      <w:pPr>
        <w:pStyle w:val="Proposal"/>
        <w:rPr>
          <w:rFonts w:eastAsiaTheme="minorEastAsia"/>
          <w:sz w:val="22"/>
          <w:szCs w:val="22"/>
          <w:lang w:eastAsia="zh-TW"/>
        </w:rPr>
      </w:pPr>
      <w:bookmarkStart w:id="8" w:name="_Toc1054047"/>
      <w:bookmarkStart w:id="9" w:name="_Toc4685926"/>
      <w:r w:rsidRPr="0002033F">
        <w:rPr>
          <w:rFonts w:eastAsiaTheme="minorEastAsia"/>
          <w:sz w:val="22"/>
          <w:szCs w:val="22"/>
          <w:lang w:eastAsia="zh-TW"/>
        </w:rPr>
        <w:t>A UE can be configured with more than one PDCCH monitoring configurations</w:t>
      </w:r>
      <w:r w:rsidR="003058C6">
        <w:rPr>
          <w:rFonts w:eastAsiaTheme="minorEastAsia"/>
          <w:sz w:val="22"/>
          <w:szCs w:val="22"/>
          <w:lang w:eastAsia="zh-TW"/>
        </w:rPr>
        <w:t xml:space="preserve"> for adapting to different services</w:t>
      </w:r>
      <w:r w:rsidRPr="0002033F">
        <w:rPr>
          <w:rFonts w:eastAsiaTheme="minorEastAsia"/>
          <w:sz w:val="22"/>
          <w:szCs w:val="22"/>
          <w:lang w:eastAsia="zh-TW"/>
        </w:rPr>
        <w:t>.</w:t>
      </w:r>
      <w:bookmarkEnd w:id="8"/>
      <w:bookmarkEnd w:id="9"/>
    </w:p>
    <w:p w14:paraId="385FB24C" w14:textId="77777777" w:rsidR="00730F59" w:rsidRPr="0002033F" w:rsidRDefault="00730F59" w:rsidP="00AF1AF3">
      <w:pPr>
        <w:pStyle w:val="Proposal"/>
        <w:rPr>
          <w:rFonts w:eastAsiaTheme="minorEastAsia"/>
          <w:sz w:val="22"/>
          <w:szCs w:val="22"/>
          <w:lang w:eastAsia="zh-TW"/>
        </w:rPr>
      </w:pPr>
      <w:bookmarkStart w:id="10" w:name="_Toc4685927"/>
      <w:r w:rsidRPr="0002033F">
        <w:rPr>
          <w:rFonts w:eastAsiaTheme="minorEastAsia"/>
          <w:sz w:val="22"/>
          <w:szCs w:val="22"/>
          <w:lang w:eastAsia="zh-TW"/>
        </w:rPr>
        <w:t>Either explicit or implicit signalling for</w:t>
      </w:r>
      <w:r w:rsidR="00E62208">
        <w:rPr>
          <w:rFonts w:eastAsiaTheme="minorEastAsia"/>
          <w:sz w:val="22"/>
          <w:szCs w:val="22"/>
          <w:lang w:eastAsia="zh-TW"/>
        </w:rPr>
        <w:t xml:space="preserve"> more</w:t>
      </w:r>
      <w:r w:rsidRPr="0002033F">
        <w:rPr>
          <w:rFonts w:eastAsiaTheme="minorEastAsia"/>
          <w:sz w:val="22"/>
          <w:szCs w:val="22"/>
          <w:lang w:eastAsia="zh-TW"/>
        </w:rPr>
        <w:t xml:space="preserve"> dynamic switching among different PDCCH monitoring configurations can be considered.</w:t>
      </w:r>
      <w:bookmarkEnd w:id="10"/>
    </w:p>
    <w:p w14:paraId="4A47D9E3" w14:textId="77777777" w:rsidR="001E10F3" w:rsidRDefault="001E10F3" w:rsidP="001E10F3">
      <w:pPr>
        <w:pStyle w:val="Heading1"/>
        <w:numPr>
          <w:ilvl w:val="0"/>
          <w:numId w:val="4"/>
        </w:numPr>
        <w:rPr>
          <w:rFonts w:eastAsiaTheme="minorEastAsia"/>
          <w:lang w:eastAsia="zh-TW"/>
        </w:rPr>
      </w:pPr>
      <w:r>
        <w:rPr>
          <w:rFonts w:eastAsiaTheme="minorEastAsia" w:hint="eastAsia"/>
          <w:lang w:eastAsia="zh-TW"/>
        </w:rPr>
        <w:t>C</w:t>
      </w:r>
      <w:r>
        <w:rPr>
          <w:rFonts w:eastAsiaTheme="minorEastAsia"/>
          <w:lang w:eastAsia="zh-TW"/>
        </w:rPr>
        <w:t>onclusions</w:t>
      </w:r>
    </w:p>
    <w:p w14:paraId="417EAFDB" w14:textId="77777777" w:rsidR="001E10F3" w:rsidRDefault="001E10F3" w:rsidP="001E10F3">
      <w:pPr>
        <w:rPr>
          <w:sz w:val="22"/>
          <w:szCs w:val="22"/>
          <w:lang w:eastAsia="zh-TW"/>
        </w:rPr>
      </w:pPr>
      <w:r w:rsidRPr="00AF1AF3">
        <w:rPr>
          <w:sz w:val="22"/>
          <w:szCs w:val="22"/>
          <w:lang w:eastAsia="zh-TW"/>
        </w:rPr>
        <w:t>In this contribution, we discussed the necessity of enhancing the limit of the number of BDs</w:t>
      </w:r>
      <w:r w:rsidR="0002033F">
        <w:rPr>
          <w:sz w:val="22"/>
          <w:szCs w:val="22"/>
          <w:lang w:eastAsia="zh-TW"/>
        </w:rPr>
        <w:t xml:space="preserve">, defining </w:t>
      </w:r>
      <w:r w:rsidR="00DD2233">
        <w:rPr>
          <w:sz w:val="22"/>
          <w:szCs w:val="22"/>
          <w:lang w:eastAsia="zh-TW"/>
        </w:rPr>
        <w:t xml:space="preserve">a </w:t>
      </w:r>
      <w:r w:rsidR="0002033F" w:rsidRPr="00DD2233">
        <w:rPr>
          <w:noProof/>
          <w:sz w:val="22"/>
          <w:szCs w:val="22"/>
          <w:lang w:eastAsia="zh-TW"/>
        </w:rPr>
        <w:t>maximum</w:t>
      </w:r>
      <w:r w:rsidR="0002033F">
        <w:rPr>
          <w:sz w:val="22"/>
          <w:szCs w:val="22"/>
          <w:lang w:eastAsia="zh-TW"/>
        </w:rPr>
        <w:t xml:space="preserve"> number of BDs/CCEs on different time granularity</w:t>
      </w:r>
      <w:r w:rsidRPr="00AF1AF3">
        <w:rPr>
          <w:sz w:val="22"/>
          <w:szCs w:val="22"/>
          <w:lang w:eastAsia="zh-TW"/>
        </w:rPr>
        <w:t xml:space="preserve"> </w:t>
      </w:r>
      <w:r w:rsidR="0002033F">
        <w:rPr>
          <w:sz w:val="22"/>
          <w:szCs w:val="22"/>
          <w:lang w:eastAsia="zh-TW"/>
        </w:rPr>
        <w:t xml:space="preserve">basis </w:t>
      </w:r>
      <w:r w:rsidRPr="00AF1AF3">
        <w:rPr>
          <w:sz w:val="22"/>
          <w:szCs w:val="22"/>
          <w:lang w:eastAsia="zh-TW"/>
        </w:rPr>
        <w:t xml:space="preserve">and configuring more than one PDCCH monitoring configurations </w:t>
      </w:r>
      <w:r w:rsidR="0002033F">
        <w:rPr>
          <w:sz w:val="22"/>
          <w:szCs w:val="22"/>
          <w:lang w:eastAsia="zh-TW"/>
        </w:rPr>
        <w:t xml:space="preserve">with explicit or implicit signalling </w:t>
      </w:r>
      <w:r w:rsidRPr="00AF1AF3">
        <w:rPr>
          <w:sz w:val="22"/>
          <w:szCs w:val="22"/>
          <w:lang w:eastAsia="zh-TW"/>
        </w:rPr>
        <w:t>for URLLC</w:t>
      </w:r>
      <w:r w:rsidR="0002033F">
        <w:rPr>
          <w:sz w:val="22"/>
          <w:szCs w:val="22"/>
          <w:lang w:eastAsia="zh-TW"/>
        </w:rPr>
        <w:t xml:space="preserve"> in Rel-16</w:t>
      </w:r>
      <w:r w:rsidRPr="00AF1AF3">
        <w:rPr>
          <w:sz w:val="22"/>
          <w:szCs w:val="22"/>
          <w:lang w:eastAsia="zh-TW"/>
        </w:rPr>
        <w:t>. Based on the discussion in section 2, we have some proposals as follows:</w:t>
      </w:r>
    </w:p>
    <w:p w14:paraId="342D4EF5" w14:textId="77777777" w:rsidR="008A1279" w:rsidRPr="00AF1AF3" w:rsidRDefault="0002033F" w:rsidP="003627EC">
      <w:pPr>
        <w:pStyle w:val="Proposal"/>
        <w:numPr>
          <w:ilvl w:val="0"/>
          <w:numId w:val="0"/>
        </w:numPr>
        <w:ind w:left="1304" w:hanging="1304"/>
        <w:rPr>
          <w:rFonts w:eastAsiaTheme="minorEastAsia"/>
          <w:sz w:val="22"/>
          <w:lang w:eastAsia="zh-TW"/>
        </w:rPr>
      </w:pPr>
      <w:bookmarkStart w:id="11" w:name="_Toc4685928"/>
      <w:r>
        <w:rPr>
          <w:rFonts w:eastAsiaTheme="minorEastAsia"/>
          <w:sz w:val="22"/>
          <w:lang w:eastAsia="zh-TW"/>
        </w:rPr>
        <w:t>Proposal 1</w:t>
      </w:r>
      <w:r>
        <w:rPr>
          <w:rFonts w:eastAsiaTheme="minorEastAsia"/>
          <w:sz w:val="22"/>
          <w:lang w:eastAsia="zh-TW"/>
        </w:rPr>
        <w:tab/>
      </w:r>
      <w:r w:rsidR="008A1279">
        <w:rPr>
          <w:rFonts w:eastAsiaTheme="minorEastAsia"/>
          <w:sz w:val="22"/>
          <w:lang w:eastAsia="zh-TW"/>
        </w:rPr>
        <w:t xml:space="preserve">Increase the maximum number of BDs per slot for a UE requiring </w:t>
      </w:r>
      <w:r w:rsidR="008A1279" w:rsidRPr="00AF1AF3">
        <w:rPr>
          <w:rFonts w:eastAsiaTheme="minorEastAsia"/>
          <w:sz w:val="22"/>
          <w:lang w:eastAsia="zh-TW"/>
        </w:rPr>
        <w:t xml:space="preserve">both </w:t>
      </w:r>
      <w:r w:rsidR="008A1279" w:rsidRPr="0005292D">
        <w:rPr>
          <w:rFonts w:eastAsiaTheme="minorEastAsia"/>
          <w:noProof/>
          <w:sz w:val="22"/>
          <w:lang w:eastAsia="zh-TW"/>
        </w:rPr>
        <w:t>eMBB</w:t>
      </w:r>
      <w:r w:rsidR="008A1279" w:rsidRPr="00AF1AF3">
        <w:rPr>
          <w:rFonts w:eastAsiaTheme="minorEastAsia"/>
          <w:sz w:val="22"/>
          <w:lang w:eastAsia="zh-TW"/>
        </w:rPr>
        <w:t xml:space="preserve"> and </w:t>
      </w:r>
      <w:r w:rsidR="008A1279" w:rsidRPr="0005292D">
        <w:rPr>
          <w:rFonts w:eastAsiaTheme="minorEastAsia"/>
          <w:noProof/>
          <w:sz w:val="22"/>
          <w:lang w:eastAsia="zh-TW"/>
        </w:rPr>
        <w:t>URLLC</w:t>
      </w:r>
      <w:r w:rsidR="008A1279" w:rsidRPr="00AF1AF3">
        <w:rPr>
          <w:rFonts w:eastAsiaTheme="minorEastAsia"/>
          <w:sz w:val="22"/>
          <w:lang w:eastAsia="zh-TW"/>
        </w:rPr>
        <w:t xml:space="preserve"> services.  </w:t>
      </w:r>
    </w:p>
    <w:p w14:paraId="493AE425" w14:textId="77777777" w:rsidR="008A1279" w:rsidRPr="00AF1AF3" w:rsidRDefault="0002033F" w:rsidP="003627EC">
      <w:pPr>
        <w:pStyle w:val="Proposal"/>
        <w:numPr>
          <w:ilvl w:val="0"/>
          <w:numId w:val="0"/>
        </w:numPr>
        <w:ind w:left="1304" w:hanging="1304"/>
        <w:rPr>
          <w:rFonts w:eastAsiaTheme="minorEastAsia"/>
          <w:sz w:val="22"/>
          <w:lang w:eastAsia="zh-TW"/>
        </w:rPr>
      </w:pPr>
      <w:bookmarkStart w:id="12" w:name="_Toc4685929"/>
      <w:bookmarkEnd w:id="11"/>
      <w:r>
        <w:rPr>
          <w:rFonts w:eastAsiaTheme="minorEastAsia"/>
          <w:sz w:val="22"/>
          <w:lang w:eastAsia="zh-TW"/>
        </w:rPr>
        <w:t>Proposal 2</w:t>
      </w:r>
      <w:r>
        <w:rPr>
          <w:rFonts w:eastAsiaTheme="minorEastAsia"/>
          <w:sz w:val="22"/>
          <w:lang w:eastAsia="zh-TW"/>
        </w:rPr>
        <w:tab/>
      </w:r>
      <w:r w:rsidR="008A1279">
        <w:rPr>
          <w:rFonts w:eastAsiaTheme="minorEastAsia"/>
          <w:sz w:val="22"/>
          <w:lang w:eastAsia="zh-TW"/>
        </w:rPr>
        <w:t xml:space="preserve">Support defining the </w:t>
      </w:r>
      <w:r w:rsidR="008A1279" w:rsidRPr="00AF1AF3">
        <w:rPr>
          <w:rFonts w:eastAsiaTheme="minorEastAsia"/>
          <w:sz w:val="22"/>
          <w:lang w:eastAsia="zh-TW"/>
        </w:rPr>
        <w:t xml:space="preserve">maximum number of BDs/CCEs in the unit of sub-slot or monitoring occasion for Rel-16 UE. </w:t>
      </w:r>
    </w:p>
    <w:p w14:paraId="734F42CB" w14:textId="77777777" w:rsidR="0002033F" w:rsidRPr="0002033F" w:rsidRDefault="0002033F" w:rsidP="0002033F">
      <w:pPr>
        <w:pStyle w:val="Proposal"/>
        <w:numPr>
          <w:ilvl w:val="0"/>
          <w:numId w:val="0"/>
        </w:numPr>
        <w:ind w:left="1304" w:hanging="1304"/>
        <w:rPr>
          <w:rFonts w:eastAsiaTheme="minorEastAsia"/>
          <w:sz w:val="22"/>
          <w:lang w:eastAsia="zh-TW"/>
        </w:rPr>
      </w:pPr>
      <w:bookmarkStart w:id="13" w:name="_Toc4685930"/>
      <w:bookmarkEnd w:id="12"/>
      <w:r>
        <w:rPr>
          <w:rFonts w:eastAsiaTheme="minorEastAsia"/>
          <w:sz w:val="22"/>
          <w:lang w:eastAsia="zh-TW"/>
        </w:rPr>
        <w:t>Proposal 3</w:t>
      </w:r>
      <w:r>
        <w:rPr>
          <w:rFonts w:eastAsiaTheme="minorEastAsia"/>
          <w:sz w:val="22"/>
          <w:lang w:eastAsia="zh-TW"/>
        </w:rPr>
        <w:tab/>
      </w:r>
      <w:r w:rsidRPr="0002033F">
        <w:rPr>
          <w:rFonts w:eastAsiaTheme="minorEastAsia"/>
          <w:sz w:val="22"/>
          <w:szCs w:val="22"/>
          <w:lang w:eastAsia="zh-TW"/>
        </w:rPr>
        <w:t>A UE can be configured with more than one PDCCH monitoring configurations</w:t>
      </w:r>
      <w:r w:rsidR="008A1279">
        <w:rPr>
          <w:rFonts w:eastAsiaTheme="minorEastAsia"/>
          <w:sz w:val="22"/>
          <w:szCs w:val="22"/>
          <w:lang w:eastAsia="zh-TW"/>
        </w:rPr>
        <w:t xml:space="preserve"> for adapting to different services</w:t>
      </w:r>
      <w:r w:rsidRPr="0002033F">
        <w:rPr>
          <w:rFonts w:eastAsiaTheme="minorEastAsia"/>
          <w:sz w:val="22"/>
          <w:szCs w:val="22"/>
          <w:lang w:eastAsia="zh-TW"/>
        </w:rPr>
        <w:t>.</w:t>
      </w:r>
      <w:bookmarkEnd w:id="13"/>
    </w:p>
    <w:p w14:paraId="42C26067" w14:textId="77777777" w:rsidR="0002033F" w:rsidRPr="0002033F" w:rsidRDefault="00D65806" w:rsidP="0002033F">
      <w:pPr>
        <w:pStyle w:val="Proposal"/>
        <w:numPr>
          <w:ilvl w:val="0"/>
          <w:numId w:val="0"/>
        </w:numPr>
        <w:ind w:left="1304" w:hanging="1304"/>
        <w:rPr>
          <w:rFonts w:eastAsiaTheme="minorEastAsia"/>
          <w:sz w:val="22"/>
          <w:szCs w:val="22"/>
          <w:lang w:eastAsia="zh-TW"/>
        </w:rPr>
      </w:pPr>
      <w:bookmarkStart w:id="14" w:name="_Toc4685931"/>
      <w:r>
        <w:rPr>
          <w:rFonts w:eastAsiaTheme="minorEastAsia"/>
          <w:sz w:val="22"/>
          <w:lang w:eastAsia="zh-TW"/>
        </w:rPr>
        <w:t>Proposal 4</w:t>
      </w:r>
      <w:r>
        <w:rPr>
          <w:rFonts w:eastAsiaTheme="minorEastAsia"/>
          <w:sz w:val="22"/>
          <w:lang w:eastAsia="zh-TW"/>
        </w:rPr>
        <w:tab/>
      </w:r>
      <w:r w:rsidR="0002033F" w:rsidRPr="0002033F">
        <w:rPr>
          <w:rFonts w:eastAsiaTheme="minorEastAsia"/>
          <w:sz w:val="22"/>
          <w:szCs w:val="22"/>
          <w:lang w:eastAsia="zh-TW"/>
        </w:rPr>
        <w:t xml:space="preserve">Either explicit or implicit signalling for </w:t>
      </w:r>
      <w:r w:rsidR="008A1279">
        <w:rPr>
          <w:rFonts w:eastAsiaTheme="minorEastAsia"/>
          <w:sz w:val="22"/>
          <w:szCs w:val="22"/>
          <w:lang w:eastAsia="zh-TW"/>
        </w:rPr>
        <w:t xml:space="preserve">more </w:t>
      </w:r>
      <w:r w:rsidR="0002033F" w:rsidRPr="0002033F">
        <w:rPr>
          <w:rFonts w:eastAsiaTheme="minorEastAsia"/>
          <w:sz w:val="22"/>
          <w:szCs w:val="22"/>
          <w:lang w:eastAsia="zh-TW"/>
        </w:rPr>
        <w:t>dynamic switching among different PDCCH monitoring configurations can be considered.</w:t>
      </w:r>
      <w:bookmarkEnd w:id="14"/>
    </w:p>
    <w:p w14:paraId="35F93698" w14:textId="77777777" w:rsidR="00E62208" w:rsidRDefault="00395FE5">
      <w:pPr>
        <w:pStyle w:val="TOC1"/>
        <w:rPr>
          <w:rFonts w:eastAsiaTheme="minorEastAsia" w:cstheme="minorBidi"/>
          <w:b w:val="0"/>
          <w:kern w:val="2"/>
          <w:sz w:val="24"/>
          <w:szCs w:val="22"/>
          <w:lang w:eastAsia="zh-TW"/>
        </w:rPr>
      </w:pPr>
      <w:r>
        <w:rPr>
          <w:bCs/>
          <w:lang w:eastAsia="zh-TW"/>
        </w:rPr>
        <w:fldChar w:fldCharType="begin"/>
      </w:r>
      <w:r>
        <w:rPr>
          <w:lang w:eastAsia="zh-TW"/>
        </w:rPr>
        <w:instrText xml:space="preserve"> TOC \f \n \p " " \h \z \t "Proposal,1" </w:instrText>
      </w:r>
      <w:r>
        <w:rPr>
          <w:bCs/>
          <w:lang w:eastAsia="zh-TW"/>
        </w:rPr>
        <w:fldChar w:fldCharType="separate"/>
      </w:r>
    </w:p>
    <w:p w14:paraId="34B043A1" w14:textId="77777777" w:rsidR="001E10F3" w:rsidRDefault="00395FE5" w:rsidP="00AF1AF3">
      <w:pPr>
        <w:pStyle w:val="Heading1"/>
        <w:rPr>
          <w:rFonts w:eastAsiaTheme="minorEastAsia"/>
          <w:lang w:eastAsia="zh-TW"/>
        </w:rPr>
      </w:pPr>
      <w:r>
        <w:rPr>
          <w:sz w:val="22"/>
          <w:szCs w:val="22"/>
          <w:lang w:eastAsia="zh-TW"/>
        </w:rPr>
        <w:lastRenderedPageBreak/>
        <w:fldChar w:fldCharType="end"/>
      </w:r>
      <w:r w:rsidR="001E10F3">
        <w:rPr>
          <w:rFonts w:eastAsiaTheme="minorEastAsia" w:hint="eastAsia"/>
          <w:lang w:eastAsia="zh-TW"/>
        </w:rPr>
        <w:t>R</w:t>
      </w:r>
      <w:r w:rsidR="001E10F3">
        <w:rPr>
          <w:rFonts w:eastAsiaTheme="minorEastAsia"/>
          <w:lang w:eastAsia="zh-TW"/>
        </w:rPr>
        <w:t>eferences</w:t>
      </w:r>
    </w:p>
    <w:p w14:paraId="691F4C3B" w14:textId="77777777" w:rsidR="001E10F3" w:rsidRPr="00507AB2" w:rsidRDefault="001E10F3" w:rsidP="001E10F3">
      <w:pPr>
        <w:pStyle w:val="Reference"/>
        <w:rPr>
          <w:rFonts w:eastAsiaTheme="minorEastAsia"/>
          <w:sz w:val="22"/>
          <w:szCs w:val="22"/>
          <w:lang w:eastAsia="zh-TW"/>
        </w:rPr>
      </w:pPr>
      <w:r w:rsidRPr="00507AB2">
        <w:rPr>
          <w:rFonts w:eastAsiaTheme="minorEastAsia"/>
          <w:sz w:val="22"/>
          <w:szCs w:val="22"/>
          <w:lang w:eastAsia="zh-TW"/>
        </w:rPr>
        <w:t>Chairman’s Notes, 3GPP RAN1 #</w:t>
      </w:r>
      <w:r w:rsidR="00D65806" w:rsidRPr="00507AB2">
        <w:rPr>
          <w:rFonts w:eastAsiaTheme="minorEastAsia"/>
          <w:sz w:val="22"/>
          <w:szCs w:val="22"/>
          <w:lang w:eastAsia="zh-TW"/>
        </w:rPr>
        <w:t>96</w:t>
      </w:r>
    </w:p>
    <w:p w14:paraId="70BC5DFB" w14:textId="77777777" w:rsidR="008A2480" w:rsidRPr="00507AB2" w:rsidRDefault="001E10F3" w:rsidP="00D65806">
      <w:pPr>
        <w:pStyle w:val="Reference"/>
        <w:rPr>
          <w:sz w:val="22"/>
          <w:szCs w:val="22"/>
          <w:lang w:eastAsia="zh-TW"/>
        </w:rPr>
      </w:pPr>
      <w:r w:rsidRPr="00507AB2">
        <w:rPr>
          <w:sz w:val="22"/>
          <w:szCs w:val="22"/>
          <w:lang w:eastAsia="zh-TW"/>
        </w:rPr>
        <w:t>R1-190</w:t>
      </w:r>
      <w:r w:rsidR="00D65806" w:rsidRPr="00507AB2">
        <w:rPr>
          <w:sz w:val="22"/>
          <w:szCs w:val="22"/>
          <w:lang w:eastAsia="zh-TW"/>
        </w:rPr>
        <w:t>334</w:t>
      </w:r>
      <w:r w:rsidRPr="00507AB2">
        <w:rPr>
          <w:sz w:val="22"/>
          <w:szCs w:val="22"/>
          <w:lang w:eastAsia="zh-TW"/>
        </w:rPr>
        <w:t xml:space="preserve">9, </w:t>
      </w:r>
      <w:r w:rsidRPr="00507AB2">
        <w:rPr>
          <w:sz w:val="22"/>
          <w:szCs w:val="22"/>
        </w:rPr>
        <w:t>Summary of 7.2.6.1.1 Potential enhancements to PDCCH, Huawei</w:t>
      </w:r>
    </w:p>
    <w:sectPr w:rsidR="008A2480" w:rsidRPr="00507AB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ADEA753" w14:textId="77777777" w:rsidR="00913293" w:rsidRDefault="00913293" w:rsidP="0063297B">
      <w:pPr>
        <w:spacing w:after="0"/>
      </w:pPr>
      <w:r>
        <w:separator/>
      </w:r>
    </w:p>
  </w:endnote>
  <w:endnote w:type="continuationSeparator" w:id="0">
    <w:p w14:paraId="53639356" w14:textId="77777777" w:rsidR="00913293" w:rsidRDefault="00913293" w:rsidP="0063297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Ericsson Hilda Light">
    <w:altName w:val="Cambria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E7925D" w14:textId="77777777" w:rsidR="00913293" w:rsidRDefault="00913293" w:rsidP="0063297B">
      <w:pPr>
        <w:spacing w:after="0"/>
      </w:pPr>
      <w:r>
        <w:separator/>
      </w:r>
    </w:p>
  </w:footnote>
  <w:footnote w:type="continuationSeparator" w:id="0">
    <w:p w14:paraId="6A9E35D4" w14:textId="77777777" w:rsidR="00913293" w:rsidRDefault="00913293" w:rsidP="0063297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F377DC"/>
    <w:multiLevelType w:val="hybridMultilevel"/>
    <w:tmpl w:val="83D27F84"/>
    <w:lvl w:ilvl="0" w:tplc="14205668">
      <w:numFmt w:val="bullet"/>
      <w:lvlText w:val="•"/>
      <w:lvlJc w:val="left"/>
      <w:pPr>
        <w:ind w:left="1080" w:hanging="720"/>
      </w:pPr>
      <w:rPr>
        <w:rFonts w:ascii="Calibri" w:eastAsiaTheme="minorEastAsia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552047"/>
    <w:multiLevelType w:val="multilevel"/>
    <w:tmpl w:val="A784E9C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46F393F"/>
    <w:multiLevelType w:val="hybridMultilevel"/>
    <w:tmpl w:val="CB868C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33764B"/>
    <w:multiLevelType w:val="hybridMultilevel"/>
    <w:tmpl w:val="E24654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1032B1"/>
    <w:multiLevelType w:val="hybridMultilevel"/>
    <w:tmpl w:val="F7C83934"/>
    <w:lvl w:ilvl="0" w:tplc="04090001">
      <w:start w:val="1"/>
      <w:numFmt w:val="bullet"/>
      <w:lvlText w:val=""/>
      <w:lvlJc w:val="left"/>
      <w:pPr>
        <w:ind w:left="166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24" w:hanging="360"/>
      </w:pPr>
      <w:rPr>
        <w:rFonts w:ascii="Wingdings" w:hAnsi="Wingdings" w:hint="default"/>
      </w:rPr>
    </w:lvl>
  </w:abstractNum>
  <w:abstractNum w:abstractNumId="5" w15:restartNumberingAfterBreak="0">
    <w:nsid w:val="0E306D02"/>
    <w:multiLevelType w:val="hybridMultilevel"/>
    <w:tmpl w:val="D3701C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B22C3F"/>
    <w:multiLevelType w:val="hybridMultilevel"/>
    <w:tmpl w:val="4BC2E1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556C03"/>
    <w:multiLevelType w:val="hybridMultilevel"/>
    <w:tmpl w:val="EE76BD00"/>
    <w:lvl w:ilvl="0" w:tplc="418CF640">
      <w:start w:val="1"/>
      <w:numFmt w:val="bullet"/>
      <w:lvlText w:val="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8" w15:restartNumberingAfterBreak="0">
    <w:nsid w:val="1A376EED"/>
    <w:multiLevelType w:val="hybridMultilevel"/>
    <w:tmpl w:val="7EE216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A034CA"/>
    <w:multiLevelType w:val="hybridMultilevel"/>
    <w:tmpl w:val="AF5ABF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5B48EF"/>
    <w:multiLevelType w:val="hybridMultilevel"/>
    <w:tmpl w:val="7FA8CF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A24C6D"/>
    <w:multiLevelType w:val="hybridMultilevel"/>
    <w:tmpl w:val="750E11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5681D39"/>
    <w:multiLevelType w:val="hybridMultilevel"/>
    <w:tmpl w:val="963044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A46647"/>
    <w:multiLevelType w:val="hybridMultilevel"/>
    <w:tmpl w:val="2EC45CC2"/>
    <w:lvl w:ilvl="0" w:tplc="E51614C2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F7640D0"/>
    <w:multiLevelType w:val="hybridMultilevel"/>
    <w:tmpl w:val="7744D0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3BC4F39"/>
    <w:multiLevelType w:val="hybridMultilevel"/>
    <w:tmpl w:val="03B0B58C"/>
    <w:lvl w:ilvl="0" w:tplc="04090001">
      <w:start w:val="1"/>
      <w:numFmt w:val="bullet"/>
      <w:lvlText w:val=""/>
      <w:lvlJc w:val="left"/>
      <w:pPr>
        <w:tabs>
          <w:tab w:val="num" w:pos="2024"/>
        </w:tabs>
        <w:ind w:left="2024" w:hanging="1304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6" w15:restartNumberingAfterBreak="0">
    <w:nsid w:val="4AED2B83"/>
    <w:multiLevelType w:val="hybridMultilevel"/>
    <w:tmpl w:val="F3C2DF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DF65F6"/>
    <w:multiLevelType w:val="hybridMultilevel"/>
    <w:tmpl w:val="A5B228E8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pStyle w:val="Heading9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01505E"/>
    <w:multiLevelType w:val="hybridMultilevel"/>
    <w:tmpl w:val="61823312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4620255"/>
    <w:multiLevelType w:val="hybridMultilevel"/>
    <w:tmpl w:val="3A90F4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AB81C84"/>
    <w:multiLevelType w:val="hybridMultilevel"/>
    <w:tmpl w:val="5F0E22FC"/>
    <w:lvl w:ilvl="0" w:tplc="04090001">
      <w:start w:val="1"/>
      <w:numFmt w:val="bullet"/>
      <w:lvlText w:val=""/>
      <w:lvlJc w:val="left"/>
      <w:pPr>
        <w:ind w:left="76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7" w:hanging="360"/>
      </w:pPr>
      <w:rPr>
        <w:rFonts w:ascii="Wingdings" w:hAnsi="Wingdings" w:hint="default"/>
      </w:rPr>
    </w:lvl>
  </w:abstractNum>
  <w:abstractNum w:abstractNumId="21" w15:restartNumberingAfterBreak="0">
    <w:nsid w:val="5D332CCE"/>
    <w:multiLevelType w:val="hybridMultilevel"/>
    <w:tmpl w:val="06CE8F96"/>
    <w:lvl w:ilvl="0" w:tplc="EC10E72C">
      <w:start w:val="1"/>
      <w:numFmt w:val="bullet"/>
      <w:lvlText w:val="—"/>
      <w:lvlJc w:val="left"/>
      <w:pPr>
        <w:tabs>
          <w:tab w:val="num" w:pos="360"/>
        </w:tabs>
        <w:ind w:left="360" w:hanging="360"/>
      </w:pPr>
      <w:rPr>
        <w:rFonts w:ascii="Ericsson Hilda Light" w:hAnsi="Ericsson Hilda Light" w:hint="default"/>
      </w:rPr>
    </w:lvl>
    <w:lvl w:ilvl="1" w:tplc="43C2B5FE">
      <w:start w:val="67"/>
      <w:numFmt w:val="bullet"/>
      <w:lvlText w:val="—"/>
      <w:lvlJc w:val="left"/>
      <w:pPr>
        <w:tabs>
          <w:tab w:val="num" w:pos="1080"/>
        </w:tabs>
        <w:ind w:left="1080" w:hanging="360"/>
      </w:pPr>
      <w:rPr>
        <w:rFonts w:ascii="Ericsson Hilda Light" w:hAnsi="Ericsson Hilda Light" w:hint="default"/>
      </w:rPr>
    </w:lvl>
    <w:lvl w:ilvl="2" w:tplc="62D27C2E">
      <w:start w:val="67"/>
      <w:numFmt w:val="bullet"/>
      <w:lvlText w:val="—"/>
      <w:lvlJc w:val="left"/>
      <w:pPr>
        <w:tabs>
          <w:tab w:val="num" w:pos="1800"/>
        </w:tabs>
        <w:ind w:left="1800" w:hanging="360"/>
      </w:pPr>
      <w:rPr>
        <w:rFonts w:ascii="Ericsson Hilda Light" w:hAnsi="Ericsson Hilda Light" w:hint="default"/>
      </w:rPr>
    </w:lvl>
    <w:lvl w:ilvl="3" w:tplc="8A5A47EC" w:tentative="1">
      <w:start w:val="1"/>
      <w:numFmt w:val="bullet"/>
      <w:lvlText w:val="—"/>
      <w:lvlJc w:val="left"/>
      <w:pPr>
        <w:tabs>
          <w:tab w:val="num" w:pos="2520"/>
        </w:tabs>
        <w:ind w:left="2520" w:hanging="360"/>
      </w:pPr>
      <w:rPr>
        <w:rFonts w:ascii="Ericsson Hilda Light" w:hAnsi="Ericsson Hilda Light" w:hint="default"/>
      </w:rPr>
    </w:lvl>
    <w:lvl w:ilvl="4" w:tplc="848EBE32" w:tentative="1">
      <w:start w:val="1"/>
      <w:numFmt w:val="bullet"/>
      <w:lvlText w:val="—"/>
      <w:lvlJc w:val="left"/>
      <w:pPr>
        <w:tabs>
          <w:tab w:val="num" w:pos="3240"/>
        </w:tabs>
        <w:ind w:left="3240" w:hanging="360"/>
      </w:pPr>
      <w:rPr>
        <w:rFonts w:ascii="Ericsson Hilda Light" w:hAnsi="Ericsson Hilda Light" w:hint="default"/>
      </w:rPr>
    </w:lvl>
    <w:lvl w:ilvl="5" w:tplc="002E4A38" w:tentative="1">
      <w:start w:val="1"/>
      <w:numFmt w:val="bullet"/>
      <w:lvlText w:val="—"/>
      <w:lvlJc w:val="left"/>
      <w:pPr>
        <w:tabs>
          <w:tab w:val="num" w:pos="3960"/>
        </w:tabs>
        <w:ind w:left="3960" w:hanging="360"/>
      </w:pPr>
      <w:rPr>
        <w:rFonts w:ascii="Ericsson Hilda Light" w:hAnsi="Ericsson Hilda Light" w:hint="default"/>
      </w:rPr>
    </w:lvl>
    <w:lvl w:ilvl="6" w:tplc="A1FA978A" w:tentative="1">
      <w:start w:val="1"/>
      <w:numFmt w:val="bullet"/>
      <w:lvlText w:val="—"/>
      <w:lvlJc w:val="left"/>
      <w:pPr>
        <w:tabs>
          <w:tab w:val="num" w:pos="4680"/>
        </w:tabs>
        <w:ind w:left="4680" w:hanging="360"/>
      </w:pPr>
      <w:rPr>
        <w:rFonts w:ascii="Ericsson Hilda Light" w:hAnsi="Ericsson Hilda Light" w:hint="default"/>
      </w:rPr>
    </w:lvl>
    <w:lvl w:ilvl="7" w:tplc="16FABA2A" w:tentative="1">
      <w:start w:val="1"/>
      <w:numFmt w:val="bullet"/>
      <w:lvlText w:val="—"/>
      <w:lvlJc w:val="left"/>
      <w:pPr>
        <w:tabs>
          <w:tab w:val="num" w:pos="5400"/>
        </w:tabs>
        <w:ind w:left="5400" w:hanging="360"/>
      </w:pPr>
      <w:rPr>
        <w:rFonts w:ascii="Ericsson Hilda Light" w:hAnsi="Ericsson Hilda Light" w:hint="default"/>
      </w:rPr>
    </w:lvl>
    <w:lvl w:ilvl="8" w:tplc="729AF1AE" w:tentative="1">
      <w:start w:val="1"/>
      <w:numFmt w:val="bullet"/>
      <w:lvlText w:val="—"/>
      <w:lvlJc w:val="left"/>
      <w:pPr>
        <w:tabs>
          <w:tab w:val="num" w:pos="6120"/>
        </w:tabs>
        <w:ind w:left="6120" w:hanging="360"/>
      </w:pPr>
      <w:rPr>
        <w:rFonts w:ascii="Ericsson Hilda Light" w:hAnsi="Ericsson Hilda Light" w:hint="default"/>
      </w:rPr>
    </w:lvl>
  </w:abstractNum>
  <w:abstractNum w:abstractNumId="22" w15:restartNumberingAfterBreak="0">
    <w:nsid w:val="60655416"/>
    <w:multiLevelType w:val="hybridMultilevel"/>
    <w:tmpl w:val="EB328D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B22C84"/>
    <w:multiLevelType w:val="hybridMultilevel"/>
    <w:tmpl w:val="EC04D3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CE56EA8"/>
    <w:multiLevelType w:val="hybridMultilevel"/>
    <w:tmpl w:val="C9B23A6C"/>
    <w:lvl w:ilvl="0" w:tplc="04090001">
      <w:start w:val="1"/>
      <w:numFmt w:val="bullet"/>
      <w:lvlText w:val=""/>
      <w:lvlJc w:val="left"/>
      <w:pPr>
        <w:ind w:left="166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3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24" w:hanging="360"/>
      </w:pPr>
      <w:rPr>
        <w:rFonts w:ascii="Wingdings" w:hAnsi="Wingdings" w:hint="default"/>
      </w:rPr>
    </w:lvl>
  </w:abstractNum>
  <w:abstractNum w:abstractNumId="25" w15:restartNumberingAfterBreak="0">
    <w:nsid w:val="74C4619B"/>
    <w:multiLevelType w:val="hybridMultilevel"/>
    <w:tmpl w:val="AB9896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4D26906"/>
    <w:multiLevelType w:val="hybridMultilevel"/>
    <w:tmpl w:val="92ECD4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5074C72"/>
    <w:multiLevelType w:val="hybridMultilevel"/>
    <w:tmpl w:val="F5FED4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9D76FE6"/>
    <w:multiLevelType w:val="hybridMultilevel"/>
    <w:tmpl w:val="52E224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D835808"/>
    <w:multiLevelType w:val="hybridMultilevel"/>
    <w:tmpl w:val="C994AC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3"/>
  </w:num>
  <w:num w:numId="3">
    <w:abstractNumId w:val="18"/>
  </w:num>
  <w:num w:numId="4">
    <w:abstractNumId w:val="1"/>
  </w:num>
  <w:num w:numId="5">
    <w:abstractNumId w:val="1"/>
  </w:num>
  <w:num w:numId="6">
    <w:abstractNumId w:val="1"/>
  </w:num>
  <w:num w:numId="7">
    <w:abstractNumId w:val="1"/>
  </w:num>
  <w:num w:numId="8">
    <w:abstractNumId w:val="1"/>
  </w:num>
  <w:num w:numId="9">
    <w:abstractNumId w:val="1"/>
  </w:num>
  <w:num w:numId="10">
    <w:abstractNumId w:val="1"/>
  </w:num>
  <w:num w:numId="11">
    <w:abstractNumId w:val="1"/>
  </w:num>
  <w:num w:numId="12">
    <w:abstractNumId w:val="1"/>
  </w:num>
  <w:num w:numId="13">
    <w:abstractNumId w:val="17"/>
  </w:num>
  <w:num w:numId="14">
    <w:abstractNumId w:val="13"/>
  </w:num>
  <w:num w:numId="15">
    <w:abstractNumId w:val="18"/>
  </w:num>
  <w:num w:numId="16">
    <w:abstractNumId w:val="29"/>
  </w:num>
  <w:num w:numId="17">
    <w:abstractNumId w:val="5"/>
  </w:num>
  <w:num w:numId="18">
    <w:abstractNumId w:val="11"/>
  </w:num>
  <w:num w:numId="19">
    <w:abstractNumId w:val="28"/>
  </w:num>
  <w:num w:numId="20">
    <w:abstractNumId w:val="9"/>
  </w:num>
  <w:num w:numId="21">
    <w:abstractNumId w:val="16"/>
  </w:num>
  <w:num w:numId="22">
    <w:abstractNumId w:val="23"/>
  </w:num>
  <w:num w:numId="23">
    <w:abstractNumId w:val="21"/>
  </w:num>
  <w:num w:numId="24">
    <w:abstractNumId w:val="22"/>
  </w:num>
  <w:num w:numId="25">
    <w:abstractNumId w:val="20"/>
  </w:num>
  <w:num w:numId="26">
    <w:abstractNumId w:val="27"/>
  </w:num>
  <w:num w:numId="27">
    <w:abstractNumId w:val="8"/>
  </w:num>
  <w:num w:numId="28">
    <w:abstractNumId w:val="14"/>
  </w:num>
  <w:num w:numId="29">
    <w:abstractNumId w:val="12"/>
  </w:num>
  <w:num w:numId="30">
    <w:abstractNumId w:val="10"/>
  </w:num>
  <w:num w:numId="31">
    <w:abstractNumId w:val="3"/>
  </w:num>
  <w:num w:numId="32">
    <w:abstractNumId w:val="0"/>
  </w:num>
  <w:num w:numId="33">
    <w:abstractNumId w:val="26"/>
  </w:num>
  <w:num w:numId="34">
    <w:abstractNumId w:val="15"/>
  </w:num>
  <w:num w:numId="35">
    <w:abstractNumId w:val="4"/>
  </w:num>
  <w:num w:numId="36">
    <w:abstractNumId w:val="24"/>
  </w:num>
  <w:num w:numId="37">
    <w:abstractNumId w:val="19"/>
  </w:num>
  <w:num w:numId="38">
    <w:abstractNumId w:val="18"/>
  </w:num>
  <w:num w:numId="39">
    <w:abstractNumId w:val="22"/>
  </w:num>
  <w:num w:numId="40">
    <w:abstractNumId w:val="25"/>
  </w:num>
  <w:num w:numId="41">
    <w:abstractNumId w:val="6"/>
  </w:num>
  <w:num w:numId="42">
    <w:abstractNumId w:val="7"/>
  </w:num>
  <w:num w:numId="43">
    <w:abstractNumId w:val="13"/>
  </w:num>
  <w:num w:numId="44">
    <w:abstractNumId w:val="13"/>
  </w:num>
  <w:num w:numId="4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0sDAwMTAyMjG2sDQxMjFR0lEKTi0uzszPAykwMqkFAAghuw8tAAAA"/>
  </w:docVars>
  <w:rsids>
    <w:rsidRoot w:val="005E1F4B"/>
    <w:rsid w:val="00004A2B"/>
    <w:rsid w:val="00004E8F"/>
    <w:rsid w:val="0002033F"/>
    <w:rsid w:val="00040844"/>
    <w:rsid w:val="0005292D"/>
    <w:rsid w:val="00060D85"/>
    <w:rsid w:val="000641E0"/>
    <w:rsid w:val="00090D23"/>
    <w:rsid w:val="00092147"/>
    <w:rsid w:val="000A72BB"/>
    <w:rsid w:val="000B11D8"/>
    <w:rsid w:val="000B28C3"/>
    <w:rsid w:val="000B5758"/>
    <w:rsid w:val="000D5825"/>
    <w:rsid w:val="00100FD3"/>
    <w:rsid w:val="001032BE"/>
    <w:rsid w:val="00121950"/>
    <w:rsid w:val="001350CC"/>
    <w:rsid w:val="00140508"/>
    <w:rsid w:val="00140D47"/>
    <w:rsid w:val="00141AC6"/>
    <w:rsid w:val="00142170"/>
    <w:rsid w:val="00150043"/>
    <w:rsid w:val="001B4136"/>
    <w:rsid w:val="001B515B"/>
    <w:rsid w:val="001C04A9"/>
    <w:rsid w:val="001D0914"/>
    <w:rsid w:val="001D7D48"/>
    <w:rsid w:val="001E10F3"/>
    <w:rsid w:val="00214C92"/>
    <w:rsid w:val="00217B35"/>
    <w:rsid w:val="002409BC"/>
    <w:rsid w:val="00251AA6"/>
    <w:rsid w:val="00266699"/>
    <w:rsid w:val="002753CB"/>
    <w:rsid w:val="00277ED8"/>
    <w:rsid w:val="0028348F"/>
    <w:rsid w:val="00283B47"/>
    <w:rsid w:val="00283DA5"/>
    <w:rsid w:val="00284355"/>
    <w:rsid w:val="00292A1A"/>
    <w:rsid w:val="002A1C4F"/>
    <w:rsid w:val="002A3586"/>
    <w:rsid w:val="002B50D5"/>
    <w:rsid w:val="002D1055"/>
    <w:rsid w:val="002F4CE6"/>
    <w:rsid w:val="003058C6"/>
    <w:rsid w:val="00311BC7"/>
    <w:rsid w:val="0031408C"/>
    <w:rsid w:val="00337856"/>
    <w:rsid w:val="00340E36"/>
    <w:rsid w:val="00357483"/>
    <w:rsid w:val="003627EC"/>
    <w:rsid w:val="00387371"/>
    <w:rsid w:val="003913B4"/>
    <w:rsid w:val="00395FE5"/>
    <w:rsid w:val="003A527A"/>
    <w:rsid w:val="003A666D"/>
    <w:rsid w:val="003C13D5"/>
    <w:rsid w:val="003C1C03"/>
    <w:rsid w:val="003E54CD"/>
    <w:rsid w:val="0042740D"/>
    <w:rsid w:val="00431CDC"/>
    <w:rsid w:val="004858C4"/>
    <w:rsid w:val="004A067C"/>
    <w:rsid w:val="004C688C"/>
    <w:rsid w:val="004E115A"/>
    <w:rsid w:val="00507AB2"/>
    <w:rsid w:val="005146C1"/>
    <w:rsid w:val="00522BF1"/>
    <w:rsid w:val="00533B6B"/>
    <w:rsid w:val="00533C06"/>
    <w:rsid w:val="00534618"/>
    <w:rsid w:val="005514A9"/>
    <w:rsid w:val="00575D10"/>
    <w:rsid w:val="00597063"/>
    <w:rsid w:val="005B611F"/>
    <w:rsid w:val="005D6242"/>
    <w:rsid w:val="005E1F4B"/>
    <w:rsid w:val="00612D85"/>
    <w:rsid w:val="006226AC"/>
    <w:rsid w:val="0063297B"/>
    <w:rsid w:val="006335C9"/>
    <w:rsid w:val="006402AA"/>
    <w:rsid w:val="006638D4"/>
    <w:rsid w:val="006714EF"/>
    <w:rsid w:val="006832B4"/>
    <w:rsid w:val="00683624"/>
    <w:rsid w:val="006873C3"/>
    <w:rsid w:val="006A65F5"/>
    <w:rsid w:val="006A6ECE"/>
    <w:rsid w:val="006B40C4"/>
    <w:rsid w:val="006C0A82"/>
    <w:rsid w:val="006C378D"/>
    <w:rsid w:val="006C627A"/>
    <w:rsid w:val="006D4CBB"/>
    <w:rsid w:val="007041E8"/>
    <w:rsid w:val="00706379"/>
    <w:rsid w:val="00714DA9"/>
    <w:rsid w:val="00721143"/>
    <w:rsid w:val="007213CA"/>
    <w:rsid w:val="007237FF"/>
    <w:rsid w:val="00724BA4"/>
    <w:rsid w:val="007307A2"/>
    <w:rsid w:val="00730F59"/>
    <w:rsid w:val="0073595F"/>
    <w:rsid w:val="00763F72"/>
    <w:rsid w:val="00765DD3"/>
    <w:rsid w:val="00771943"/>
    <w:rsid w:val="00774E97"/>
    <w:rsid w:val="0079355F"/>
    <w:rsid w:val="007A2201"/>
    <w:rsid w:val="007A3170"/>
    <w:rsid w:val="007A345D"/>
    <w:rsid w:val="007A6D9F"/>
    <w:rsid w:val="007C0EB9"/>
    <w:rsid w:val="007C1338"/>
    <w:rsid w:val="007C2F8B"/>
    <w:rsid w:val="007C5488"/>
    <w:rsid w:val="007E038D"/>
    <w:rsid w:val="007E7AC0"/>
    <w:rsid w:val="0082650D"/>
    <w:rsid w:val="008A1279"/>
    <w:rsid w:val="008A2480"/>
    <w:rsid w:val="008A3669"/>
    <w:rsid w:val="008B40E1"/>
    <w:rsid w:val="008C23D2"/>
    <w:rsid w:val="008D36AE"/>
    <w:rsid w:val="008E622F"/>
    <w:rsid w:val="009129F1"/>
    <w:rsid w:val="00913293"/>
    <w:rsid w:val="009326BD"/>
    <w:rsid w:val="00932935"/>
    <w:rsid w:val="00955EBD"/>
    <w:rsid w:val="00986583"/>
    <w:rsid w:val="0098759C"/>
    <w:rsid w:val="009A3179"/>
    <w:rsid w:val="009A54FC"/>
    <w:rsid w:val="009B2F97"/>
    <w:rsid w:val="009B64E9"/>
    <w:rsid w:val="009B7587"/>
    <w:rsid w:val="009D112D"/>
    <w:rsid w:val="00A04811"/>
    <w:rsid w:val="00A23275"/>
    <w:rsid w:val="00A33ACF"/>
    <w:rsid w:val="00A34A8B"/>
    <w:rsid w:val="00A4702C"/>
    <w:rsid w:val="00A558B4"/>
    <w:rsid w:val="00A96C13"/>
    <w:rsid w:val="00AB4425"/>
    <w:rsid w:val="00AD3910"/>
    <w:rsid w:val="00AE6B31"/>
    <w:rsid w:val="00AF1AF3"/>
    <w:rsid w:val="00B00345"/>
    <w:rsid w:val="00B06526"/>
    <w:rsid w:val="00B06705"/>
    <w:rsid w:val="00B227C6"/>
    <w:rsid w:val="00B238C0"/>
    <w:rsid w:val="00B446D3"/>
    <w:rsid w:val="00B7161A"/>
    <w:rsid w:val="00B77646"/>
    <w:rsid w:val="00B85C4E"/>
    <w:rsid w:val="00BA181B"/>
    <w:rsid w:val="00BC0ACC"/>
    <w:rsid w:val="00BC23CB"/>
    <w:rsid w:val="00BF27B5"/>
    <w:rsid w:val="00C04FDA"/>
    <w:rsid w:val="00C12179"/>
    <w:rsid w:val="00C12B3A"/>
    <w:rsid w:val="00C14A92"/>
    <w:rsid w:val="00C218FC"/>
    <w:rsid w:val="00C37D56"/>
    <w:rsid w:val="00C7394E"/>
    <w:rsid w:val="00C92BFE"/>
    <w:rsid w:val="00CA2A35"/>
    <w:rsid w:val="00CA6D68"/>
    <w:rsid w:val="00CC278A"/>
    <w:rsid w:val="00CC6AC9"/>
    <w:rsid w:val="00CF2030"/>
    <w:rsid w:val="00CF2D92"/>
    <w:rsid w:val="00CF4659"/>
    <w:rsid w:val="00D02BEF"/>
    <w:rsid w:val="00D11BE3"/>
    <w:rsid w:val="00D40635"/>
    <w:rsid w:val="00D415FF"/>
    <w:rsid w:val="00D51E0E"/>
    <w:rsid w:val="00D5268F"/>
    <w:rsid w:val="00D65806"/>
    <w:rsid w:val="00D74486"/>
    <w:rsid w:val="00D75E1C"/>
    <w:rsid w:val="00D850A1"/>
    <w:rsid w:val="00D9534A"/>
    <w:rsid w:val="00DB5F21"/>
    <w:rsid w:val="00DC0574"/>
    <w:rsid w:val="00DD076F"/>
    <w:rsid w:val="00DD2233"/>
    <w:rsid w:val="00E1317B"/>
    <w:rsid w:val="00E237C0"/>
    <w:rsid w:val="00E25594"/>
    <w:rsid w:val="00E36103"/>
    <w:rsid w:val="00E40273"/>
    <w:rsid w:val="00E42568"/>
    <w:rsid w:val="00E43BA4"/>
    <w:rsid w:val="00E62208"/>
    <w:rsid w:val="00E65ED1"/>
    <w:rsid w:val="00E6785D"/>
    <w:rsid w:val="00E84CCD"/>
    <w:rsid w:val="00E966F4"/>
    <w:rsid w:val="00E96865"/>
    <w:rsid w:val="00F43C17"/>
    <w:rsid w:val="00F469EC"/>
    <w:rsid w:val="00F66954"/>
    <w:rsid w:val="00F77B6B"/>
    <w:rsid w:val="00F87104"/>
    <w:rsid w:val="00FA106B"/>
    <w:rsid w:val="00FA5BED"/>
    <w:rsid w:val="00FA791D"/>
    <w:rsid w:val="00FB591D"/>
    <w:rsid w:val="00FB7B2A"/>
    <w:rsid w:val="00FD5810"/>
    <w:rsid w:val="00FE63AA"/>
    <w:rsid w:val="00FF45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6B08A53"/>
  <w15:chartTrackingRefBased/>
  <w15:docId w15:val="{4C298D62-664A-4062-909F-08FB44BD51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A65F5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sz w:val="20"/>
      <w:szCs w:val="20"/>
      <w:lang w:val="en-GB" w:eastAsia="zh-CN"/>
    </w:rPr>
  </w:style>
  <w:style w:type="paragraph" w:styleId="Heading1">
    <w:name w:val="heading 1"/>
    <w:next w:val="Normal"/>
    <w:link w:val="Heading1Char"/>
    <w:qFormat/>
    <w:rsid w:val="005E1F4B"/>
    <w:pPr>
      <w:keepNext/>
      <w:keepLines/>
      <w:numPr>
        <w:numId w:val="1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2"/>
      <w:szCs w:val="36"/>
      <w:lang w:val="en-GB" w:eastAsia="zh-CN"/>
    </w:rPr>
  </w:style>
  <w:style w:type="paragraph" w:styleId="Heading2">
    <w:name w:val="heading 2"/>
    <w:basedOn w:val="Heading1"/>
    <w:next w:val="Normal"/>
    <w:link w:val="Heading2Char"/>
    <w:qFormat/>
    <w:rsid w:val="005E1F4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32"/>
    </w:rPr>
  </w:style>
  <w:style w:type="paragraph" w:styleId="Heading3">
    <w:name w:val="heading 3"/>
    <w:basedOn w:val="Heading2"/>
    <w:next w:val="Normal"/>
    <w:link w:val="Heading3Char"/>
    <w:qFormat/>
    <w:rsid w:val="005E1F4B"/>
    <w:pPr>
      <w:numPr>
        <w:ilvl w:val="2"/>
      </w:numPr>
      <w:spacing w:before="120"/>
      <w:outlineLvl w:val="2"/>
    </w:pPr>
    <w:rPr>
      <w:sz w:val="24"/>
      <w:szCs w:val="28"/>
    </w:rPr>
  </w:style>
  <w:style w:type="paragraph" w:styleId="Heading4">
    <w:name w:val="heading 4"/>
    <w:basedOn w:val="Heading3"/>
    <w:next w:val="Normal"/>
    <w:link w:val="Heading4Char"/>
    <w:qFormat/>
    <w:rsid w:val="005E1F4B"/>
    <w:pPr>
      <w:numPr>
        <w:ilvl w:val="3"/>
      </w:numPr>
      <w:outlineLvl w:val="3"/>
    </w:pPr>
    <w:rPr>
      <w:szCs w:val="24"/>
    </w:rPr>
  </w:style>
  <w:style w:type="paragraph" w:styleId="Heading5">
    <w:name w:val="heading 5"/>
    <w:basedOn w:val="Heading4"/>
    <w:next w:val="Normal"/>
    <w:link w:val="Heading5Char"/>
    <w:qFormat/>
    <w:rsid w:val="005E1F4B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5E1F4B"/>
    <w:pPr>
      <w:keepNext/>
      <w:keepLines/>
      <w:numPr>
        <w:ilvl w:val="5"/>
        <w:numId w:val="12"/>
      </w:numPr>
      <w:spacing w:before="120"/>
      <w:outlineLvl w:val="5"/>
    </w:pPr>
    <w:rPr>
      <w:rFonts w:eastAsia="Times New Roman" w:cs="Arial"/>
    </w:rPr>
  </w:style>
  <w:style w:type="paragraph" w:styleId="Heading7">
    <w:name w:val="heading 7"/>
    <w:basedOn w:val="Normal"/>
    <w:next w:val="Normal"/>
    <w:link w:val="Heading7Char"/>
    <w:qFormat/>
    <w:rsid w:val="005E1F4B"/>
    <w:pPr>
      <w:keepNext/>
      <w:keepLines/>
      <w:numPr>
        <w:ilvl w:val="6"/>
        <w:numId w:val="12"/>
      </w:numPr>
      <w:spacing w:before="120"/>
      <w:outlineLvl w:val="6"/>
    </w:pPr>
    <w:rPr>
      <w:rFonts w:eastAsia="Times New Roman" w:cs="Arial"/>
    </w:rPr>
  </w:style>
  <w:style w:type="paragraph" w:styleId="Heading8">
    <w:name w:val="heading 8"/>
    <w:basedOn w:val="Heading7"/>
    <w:next w:val="Normal"/>
    <w:link w:val="Heading8Char"/>
    <w:qFormat/>
    <w:rsid w:val="005E1F4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5E1F4B"/>
    <w:pPr>
      <w:numPr>
        <w:ilvl w:val="8"/>
        <w:numId w:val="1"/>
      </w:numPr>
      <w:tabs>
        <w:tab w:val="clear" w:pos="6480"/>
        <w:tab w:val="num" w:pos="1584"/>
      </w:tabs>
      <w:ind w:left="1584" w:hanging="1584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3GPPHeader">
    <w:name w:val="3GPP_Header"/>
    <w:basedOn w:val="Normal"/>
    <w:qFormat/>
    <w:rsid w:val="005E1F4B"/>
    <w:pPr>
      <w:tabs>
        <w:tab w:val="left" w:pos="1800"/>
        <w:tab w:val="right" w:pos="9360"/>
      </w:tabs>
      <w:spacing w:after="0"/>
    </w:pPr>
    <w:rPr>
      <w:rFonts w:ascii="Arial" w:eastAsia="Times New Roman" w:hAnsi="Arial" w:cs="Times New Roman"/>
      <w:b/>
    </w:rPr>
  </w:style>
  <w:style w:type="paragraph" w:customStyle="1" w:styleId="Reference">
    <w:name w:val="Reference"/>
    <w:basedOn w:val="Normal"/>
    <w:qFormat/>
    <w:rsid w:val="005E1F4B"/>
    <w:pPr>
      <w:numPr>
        <w:numId w:val="13"/>
      </w:numPr>
    </w:pPr>
    <w:rPr>
      <w:rFonts w:eastAsia="Times New Roman" w:cs="Times New Roman"/>
    </w:rPr>
  </w:style>
  <w:style w:type="paragraph" w:customStyle="1" w:styleId="Proposal">
    <w:name w:val="Proposal"/>
    <w:basedOn w:val="Normal"/>
    <w:qFormat/>
    <w:rsid w:val="005E1F4B"/>
    <w:pPr>
      <w:numPr>
        <w:numId w:val="14"/>
      </w:numPr>
      <w:tabs>
        <w:tab w:val="left" w:pos="1701"/>
      </w:tabs>
    </w:pPr>
    <w:rPr>
      <w:rFonts w:eastAsia="Times New Roman" w:cs="Times New Roman"/>
      <w:b/>
      <w:bCs/>
    </w:rPr>
  </w:style>
  <w:style w:type="paragraph" w:customStyle="1" w:styleId="Observation">
    <w:name w:val="Observation"/>
    <w:basedOn w:val="Proposal"/>
    <w:qFormat/>
    <w:rsid w:val="005E1F4B"/>
    <w:pPr>
      <w:numPr>
        <w:numId w:val="15"/>
      </w:numPr>
    </w:pPr>
  </w:style>
  <w:style w:type="character" w:customStyle="1" w:styleId="Heading1Char">
    <w:name w:val="Heading 1 Char"/>
    <w:basedOn w:val="DefaultParagraphFont"/>
    <w:link w:val="Heading1"/>
    <w:rsid w:val="005E1F4B"/>
    <w:rPr>
      <w:rFonts w:ascii="Arial" w:eastAsia="Times New Roman" w:hAnsi="Arial" w:cs="Arial"/>
      <w:sz w:val="32"/>
      <w:szCs w:val="36"/>
      <w:lang w:val="en-GB" w:eastAsia="zh-CN"/>
    </w:rPr>
  </w:style>
  <w:style w:type="character" w:customStyle="1" w:styleId="Heading2Char">
    <w:name w:val="Heading 2 Char"/>
    <w:basedOn w:val="DefaultParagraphFont"/>
    <w:link w:val="Heading2"/>
    <w:rsid w:val="005E1F4B"/>
    <w:rPr>
      <w:rFonts w:ascii="Arial" w:eastAsia="Times New Roman" w:hAnsi="Arial" w:cs="Arial"/>
      <w:sz w:val="28"/>
      <w:szCs w:val="32"/>
      <w:lang w:val="en-GB" w:eastAsia="zh-CN"/>
    </w:rPr>
  </w:style>
  <w:style w:type="character" w:customStyle="1" w:styleId="Heading3Char">
    <w:name w:val="Heading 3 Char"/>
    <w:basedOn w:val="DefaultParagraphFont"/>
    <w:link w:val="Heading3"/>
    <w:rsid w:val="005E1F4B"/>
    <w:rPr>
      <w:rFonts w:ascii="Arial" w:eastAsia="Times New Roman" w:hAnsi="Arial" w:cs="Arial"/>
      <w:sz w:val="24"/>
      <w:szCs w:val="28"/>
      <w:lang w:val="en-GB" w:eastAsia="zh-CN"/>
    </w:rPr>
  </w:style>
  <w:style w:type="character" w:customStyle="1" w:styleId="Heading4Char">
    <w:name w:val="Heading 4 Char"/>
    <w:basedOn w:val="DefaultParagraphFont"/>
    <w:link w:val="Heading4"/>
    <w:rsid w:val="005E1F4B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rsid w:val="005E1F4B"/>
    <w:rPr>
      <w:rFonts w:ascii="Arial" w:eastAsia="Times New Roman" w:hAnsi="Arial" w:cs="Arial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5E1F4B"/>
    <w:rPr>
      <w:rFonts w:eastAsia="Times New Roman" w:cs="Arial"/>
      <w:sz w:val="20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5E1F4B"/>
    <w:rPr>
      <w:rFonts w:eastAsia="Times New Roman" w:cs="Arial"/>
      <w:sz w:val="20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5E1F4B"/>
    <w:rPr>
      <w:rFonts w:eastAsia="Times New Roman" w:cs="Arial"/>
      <w:sz w:val="20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5E1F4B"/>
    <w:rPr>
      <w:rFonts w:eastAsia="Times New Roman" w:cs="Arial"/>
      <w:sz w:val="20"/>
      <w:szCs w:val="20"/>
      <w:lang w:val="en-GB" w:eastAsia="zh-CN"/>
    </w:rPr>
  </w:style>
  <w:style w:type="paragraph" w:styleId="Caption">
    <w:name w:val="caption"/>
    <w:basedOn w:val="Normal"/>
    <w:next w:val="Normal"/>
    <w:qFormat/>
    <w:rsid w:val="005E1F4B"/>
    <w:pPr>
      <w:spacing w:after="240"/>
      <w:jc w:val="center"/>
    </w:pPr>
    <w:rPr>
      <w:rFonts w:eastAsia="Times New Roman" w:cs="Times New Roman"/>
      <w:b/>
      <w:bCs/>
    </w:rPr>
  </w:style>
  <w:style w:type="paragraph" w:styleId="BodyText">
    <w:name w:val="Body Text"/>
    <w:basedOn w:val="Normal"/>
    <w:link w:val="BodyTextChar"/>
    <w:qFormat/>
    <w:rsid w:val="005E1F4B"/>
    <w:rPr>
      <w:rFonts w:eastAsia="Times New Roman" w:cs="Times New Roman"/>
    </w:rPr>
  </w:style>
  <w:style w:type="character" w:customStyle="1" w:styleId="BodyTextChar">
    <w:name w:val="Body Text Char"/>
    <w:basedOn w:val="DefaultParagraphFont"/>
    <w:link w:val="BodyText"/>
    <w:rsid w:val="005E1F4B"/>
    <w:rPr>
      <w:rFonts w:eastAsia="Times New Roman" w:cs="Times New Roman"/>
      <w:sz w:val="20"/>
      <w:szCs w:val="20"/>
      <w:lang w:val="en-GB" w:eastAsia="zh-CN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"/>
    <w:basedOn w:val="Normal"/>
    <w:link w:val="ListParagraphChar"/>
    <w:uiPriority w:val="34"/>
    <w:qFormat/>
    <w:rsid w:val="005E1F4B"/>
    <w:pPr>
      <w:overflowPunct/>
      <w:autoSpaceDE/>
      <w:autoSpaceDN/>
      <w:adjustRightInd/>
      <w:spacing w:after="180"/>
      <w:ind w:left="720"/>
      <w:contextualSpacing/>
      <w:jc w:val="left"/>
      <w:textAlignment w:val="auto"/>
    </w:pPr>
    <w:rPr>
      <w:rFonts w:eastAsia="SimSun" w:cs="Times New Roman"/>
      <w:szCs w:val="24"/>
      <w:lang w:eastAsia="ja-JP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"/>
    <w:link w:val="ListParagraph"/>
    <w:uiPriority w:val="34"/>
    <w:qFormat/>
    <w:locked/>
    <w:rsid w:val="005E1F4B"/>
    <w:rPr>
      <w:rFonts w:eastAsia="SimSun" w:cs="Times New Roman"/>
      <w:sz w:val="20"/>
      <w:szCs w:val="24"/>
      <w:lang w:val="en-GB" w:eastAsia="ja-JP"/>
    </w:rPr>
  </w:style>
  <w:style w:type="table" w:styleId="TableGrid">
    <w:name w:val="Table Grid"/>
    <w:basedOn w:val="TableNormal"/>
    <w:uiPriority w:val="39"/>
    <w:rsid w:val="005E1F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L">
    <w:name w:val="PL"/>
    <w:link w:val="PLChar"/>
    <w:qFormat/>
    <w:rsid w:val="00D51E0E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  <w:spacing w:after="0" w:line="240" w:lineRule="auto"/>
    </w:pPr>
    <w:rPr>
      <w:rFonts w:ascii="Courier New" w:eastAsia="Batang" w:hAnsi="Courier New" w:cs="Times New Roman"/>
      <w:noProof/>
      <w:sz w:val="16"/>
      <w:szCs w:val="20"/>
      <w:lang w:val="en-GB" w:eastAsia="sv-SE"/>
    </w:rPr>
  </w:style>
  <w:style w:type="character" w:customStyle="1" w:styleId="PLChar">
    <w:name w:val="PL Char"/>
    <w:link w:val="PL"/>
    <w:qFormat/>
    <w:rsid w:val="00D51E0E"/>
    <w:rPr>
      <w:rFonts w:ascii="Courier New" w:eastAsia="Batang" w:hAnsi="Courier New" w:cs="Times New Roman"/>
      <w:noProof/>
      <w:sz w:val="16"/>
      <w:szCs w:val="20"/>
      <w:shd w:val="clear" w:color="auto" w:fill="E6E6E6"/>
      <w:lang w:val="en-GB" w:eastAsia="sv-SE"/>
    </w:rPr>
  </w:style>
  <w:style w:type="paragraph" w:styleId="TOC1">
    <w:name w:val="toc 1"/>
    <w:basedOn w:val="Normal"/>
    <w:next w:val="Normal"/>
    <w:autoRedefine/>
    <w:uiPriority w:val="39"/>
    <w:unhideWhenUsed/>
    <w:rsid w:val="007041E8"/>
    <w:pPr>
      <w:tabs>
        <w:tab w:val="left" w:pos="1540"/>
        <w:tab w:val="right" w:leader="dot" w:pos="9350"/>
      </w:tabs>
      <w:spacing w:after="100"/>
      <w:ind w:left="1530" w:hanging="1530"/>
    </w:pPr>
    <w:rPr>
      <w:rFonts w:eastAsia="Malgun Gothic" w:cstheme="minorHAnsi"/>
      <w:b/>
      <w:noProof/>
      <w:lang w:val="en-US" w:eastAsia="en-US"/>
    </w:rPr>
  </w:style>
  <w:style w:type="character" w:styleId="Hyperlink">
    <w:name w:val="Hyperlink"/>
    <w:basedOn w:val="DefaultParagraphFont"/>
    <w:uiPriority w:val="99"/>
    <w:unhideWhenUsed/>
    <w:rsid w:val="00E65ED1"/>
    <w:rPr>
      <w:color w:val="0563C1" w:themeColor="hyperlink"/>
      <w:u w:val="single"/>
    </w:rPr>
  </w:style>
  <w:style w:type="paragraph" w:customStyle="1" w:styleId="Style1">
    <w:name w:val="Style1"/>
    <w:basedOn w:val="Normal"/>
    <w:link w:val="Style1Char"/>
    <w:qFormat/>
    <w:rsid w:val="0031408C"/>
    <w:pPr>
      <w:overflowPunct/>
      <w:autoSpaceDE/>
      <w:autoSpaceDN/>
      <w:adjustRightInd/>
      <w:spacing w:after="180" w:line="288" w:lineRule="auto"/>
      <w:ind w:firstLine="360"/>
      <w:textAlignment w:val="auto"/>
    </w:pPr>
    <w:rPr>
      <w:rFonts w:ascii="Times New Roman" w:eastAsia="Malgun Gothic" w:hAnsi="Times New Roman" w:cs="Batang"/>
      <w:lang w:eastAsia="en-US"/>
    </w:rPr>
  </w:style>
  <w:style w:type="character" w:customStyle="1" w:styleId="Style1Char">
    <w:name w:val="Style1 Char"/>
    <w:link w:val="Style1"/>
    <w:rsid w:val="0031408C"/>
    <w:rPr>
      <w:rFonts w:ascii="Times New Roman" w:eastAsia="Malgun Gothic" w:hAnsi="Times New Roman" w:cs="Batang"/>
      <w:sz w:val="20"/>
      <w:szCs w:val="20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E6785D"/>
    <w:rPr>
      <w:color w:val="808080"/>
    </w:rPr>
  </w:style>
  <w:style w:type="character" w:styleId="CommentReference">
    <w:name w:val="annotation reference"/>
    <w:basedOn w:val="DefaultParagraphFont"/>
    <w:semiHidden/>
    <w:unhideWhenUsed/>
    <w:rsid w:val="001D0914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D0914"/>
    <w:pPr>
      <w:jc w:val="left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D0914"/>
    <w:rPr>
      <w:sz w:val="20"/>
      <w:szCs w:val="20"/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D091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D0914"/>
    <w:rPr>
      <w:b/>
      <w:bCs/>
      <w:sz w:val="20"/>
      <w:szCs w:val="20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D0914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0914"/>
    <w:rPr>
      <w:rFonts w:asciiTheme="majorHAnsi" w:eastAsiaTheme="majorEastAsia" w:hAnsiTheme="majorHAnsi" w:cstheme="majorBidi"/>
      <w:sz w:val="18"/>
      <w:szCs w:val="18"/>
      <w:lang w:val="en-GB" w:eastAsia="zh-CN"/>
    </w:rPr>
  </w:style>
  <w:style w:type="paragraph" w:styleId="Header">
    <w:name w:val="header"/>
    <w:basedOn w:val="Normal"/>
    <w:link w:val="HeaderChar"/>
    <w:uiPriority w:val="99"/>
    <w:unhideWhenUsed/>
    <w:rsid w:val="0063297B"/>
    <w:pPr>
      <w:tabs>
        <w:tab w:val="center" w:pos="4153"/>
        <w:tab w:val="right" w:pos="8306"/>
      </w:tabs>
      <w:snapToGrid w:val="0"/>
    </w:pPr>
  </w:style>
  <w:style w:type="character" w:customStyle="1" w:styleId="HeaderChar">
    <w:name w:val="Header Char"/>
    <w:basedOn w:val="DefaultParagraphFont"/>
    <w:link w:val="Header"/>
    <w:uiPriority w:val="99"/>
    <w:rsid w:val="0063297B"/>
    <w:rPr>
      <w:sz w:val="20"/>
      <w:szCs w:val="20"/>
      <w:lang w:val="en-GB" w:eastAsia="zh-CN"/>
    </w:rPr>
  </w:style>
  <w:style w:type="paragraph" w:styleId="Footer">
    <w:name w:val="footer"/>
    <w:basedOn w:val="Normal"/>
    <w:link w:val="FooterChar"/>
    <w:uiPriority w:val="99"/>
    <w:unhideWhenUsed/>
    <w:rsid w:val="0063297B"/>
    <w:pPr>
      <w:tabs>
        <w:tab w:val="center" w:pos="4153"/>
        <w:tab w:val="right" w:pos="8306"/>
      </w:tabs>
      <w:snapToGrid w:val="0"/>
    </w:pPr>
  </w:style>
  <w:style w:type="character" w:customStyle="1" w:styleId="FooterChar">
    <w:name w:val="Footer Char"/>
    <w:basedOn w:val="DefaultParagraphFont"/>
    <w:link w:val="Footer"/>
    <w:uiPriority w:val="99"/>
    <w:rsid w:val="0063297B"/>
    <w:rPr>
      <w:sz w:val="20"/>
      <w:szCs w:val="20"/>
      <w:lang w:val="en-GB" w:eastAsia="zh-CN"/>
    </w:rPr>
  </w:style>
  <w:style w:type="paragraph" w:customStyle="1" w:styleId="B1">
    <w:name w:val="B1"/>
    <w:basedOn w:val="Normal"/>
    <w:link w:val="B1Zchn"/>
    <w:rsid w:val="001E10F3"/>
    <w:pPr>
      <w:overflowPunct/>
      <w:autoSpaceDE/>
      <w:autoSpaceDN/>
      <w:adjustRightInd/>
      <w:spacing w:after="180"/>
      <w:ind w:left="568" w:hanging="284"/>
      <w:jc w:val="left"/>
      <w:textAlignment w:val="auto"/>
    </w:pPr>
    <w:rPr>
      <w:sz w:val="22"/>
      <w:szCs w:val="22"/>
      <w:lang w:val="x-none" w:eastAsia="en-US"/>
    </w:rPr>
  </w:style>
  <w:style w:type="character" w:customStyle="1" w:styleId="B1Zchn">
    <w:name w:val="B1 Zchn"/>
    <w:link w:val="B1"/>
    <w:locked/>
    <w:rsid w:val="001E10F3"/>
    <w:rPr>
      <w:lang w:val="x-none" w:eastAsia="en-US"/>
    </w:rPr>
  </w:style>
  <w:style w:type="paragraph" w:styleId="TOC2">
    <w:name w:val="toc 2"/>
    <w:basedOn w:val="Normal"/>
    <w:next w:val="Normal"/>
    <w:autoRedefine/>
    <w:uiPriority w:val="39"/>
    <w:unhideWhenUsed/>
    <w:rsid w:val="00395FE5"/>
    <w:pPr>
      <w:spacing w:after="100"/>
      <w:ind w:left="2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46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835967-C65B-48C1-8558-F0A23C3D8A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736</Words>
  <Characters>4200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APT</Company>
  <LinksUpToDate>false</LinksUpToDate>
  <CharactersWithSpaces>4927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wanchen.lin@fginnov.com</dc:creator>
  <cp:keywords/>
  <dc:description/>
  <cp:lastModifiedBy>Chien-Chun CHENG</cp:lastModifiedBy>
  <cp:revision>6</cp:revision>
  <dcterms:created xsi:type="dcterms:W3CDTF">2019-03-29T09:09:00Z</dcterms:created>
  <dcterms:modified xsi:type="dcterms:W3CDTF">2019-03-29T09:16:00Z</dcterms:modified>
</cp:coreProperties>
</file>