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C435C" w14:textId="6A07DC81" w:rsidR="005269DB" w:rsidRPr="00030B53" w:rsidRDefault="005269DB" w:rsidP="005269DB">
      <w:pPr>
        <w:widowControl w:val="0"/>
        <w:tabs>
          <w:tab w:val="center" w:pos="4252"/>
          <w:tab w:val="right" w:pos="8280"/>
          <w:tab w:val="right" w:pos="8504"/>
          <w:tab w:val="right" w:pos="9781"/>
        </w:tabs>
        <w:snapToGrid w:val="0"/>
        <w:spacing w:before="0" w:after="0" w:line="276" w:lineRule="auto"/>
        <w:ind w:left="1440" w:right="-58" w:hanging="1440"/>
        <w:jc w:val="left"/>
        <w:rPr>
          <w:rFonts w:ascii="Arial" w:hAnsi="Arial" w:cs="Arial"/>
          <w:b/>
          <w:bCs/>
          <w:sz w:val="24"/>
          <w:szCs w:val="24"/>
          <w:lang w:eastAsia="ko-KR"/>
        </w:rPr>
      </w:pPr>
      <w:r w:rsidRPr="00030B53">
        <w:rPr>
          <w:rFonts w:ascii="Arial" w:eastAsia="바탕" w:hAnsi="Arial" w:cs="Arial"/>
          <w:b/>
          <w:bCs/>
          <w:sz w:val="24"/>
          <w:szCs w:val="24"/>
        </w:rPr>
        <w:t>3GPP TSG RAN WG1 Meeting #96</w:t>
      </w:r>
      <w:r w:rsidR="004D2455" w:rsidRPr="00030B53">
        <w:rPr>
          <w:rFonts w:ascii="Arial" w:eastAsia="바탕" w:hAnsi="Arial" w:cs="Arial"/>
          <w:b/>
          <w:bCs/>
          <w:sz w:val="24"/>
          <w:szCs w:val="24"/>
        </w:rPr>
        <w:t>bis</w:t>
      </w:r>
      <w:r w:rsidRPr="00030B53">
        <w:rPr>
          <w:rFonts w:ascii="Arial" w:eastAsia="바탕" w:hAnsi="Arial" w:cs="Arial"/>
          <w:b/>
          <w:bCs/>
          <w:sz w:val="24"/>
          <w:szCs w:val="24"/>
        </w:rPr>
        <w:tab/>
      </w:r>
      <w:r w:rsidRPr="00030B53">
        <w:rPr>
          <w:rFonts w:ascii="Arial" w:hAnsi="Arial" w:cs="Arial"/>
          <w:b/>
          <w:bCs/>
          <w:sz w:val="24"/>
          <w:szCs w:val="24"/>
          <w:lang w:eastAsia="ja-JP"/>
        </w:rPr>
        <w:tab/>
      </w:r>
      <w:r w:rsidRPr="00030B53">
        <w:rPr>
          <w:rFonts w:ascii="Arial" w:hAnsi="Arial" w:cs="Arial"/>
          <w:b/>
          <w:bCs/>
          <w:sz w:val="24"/>
          <w:szCs w:val="24"/>
          <w:lang w:eastAsia="ja-JP"/>
        </w:rPr>
        <w:tab/>
      </w:r>
      <w:r w:rsidR="004D2455" w:rsidRPr="00030B53">
        <w:rPr>
          <w:rFonts w:ascii="Arial" w:hAnsi="Arial" w:cs="Arial"/>
          <w:b/>
          <w:bCs/>
          <w:sz w:val="24"/>
          <w:szCs w:val="24"/>
          <w:lang w:eastAsia="ja-JP"/>
        </w:rPr>
        <w:t>R1-1904608</w:t>
      </w:r>
    </w:p>
    <w:p w14:paraId="06EB9724" w14:textId="60CAA3CC" w:rsidR="000D41C4" w:rsidRPr="00030B53" w:rsidRDefault="004D2455" w:rsidP="004D2455">
      <w:pPr>
        <w:widowControl w:val="0"/>
        <w:tabs>
          <w:tab w:val="center" w:pos="4252"/>
          <w:tab w:val="right" w:pos="8504"/>
        </w:tabs>
        <w:snapToGrid w:val="0"/>
        <w:spacing w:before="0" w:after="0" w:line="276" w:lineRule="auto"/>
        <w:ind w:left="1440" w:hanging="1440"/>
        <w:jc w:val="left"/>
        <w:rPr>
          <w:rFonts w:ascii="Arial" w:eastAsia="맑은 고딕" w:hAnsi="Arial" w:cs="Arial"/>
          <w:b/>
          <w:bCs/>
          <w:sz w:val="24"/>
          <w:szCs w:val="24"/>
          <w:lang w:eastAsia="ko-KR"/>
        </w:rPr>
      </w:pPr>
      <w:r w:rsidRPr="00030B53">
        <w:rPr>
          <w:rFonts w:ascii="Arial" w:eastAsia="맑은 고딕" w:hAnsi="Arial" w:cs="Arial"/>
          <w:b/>
          <w:bCs/>
          <w:sz w:val="24"/>
          <w:szCs w:val="24"/>
          <w:lang w:eastAsia="ko-KR"/>
        </w:rPr>
        <w:t>Xi’an, China, 8th – 12th April, 2019</w:t>
      </w:r>
    </w:p>
    <w:p w14:paraId="58FAACD6" w14:textId="77777777" w:rsidR="004D2455" w:rsidRPr="004D2455" w:rsidRDefault="004D2455" w:rsidP="00634235">
      <w:pPr>
        <w:tabs>
          <w:tab w:val="left" w:pos="1985"/>
        </w:tabs>
        <w:spacing w:after="0"/>
        <w:ind w:left="0" w:firstLine="0"/>
        <w:rPr>
          <w:rFonts w:ascii="Arial" w:eastAsia="맑은 고딕" w:hAnsi="Arial"/>
          <w:b/>
          <w:sz w:val="24"/>
          <w:lang w:eastAsia="ko-KR"/>
        </w:rPr>
      </w:pPr>
      <w:bookmarkStart w:id="0" w:name="_GoBack"/>
      <w:bookmarkEnd w:id="0"/>
    </w:p>
    <w:p w14:paraId="1711F940" w14:textId="77777777" w:rsidR="00C238EE" w:rsidRPr="000F1AB4" w:rsidRDefault="003C5E2A" w:rsidP="00634235">
      <w:pPr>
        <w:tabs>
          <w:tab w:val="left" w:pos="1985"/>
        </w:tabs>
        <w:spacing w:after="0"/>
        <w:ind w:left="0" w:firstLine="0"/>
        <w:rPr>
          <w:rFonts w:ascii="Arial" w:eastAsia="바탕" w:hAnsi="Arial"/>
          <w:sz w:val="24"/>
          <w:lang w:val="en-US" w:eastAsia="ko-KR"/>
        </w:rPr>
      </w:pPr>
      <w:r w:rsidRPr="000F1AB4">
        <w:rPr>
          <w:rFonts w:ascii="Arial" w:hAnsi="Arial"/>
          <w:b/>
          <w:sz w:val="24"/>
          <w:lang w:val="en-US"/>
        </w:rPr>
        <w:t>Agenda Item:</w:t>
      </w:r>
      <w:r w:rsidRPr="000F1AB4">
        <w:rPr>
          <w:rFonts w:ascii="Arial" w:hAnsi="Arial"/>
          <w:sz w:val="24"/>
          <w:lang w:val="en-US"/>
        </w:rPr>
        <w:tab/>
      </w:r>
      <w:r w:rsidR="00A4635A" w:rsidRPr="000F1AB4">
        <w:rPr>
          <w:rFonts w:ascii="Arial" w:eastAsia="맑은 고딕" w:hAnsi="Arial"/>
          <w:sz w:val="24"/>
          <w:lang w:val="en-US" w:eastAsia="ko-KR"/>
        </w:rPr>
        <w:t>6.2.</w:t>
      </w:r>
      <w:r w:rsidR="00E8791E" w:rsidRPr="000F1AB4">
        <w:rPr>
          <w:rFonts w:ascii="Arial" w:eastAsia="맑은 고딕" w:hAnsi="Arial"/>
          <w:sz w:val="24"/>
          <w:lang w:val="en-US" w:eastAsia="ko-KR"/>
        </w:rPr>
        <w:t>1</w:t>
      </w:r>
      <w:r w:rsidR="00A4635A" w:rsidRPr="000F1AB4">
        <w:rPr>
          <w:rFonts w:ascii="Arial" w:eastAsia="맑은 고딕" w:hAnsi="Arial"/>
          <w:sz w:val="24"/>
          <w:lang w:val="en-US" w:eastAsia="ko-KR"/>
        </w:rPr>
        <w:t>.</w:t>
      </w:r>
      <w:r w:rsidR="00D5478D" w:rsidRPr="000F1AB4">
        <w:rPr>
          <w:rFonts w:ascii="Arial" w:eastAsia="맑은 고딕" w:hAnsi="Arial"/>
          <w:sz w:val="24"/>
          <w:lang w:val="en-US" w:eastAsia="ko-KR"/>
        </w:rPr>
        <w:t>4</w:t>
      </w:r>
    </w:p>
    <w:p w14:paraId="2793D66E" w14:textId="77777777" w:rsidR="003C5E2A" w:rsidRPr="000F1AB4" w:rsidRDefault="003C5E2A" w:rsidP="00634235">
      <w:pPr>
        <w:tabs>
          <w:tab w:val="left" w:pos="1985"/>
        </w:tabs>
        <w:spacing w:after="0"/>
        <w:ind w:left="0" w:firstLine="0"/>
        <w:rPr>
          <w:rFonts w:ascii="Arial" w:eastAsia="바탕" w:hAnsi="Arial"/>
          <w:sz w:val="24"/>
          <w:lang w:eastAsia="ko-KR"/>
        </w:rPr>
      </w:pPr>
      <w:r w:rsidRPr="000F1AB4">
        <w:rPr>
          <w:rFonts w:ascii="Arial" w:hAnsi="Arial"/>
          <w:b/>
          <w:sz w:val="24"/>
        </w:rPr>
        <w:t xml:space="preserve">Source: </w:t>
      </w:r>
      <w:r w:rsidRPr="000F1AB4">
        <w:rPr>
          <w:rFonts w:ascii="Arial" w:hAnsi="Arial"/>
          <w:b/>
          <w:sz w:val="24"/>
        </w:rPr>
        <w:tab/>
      </w:r>
      <w:r w:rsidRPr="000F1AB4">
        <w:rPr>
          <w:rFonts w:ascii="Arial" w:eastAsia="바탕" w:hAnsi="Arial" w:hint="eastAsia"/>
          <w:sz w:val="24"/>
          <w:lang w:eastAsia="ko-KR"/>
        </w:rPr>
        <w:t>LG Electronics</w:t>
      </w:r>
    </w:p>
    <w:p w14:paraId="6D960D0E" w14:textId="77777777" w:rsidR="003C5E2A" w:rsidRPr="000F1AB4" w:rsidRDefault="003C5E2A" w:rsidP="00634235">
      <w:pPr>
        <w:tabs>
          <w:tab w:val="left" w:pos="1985"/>
        </w:tabs>
        <w:spacing w:after="0"/>
        <w:ind w:left="0" w:firstLine="0"/>
        <w:rPr>
          <w:rFonts w:ascii="Arial" w:eastAsia="바탕" w:hAnsi="Arial" w:cs="Arial"/>
          <w:sz w:val="24"/>
          <w:szCs w:val="24"/>
          <w:lang w:eastAsia="ko-KR"/>
        </w:rPr>
      </w:pPr>
      <w:r w:rsidRPr="000F1AB4">
        <w:rPr>
          <w:rFonts w:ascii="Arial" w:hAnsi="Arial"/>
          <w:b/>
          <w:sz w:val="24"/>
        </w:rPr>
        <w:t>Title:</w:t>
      </w:r>
      <w:r w:rsidRPr="000F1AB4">
        <w:rPr>
          <w:rFonts w:ascii="Arial" w:hAnsi="Arial"/>
          <w:sz w:val="24"/>
        </w:rPr>
        <w:t xml:space="preserve"> </w:t>
      </w:r>
      <w:r w:rsidRPr="000F1AB4">
        <w:rPr>
          <w:rFonts w:ascii="Arial" w:hAnsi="Arial"/>
          <w:sz w:val="24"/>
        </w:rPr>
        <w:tab/>
      </w:r>
      <w:r w:rsidR="00A4414E" w:rsidRPr="00A4414E">
        <w:rPr>
          <w:rFonts w:ascii="Arial" w:hAnsi="Arial"/>
          <w:sz w:val="24"/>
        </w:rPr>
        <w:t>Discussion on coexistence of LTE-MTC with NR</w:t>
      </w:r>
    </w:p>
    <w:p w14:paraId="307FBCC9" w14:textId="77777777" w:rsidR="00152C02" w:rsidRPr="000F1AB4" w:rsidRDefault="003C5E2A" w:rsidP="00634235">
      <w:pPr>
        <w:pBdr>
          <w:bottom w:val="single" w:sz="12" w:space="1" w:color="auto"/>
        </w:pBdr>
        <w:tabs>
          <w:tab w:val="left" w:pos="1985"/>
        </w:tabs>
        <w:ind w:left="0" w:firstLine="0"/>
        <w:rPr>
          <w:rFonts w:ascii="Arial" w:eastAsia="바탕" w:hAnsi="Arial"/>
          <w:sz w:val="24"/>
          <w:lang w:eastAsia="ko-KR"/>
        </w:rPr>
      </w:pPr>
      <w:r w:rsidRPr="000F1AB4">
        <w:rPr>
          <w:rFonts w:ascii="Arial" w:hAnsi="Arial"/>
          <w:b/>
          <w:sz w:val="24"/>
        </w:rPr>
        <w:t>Document for:</w:t>
      </w:r>
      <w:r w:rsidRPr="000F1AB4">
        <w:rPr>
          <w:rFonts w:ascii="Arial" w:hAnsi="Arial"/>
          <w:sz w:val="24"/>
        </w:rPr>
        <w:tab/>
      </w:r>
      <w:r w:rsidRPr="000F1AB4">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0F1AB4">
        <w:rPr>
          <w:rFonts w:ascii="Arial" w:eastAsia="바탕" w:hAnsi="Arial" w:hint="eastAsia"/>
          <w:sz w:val="24"/>
          <w:lang w:eastAsia="ko-KR"/>
        </w:rPr>
        <w:t xml:space="preserve"> </w:t>
      </w:r>
      <w:r w:rsidR="00384FAF" w:rsidRPr="000F1AB4">
        <w:rPr>
          <w:rFonts w:ascii="Arial" w:eastAsia="바탕" w:hAnsi="Arial" w:hint="eastAsia"/>
          <w:sz w:val="24"/>
          <w:lang w:eastAsia="ko-KR"/>
        </w:rPr>
        <w:t>and</w:t>
      </w:r>
      <w:r w:rsidR="00963DEA" w:rsidRPr="000F1AB4">
        <w:rPr>
          <w:rFonts w:ascii="Arial" w:eastAsia="바탕" w:hAnsi="Arial" w:hint="eastAsia"/>
          <w:sz w:val="24"/>
          <w:lang w:eastAsia="ko-KR"/>
        </w:rPr>
        <w:t xml:space="preserve"> </w:t>
      </w:r>
      <w:r w:rsidR="003B4252" w:rsidRPr="000F1AB4">
        <w:rPr>
          <w:rFonts w:ascii="Arial" w:eastAsia="바탕" w:hAnsi="Arial" w:hint="eastAsia"/>
          <w:sz w:val="24"/>
          <w:lang w:eastAsia="ko-KR"/>
        </w:rPr>
        <w:t>d</w:t>
      </w:r>
      <w:r w:rsidR="00963DEA" w:rsidRPr="000F1AB4">
        <w:rPr>
          <w:rFonts w:ascii="Arial" w:eastAsia="바탕" w:hAnsi="Arial" w:hint="eastAsia"/>
          <w:sz w:val="24"/>
          <w:lang w:eastAsia="ko-KR"/>
        </w:rPr>
        <w:t>ecision</w:t>
      </w:r>
    </w:p>
    <w:p w14:paraId="2F7A37AC" w14:textId="77777777" w:rsidR="00095BF5" w:rsidRPr="000F1AB4" w:rsidRDefault="00095BF5" w:rsidP="00B17C0C">
      <w:pPr>
        <w:pStyle w:val="1"/>
        <w:numPr>
          <w:ilvl w:val="0"/>
          <w:numId w:val="1"/>
        </w:numPr>
        <w:rPr>
          <w:rFonts w:eastAsia="바탕"/>
          <w:b/>
          <w:lang w:eastAsia="ko-KR"/>
        </w:rPr>
      </w:pPr>
      <w:r w:rsidRPr="000F1AB4">
        <w:rPr>
          <w:rFonts w:eastAsia="바탕" w:hint="eastAsia"/>
          <w:b/>
          <w:lang w:eastAsia="ko-KR"/>
        </w:rPr>
        <w:t>Introduction</w:t>
      </w:r>
    </w:p>
    <w:p w14:paraId="7EB6945A" w14:textId="77777777" w:rsidR="00B35D34" w:rsidRDefault="00B35D34" w:rsidP="005F4B96">
      <w:pPr>
        <w:spacing w:before="120" w:after="120" w:line="240" w:lineRule="auto"/>
        <w:ind w:left="0" w:firstLineChars="129" w:firstLine="284"/>
        <w:rPr>
          <w:rFonts w:eastAsia="맑은 고딕"/>
          <w:kern w:val="2"/>
          <w:sz w:val="22"/>
          <w:szCs w:val="22"/>
          <w:lang w:val="en-US" w:eastAsia="ko-KR"/>
        </w:rPr>
      </w:pPr>
      <w:r>
        <w:rPr>
          <w:rFonts w:eastAsia="맑은 고딕" w:hint="eastAsia"/>
          <w:kern w:val="2"/>
          <w:sz w:val="22"/>
          <w:szCs w:val="22"/>
          <w:lang w:val="en-US" w:eastAsia="ko-KR"/>
        </w:rPr>
        <w:t xml:space="preserve">In the previous RAN1 </w:t>
      </w:r>
      <w:r>
        <w:rPr>
          <w:rFonts w:eastAsia="맑은 고딕"/>
          <w:kern w:val="2"/>
          <w:sz w:val="22"/>
          <w:szCs w:val="22"/>
          <w:lang w:val="en-US" w:eastAsia="ko-KR"/>
        </w:rPr>
        <w:t xml:space="preserve">#96 </w:t>
      </w:r>
      <w:r>
        <w:rPr>
          <w:rFonts w:eastAsia="맑은 고딕" w:hint="eastAsia"/>
          <w:kern w:val="2"/>
          <w:sz w:val="22"/>
          <w:szCs w:val="22"/>
          <w:lang w:val="en-US" w:eastAsia="ko-KR"/>
        </w:rPr>
        <w:t xml:space="preserve">meeting, </w:t>
      </w:r>
      <w:r>
        <w:rPr>
          <w:rFonts w:eastAsia="맑은 고딕"/>
          <w:kern w:val="2"/>
          <w:sz w:val="22"/>
          <w:szCs w:val="22"/>
          <w:lang w:val="en-US" w:eastAsia="ko-KR"/>
        </w:rPr>
        <w:t>the following sub-topics were listed by RAN1 for further study.</w:t>
      </w:r>
    </w:p>
    <w:p w14:paraId="3D663CDA" w14:textId="77777777" w:rsidR="00B35D34" w:rsidRPr="00857170" w:rsidRDefault="00B35D34" w:rsidP="00B35D34">
      <w:pPr>
        <w:pStyle w:val="a7"/>
        <w:spacing w:after="0"/>
        <w:ind w:leftChars="183" w:left="650"/>
        <w:jc w:val="left"/>
        <w:rPr>
          <w:b/>
          <w:i/>
          <w:szCs w:val="20"/>
        </w:rPr>
      </w:pPr>
      <w:r w:rsidRPr="00857170">
        <w:rPr>
          <w:b/>
          <w:i/>
          <w:szCs w:val="20"/>
        </w:rPr>
        <w:t>For further study in future meetings:</w:t>
      </w:r>
    </w:p>
    <w:p w14:paraId="1639504A" w14:textId="77777777" w:rsidR="00B35D34" w:rsidRPr="0078002B" w:rsidRDefault="00B35D34" w:rsidP="00B35D34">
      <w:pPr>
        <w:pStyle w:val="a7"/>
        <w:numPr>
          <w:ilvl w:val="0"/>
          <w:numId w:val="44"/>
        </w:numPr>
        <w:spacing w:before="0" w:after="0" w:line="240" w:lineRule="auto"/>
        <w:jc w:val="left"/>
        <w:rPr>
          <w:szCs w:val="20"/>
        </w:rPr>
      </w:pPr>
      <w:r w:rsidRPr="0078002B">
        <w:rPr>
          <w:szCs w:val="20"/>
        </w:rPr>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2FC9D93C" w14:textId="77777777" w:rsidR="00B35D34" w:rsidRPr="0078002B" w:rsidRDefault="00B35D34" w:rsidP="00B35D34">
      <w:pPr>
        <w:pStyle w:val="a7"/>
        <w:numPr>
          <w:ilvl w:val="0"/>
          <w:numId w:val="44"/>
        </w:numPr>
        <w:spacing w:before="0" w:after="0" w:line="240" w:lineRule="auto"/>
        <w:jc w:val="left"/>
        <w:rPr>
          <w:szCs w:val="20"/>
        </w:rPr>
      </w:pPr>
      <w:r w:rsidRPr="0078002B">
        <w:rPr>
          <w:szCs w:val="20"/>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6D9FAF08" w14:textId="77777777" w:rsidR="00B35D34" w:rsidRPr="008067DB" w:rsidRDefault="00B35D34" w:rsidP="00B35D34">
      <w:pPr>
        <w:pStyle w:val="a7"/>
        <w:numPr>
          <w:ilvl w:val="1"/>
          <w:numId w:val="44"/>
        </w:numPr>
        <w:spacing w:before="0" w:after="0" w:line="240" w:lineRule="auto"/>
        <w:jc w:val="left"/>
      </w:pPr>
      <w:r w:rsidRPr="008067DB">
        <w:t>How to minimize the number of outlying LTE-MTC subcarriers</w:t>
      </w:r>
    </w:p>
    <w:p w14:paraId="220AB6C0" w14:textId="77777777" w:rsidR="00B35D34" w:rsidRPr="008067DB" w:rsidRDefault="00B35D34" w:rsidP="00B35D34">
      <w:pPr>
        <w:pStyle w:val="a7"/>
        <w:numPr>
          <w:ilvl w:val="1"/>
          <w:numId w:val="44"/>
        </w:numPr>
        <w:spacing w:before="0" w:after="0" w:line="240" w:lineRule="auto"/>
        <w:jc w:val="left"/>
      </w:pPr>
      <w:r w:rsidRPr="008067DB">
        <w:t xml:space="preserve">To what extent the LTE-MTC UE needs to be aware </w:t>
      </w:r>
      <w:r>
        <w:t>subcar</w:t>
      </w:r>
      <w:r w:rsidR="00C74F72">
        <w:t>riers not used for transmission</w:t>
      </w:r>
    </w:p>
    <w:p w14:paraId="1011AC82" w14:textId="77777777" w:rsidR="00B35D34" w:rsidRPr="008067DB" w:rsidRDefault="00B35D34" w:rsidP="00B35D34">
      <w:pPr>
        <w:pStyle w:val="a7"/>
        <w:numPr>
          <w:ilvl w:val="1"/>
          <w:numId w:val="44"/>
        </w:numPr>
        <w:spacing w:before="0" w:after="0" w:line="240" w:lineRule="auto"/>
        <w:jc w:val="left"/>
      </w:pPr>
      <w:r w:rsidRPr="008067DB">
        <w:t>Performance impacts of the LTE-MTC subcarrier puncturing</w:t>
      </w:r>
    </w:p>
    <w:p w14:paraId="1113B904" w14:textId="77777777" w:rsidR="00B35D34" w:rsidRPr="008067DB" w:rsidRDefault="00B35D34" w:rsidP="00B35D34">
      <w:pPr>
        <w:pStyle w:val="a7"/>
        <w:numPr>
          <w:ilvl w:val="1"/>
          <w:numId w:val="44"/>
        </w:numPr>
        <w:spacing w:before="0" w:after="0" w:line="240" w:lineRule="auto"/>
        <w:jc w:val="left"/>
      </w:pPr>
      <w:r w:rsidRPr="008067DB">
        <w:t>Some of the methods may only apply for downlink</w:t>
      </w:r>
    </w:p>
    <w:p w14:paraId="3CAD945D" w14:textId="77777777" w:rsidR="00B35D34" w:rsidRPr="008067DB" w:rsidRDefault="00B35D34" w:rsidP="00B35D34">
      <w:pPr>
        <w:pStyle w:val="a7"/>
        <w:numPr>
          <w:ilvl w:val="0"/>
          <w:numId w:val="44"/>
        </w:numPr>
        <w:spacing w:before="0" w:after="0" w:line="240" w:lineRule="auto"/>
        <w:jc w:val="left"/>
      </w:pPr>
      <w:r w:rsidRPr="008067DB">
        <w:t>RAN1 studies whether to support configurable RB shift for LTE-MTC in some cases (e.g. stand-alone/in-band, FDD/TDD, DL/UL).</w:t>
      </w:r>
    </w:p>
    <w:p w14:paraId="6A217951" w14:textId="77777777" w:rsidR="00B35D34" w:rsidRPr="00437EA3" w:rsidRDefault="00B35D34" w:rsidP="00B35D34">
      <w:pPr>
        <w:pStyle w:val="a7"/>
        <w:numPr>
          <w:ilvl w:val="0"/>
          <w:numId w:val="44"/>
        </w:numPr>
        <w:spacing w:before="0" w:after="0" w:line="240" w:lineRule="auto"/>
        <w:jc w:val="left"/>
        <w:rPr>
          <w:szCs w:val="20"/>
        </w:rPr>
      </w:pPr>
      <w:r w:rsidRPr="00437EA3">
        <w:rPr>
          <w:szCs w:val="20"/>
        </w:rPr>
        <w:t>RAN1 continues to study semi-static LTE-MTC resource reservation for improved coexistence with NR SSB, NR CORESET, NR CSI-RS, and NR TRS.</w:t>
      </w:r>
    </w:p>
    <w:p w14:paraId="213807D9" w14:textId="77777777" w:rsidR="00B35D34" w:rsidRPr="00437EA3" w:rsidRDefault="00B35D34" w:rsidP="00B35D34">
      <w:pPr>
        <w:pStyle w:val="a7"/>
        <w:numPr>
          <w:ilvl w:val="0"/>
          <w:numId w:val="44"/>
        </w:numPr>
        <w:spacing w:before="0" w:after="0" w:line="240" w:lineRule="auto"/>
        <w:jc w:val="left"/>
        <w:rPr>
          <w:szCs w:val="20"/>
        </w:rPr>
      </w:pPr>
      <w:r w:rsidRPr="00437EA3">
        <w:rPr>
          <w:szCs w:val="20"/>
        </w:rPr>
        <w:t>RAN1 continues to study both semi-static and dynamic LTE-MTC resource reservation for improved coexistence with other NR transmissions than NR SSB, NR CORESET, NR CSI-RS, and NR TRS.</w:t>
      </w:r>
    </w:p>
    <w:p w14:paraId="7D91C720" w14:textId="77777777" w:rsidR="00B35D34" w:rsidRPr="00437EA3" w:rsidRDefault="00B35D34" w:rsidP="00B35D34">
      <w:pPr>
        <w:pStyle w:val="a7"/>
        <w:numPr>
          <w:ilvl w:val="0"/>
          <w:numId w:val="44"/>
        </w:numPr>
        <w:spacing w:before="0" w:after="0" w:line="240" w:lineRule="auto"/>
        <w:jc w:val="left"/>
        <w:rPr>
          <w:szCs w:val="20"/>
        </w:rPr>
      </w:pPr>
      <w:r w:rsidRPr="00437EA3">
        <w:rPr>
          <w:szCs w:val="20"/>
        </w:rPr>
        <w:t>RAN1 continues to study how to handle potential collision between LTE-MTC transmissions and NR URLLC related transmissions.</w:t>
      </w:r>
    </w:p>
    <w:p w14:paraId="5C9118C6" w14:textId="77777777" w:rsidR="00B35D34" w:rsidRPr="00764EA3" w:rsidRDefault="00B35D34" w:rsidP="00B35D34">
      <w:pPr>
        <w:pStyle w:val="a7"/>
        <w:numPr>
          <w:ilvl w:val="0"/>
          <w:numId w:val="44"/>
        </w:numPr>
        <w:spacing w:before="0" w:after="0" w:line="240" w:lineRule="auto"/>
        <w:jc w:val="left"/>
        <w:rPr>
          <w:szCs w:val="20"/>
        </w:rPr>
      </w:pPr>
      <w:r w:rsidRPr="00764EA3">
        <w:rPr>
          <w:szCs w:val="20"/>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45705166" w14:textId="77777777" w:rsidR="0078002B" w:rsidRDefault="00C74F72" w:rsidP="005F4B96">
      <w:pPr>
        <w:spacing w:before="120" w:after="120" w:line="240" w:lineRule="auto"/>
        <w:ind w:left="0" w:firstLineChars="129" w:firstLine="284"/>
        <w:rPr>
          <w:rFonts w:eastAsia="맑은 고딕"/>
          <w:kern w:val="2"/>
          <w:sz w:val="22"/>
          <w:szCs w:val="22"/>
          <w:lang w:val="en-US" w:eastAsia="ko-KR"/>
        </w:rPr>
      </w:pPr>
      <w:r>
        <w:rPr>
          <w:rFonts w:eastAsia="맑은 고딕" w:hint="eastAsia"/>
          <w:kern w:val="2"/>
          <w:sz w:val="22"/>
          <w:szCs w:val="22"/>
          <w:lang w:val="x-none" w:eastAsia="ko-KR"/>
        </w:rPr>
        <w:t xml:space="preserve">Besides, </w:t>
      </w:r>
      <w:r w:rsidR="00857170">
        <w:rPr>
          <w:rFonts w:eastAsia="맑은 고딕"/>
          <w:kern w:val="2"/>
          <w:sz w:val="22"/>
          <w:szCs w:val="22"/>
          <w:lang w:val="en-US" w:eastAsia="ko-KR"/>
        </w:rPr>
        <w:t>RAN1 made the following conclusion</w:t>
      </w:r>
      <w:r w:rsidR="00863B4C">
        <w:rPr>
          <w:rFonts w:eastAsia="맑은 고딕"/>
          <w:kern w:val="2"/>
          <w:sz w:val="22"/>
          <w:szCs w:val="22"/>
          <w:lang w:val="en-US" w:eastAsia="ko-KR"/>
        </w:rPr>
        <w:t xml:space="preserve"> in order to </w:t>
      </w:r>
      <w:r w:rsidR="00FE338D">
        <w:rPr>
          <w:rFonts w:eastAsia="맑은 고딕"/>
          <w:kern w:val="2"/>
          <w:sz w:val="22"/>
          <w:szCs w:val="22"/>
          <w:lang w:val="en-US" w:eastAsia="ko-KR"/>
        </w:rPr>
        <w:t>ensure the sustainability of LTE-M</w:t>
      </w:r>
      <w:r w:rsidR="00E74A5E">
        <w:rPr>
          <w:rFonts w:eastAsia="맑은 고딕"/>
          <w:kern w:val="2"/>
          <w:sz w:val="22"/>
          <w:szCs w:val="22"/>
          <w:lang w:val="en-US" w:eastAsia="ko-KR"/>
        </w:rPr>
        <w:t>TC</w:t>
      </w:r>
      <w:r w:rsidR="00FE338D">
        <w:rPr>
          <w:rFonts w:eastAsia="맑은 고딕"/>
          <w:kern w:val="2"/>
          <w:sz w:val="22"/>
          <w:szCs w:val="22"/>
          <w:lang w:val="en-US" w:eastAsia="ko-KR"/>
        </w:rPr>
        <w:t xml:space="preserve"> based businesses.</w:t>
      </w:r>
    </w:p>
    <w:p w14:paraId="00EF9E5C" w14:textId="77777777" w:rsidR="00857170" w:rsidRPr="0078002B" w:rsidRDefault="00857170" w:rsidP="00857170">
      <w:pPr>
        <w:pStyle w:val="a7"/>
        <w:spacing w:after="0"/>
        <w:ind w:leftChars="183" w:left="650"/>
        <w:jc w:val="left"/>
        <w:rPr>
          <w:b/>
          <w:i/>
          <w:szCs w:val="20"/>
        </w:rPr>
      </w:pPr>
      <w:r w:rsidRPr="0078002B">
        <w:rPr>
          <w:b/>
          <w:i/>
          <w:szCs w:val="20"/>
        </w:rPr>
        <w:t>Conclusion</w:t>
      </w:r>
    </w:p>
    <w:p w14:paraId="039ADCE8" w14:textId="77777777" w:rsidR="00857170" w:rsidRPr="0078002B" w:rsidRDefault="00857170" w:rsidP="00857170">
      <w:pPr>
        <w:pStyle w:val="a7"/>
        <w:numPr>
          <w:ilvl w:val="0"/>
          <w:numId w:val="44"/>
        </w:numPr>
        <w:spacing w:before="0" w:after="0" w:line="240" w:lineRule="auto"/>
        <w:jc w:val="left"/>
        <w:rPr>
          <w:szCs w:val="20"/>
        </w:rPr>
      </w:pPr>
      <w:r w:rsidRPr="00764EA3">
        <w:rPr>
          <w:szCs w:val="20"/>
        </w:rPr>
        <w:t>Non-backwards-compatible approaches for reduced CRS overhead or reduced impact from frequency hopping is not supported in Rel-16.</w:t>
      </w:r>
    </w:p>
    <w:p w14:paraId="67196D92" w14:textId="77777777" w:rsidR="00857170" w:rsidRDefault="00857170" w:rsidP="005F4B96">
      <w:pPr>
        <w:spacing w:before="120" w:after="120" w:line="240" w:lineRule="auto"/>
        <w:ind w:left="0" w:firstLineChars="129" w:firstLine="284"/>
        <w:rPr>
          <w:rFonts w:eastAsia="맑은 고딕"/>
          <w:kern w:val="2"/>
          <w:sz w:val="22"/>
          <w:szCs w:val="22"/>
          <w:lang w:val="x-none" w:eastAsia="ko-KR"/>
        </w:rPr>
      </w:pPr>
    </w:p>
    <w:p w14:paraId="558D75B4" w14:textId="77777777" w:rsidR="00C74F72" w:rsidRDefault="00782F4C" w:rsidP="001B0A0E">
      <w:pPr>
        <w:spacing w:before="120" w:after="120" w:line="240" w:lineRule="auto"/>
        <w:ind w:left="0" w:firstLineChars="129" w:firstLine="284"/>
        <w:rPr>
          <w:rFonts w:eastAsia="맑은 고딕"/>
          <w:kern w:val="2"/>
          <w:sz w:val="22"/>
          <w:szCs w:val="22"/>
          <w:lang w:val="en-US" w:eastAsia="ko-KR"/>
        </w:rPr>
      </w:pPr>
      <w:r w:rsidRPr="000F1AB4">
        <w:rPr>
          <w:rFonts w:eastAsia="맑은 고딕" w:hint="eastAsia"/>
          <w:kern w:val="2"/>
          <w:sz w:val="22"/>
          <w:szCs w:val="22"/>
          <w:lang w:val="en-US" w:eastAsia="ko-KR"/>
        </w:rPr>
        <w:t xml:space="preserve">In this contribution, </w:t>
      </w:r>
      <w:r w:rsidR="003C032C">
        <w:rPr>
          <w:rFonts w:eastAsia="맑은 고딕"/>
          <w:kern w:val="2"/>
          <w:sz w:val="22"/>
          <w:szCs w:val="22"/>
          <w:lang w:val="en-US" w:eastAsia="ko-KR"/>
        </w:rPr>
        <w:t>we discuss which sub-topic(s) are should be prioritized over the others, and share our views on the prioritized sub-topic.</w:t>
      </w:r>
    </w:p>
    <w:p w14:paraId="2EE9580D" w14:textId="77777777" w:rsidR="007145AE" w:rsidRPr="000F1AB4" w:rsidRDefault="00E05CAA" w:rsidP="007145AE">
      <w:pPr>
        <w:pStyle w:val="1"/>
        <w:numPr>
          <w:ilvl w:val="0"/>
          <w:numId w:val="1"/>
        </w:numPr>
        <w:rPr>
          <w:rFonts w:eastAsia="바탕"/>
          <w:b/>
          <w:lang w:eastAsia="ko-KR"/>
        </w:rPr>
      </w:pPr>
      <w:r w:rsidRPr="000F1AB4">
        <w:rPr>
          <w:rFonts w:eastAsia="바탕" w:hint="eastAsia"/>
          <w:b/>
          <w:lang w:eastAsia="ko-KR"/>
        </w:rPr>
        <w:t>Discussion</w:t>
      </w:r>
    </w:p>
    <w:p w14:paraId="48E3C682" w14:textId="77777777" w:rsidR="003C032C" w:rsidRDefault="00731191" w:rsidP="001B0A0E">
      <w:pPr>
        <w:spacing w:before="120" w:after="120" w:line="240" w:lineRule="auto"/>
        <w:ind w:left="0" w:firstLineChars="129" w:firstLine="284"/>
        <w:rPr>
          <w:rFonts w:eastAsia="맑은 고딕"/>
          <w:kern w:val="2"/>
          <w:sz w:val="22"/>
          <w:szCs w:val="22"/>
          <w:lang w:val="en-US" w:eastAsia="ko-KR"/>
        </w:rPr>
      </w:pPr>
      <w:r>
        <w:rPr>
          <w:rFonts w:eastAsia="맑은 고딕" w:hint="eastAsia"/>
          <w:kern w:val="2"/>
          <w:sz w:val="22"/>
          <w:szCs w:val="22"/>
          <w:lang w:val="en-US" w:eastAsia="ko-KR"/>
        </w:rPr>
        <w:t xml:space="preserve">Sub-topics listed in the previous meeting for further study can be </w:t>
      </w:r>
      <w:r>
        <w:rPr>
          <w:rFonts w:eastAsia="맑은 고딕"/>
          <w:kern w:val="2"/>
          <w:sz w:val="22"/>
          <w:szCs w:val="22"/>
          <w:lang w:val="en-US" w:eastAsia="ko-KR"/>
        </w:rPr>
        <w:t>grouped as follows according to whether they may have potential impacts on other working groups’ work, mainly RAN4, and whether they are expected to bring a lot of specification works</w:t>
      </w:r>
      <w:r w:rsidR="0002286B">
        <w:rPr>
          <w:rFonts w:eastAsia="맑은 고딕"/>
          <w:kern w:val="2"/>
          <w:sz w:val="22"/>
          <w:szCs w:val="22"/>
          <w:lang w:val="en-US" w:eastAsia="ko-KR"/>
        </w:rPr>
        <w:t>.</w:t>
      </w:r>
    </w:p>
    <w:p w14:paraId="6543569F" w14:textId="77777777" w:rsidR="00731191" w:rsidRPr="007B24DB" w:rsidRDefault="003B7707" w:rsidP="007B24DB">
      <w:pPr>
        <w:pStyle w:val="ac"/>
        <w:numPr>
          <w:ilvl w:val="0"/>
          <w:numId w:val="45"/>
        </w:numPr>
        <w:spacing w:before="120" w:after="12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S</w:t>
      </w:r>
      <w:r w:rsidR="007B24DB" w:rsidRPr="007B24DB">
        <w:rPr>
          <w:rFonts w:ascii="Times New Roman" w:eastAsia="맑은 고딕" w:hAnsi="Times New Roman"/>
          <w:kern w:val="2"/>
          <w:sz w:val="22"/>
          <w:szCs w:val="22"/>
          <w:lang w:val="en-US" w:eastAsia="ko-KR"/>
        </w:rPr>
        <w:t xml:space="preserve">ub-topics </w:t>
      </w:r>
      <w:r>
        <w:rPr>
          <w:rFonts w:ascii="Times New Roman" w:eastAsia="맑은 고딕" w:hAnsi="Times New Roman"/>
          <w:kern w:val="2"/>
          <w:sz w:val="22"/>
          <w:szCs w:val="22"/>
          <w:lang w:val="en-US" w:eastAsia="ko-KR"/>
        </w:rPr>
        <w:t xml:space="preserve">that </w:t>
      </w:r>
      <w:r w:rsidR="007B24DB" w:rsidRPr="007B24DB">
        <w:rPr>
          <w:rFonts w:ascii="Times New Roman" w:eastAsia="맑은 고딕" w:hAnsi="Times New Roman"/>
          <w:kern w:val="2"/>
          <w:sz w:val="22"/>
          <w:szCs w:val="22"/>
          <w:lang w:val="en-US" w:eastAsia="ko-KR"/>
        </w:rPr>
        <w:t xml:space="preserve">may have potential impacts on RAN4 or </w:t>
      </w:r>
      <w:r>
        <w:rPr>
          <w:rFonts w:ascii="Times New Roman" w:eastAsia="맑은 고딕" w:hAnsi="Times New Roman"/>
          <w:kern w:val="2"/>
          <w:sz w:val="22"/>
          <w:szCs w:val="22"/>
          <w:lang w:val="en-US" w:eastAsia="ko-KR"/>
        </w:rPr>
        <w:t xml:space="preserve">on which </w:t>
      </w:r>
      <w:r w:rsidR="007B24DB" w:rsidRPr="007B24DB">
        <w:rPr>
          <w:rFonts w:ascii="Times New Roman" w:eastAsia="맑은 고딕" w:hAnsi="Times New Roman"/>
          <w:kern w:val="2"/>
          <w:sz w:val="22"/>
          <w:szCs w:val="22"/>
          <w:lang w:val="en-US" w:eastAsia="ko-KR"/>
        </w:rPr>
        <w:t>RAN4 investigation may have to be preceded before RAN1 discussion</w:t>
      </w:r>
    </w:p>
    <w:p w14:paraId="635EF317" w14:textId="77777777" w:rsidR="007B24DB" w:rsidRPr="0078002B" w:rsidRDefault="007B24DB" w:rsidP="007B24DB">
      <w:pPr>
        <w:pStyle w:val="a7"/>
        <w:numPr>
          <w:ilvl w:val="1"/>
          <w:numId w:val="46"/>
        </w:numPr>
        <w:spacing w:before="0" w:after="0" w:line="240" w:lineRule="auto"/>
        <w:jc w:val="left"/>
        <w:rPr>
          <w:szCs w:val="20"/>
        </w:rPr>
      </w:pPr>
      <w:r w:rsidRPr="0078002B">
        <w:rPr>
          <w:szCs w:val="20"/>
        </w:rPr>
        <w:t xml:space="preserve">RAN1 continues to consider </w:t>
      </w:r>
      <w:r w:rsidRPr="0002286B">
        <w:rPr>
          <w:szCs w:val="20"/>
          <w:highlight w:val="yellow"/>
        </w:rPr>
        <w:t>all combinations of LTE-MTC system bandwidths and NR system bandwidths</w:t>
      </w:r>
      <w:r w:rsidRPr="0078002B">
        <w:rPr>
          <w:szCs w:val="20"/>
        </w:rPr>
        <w:t xml:space="preserve"> when discussing potential co-existence performance improvements, including the combinations considered particularly challenging (e.g. the cases with </w:t>
      </w:r>
      <w:r w:rsidRPr="0002286B">
        <w:rPr>
          <w:szCs w:val="20"/>
          <w:highlight w:val="yellow"/>
        </w:rPr>
        <w:t>5 MHz NR system bandwidth</w:t>
      </w:r>
      <w:r w:rsidRPr="0078002B">
        <w:rPr>
          <w:szCs w:val="20"/>
        </w:rPr>
        <w:t>).</w:t>
      </w:r>
    </w:p>
    <w:p w14:paraId="4CA0B7AF" w14:textId="77777777" w:rsidR="007B24DB" w:rsidRPr="0078002B" w:rsidRDefault="007B24DB" w:rsidP="007B24DB">
      <w:pPr>
        <w:pStyle w:val="a7"/>
        <w:numPr>
          <w:ilvl w:val="1"/>
          <w:numId w:val="46"/>
        </w:numPr>
        <w:spacing w:before="0" w:after="0" w:line="240" w:lineRule="auto"/>
        <w:jc w:val="left"/>
        <w:rPr>
          <w:szCs w:val="20"/>
        </w:rPr>
      </w:pPr>
      <w:r w:rsidRPr="0078002B">
        <w:rPr>
          <w:szCs w:val="20"/>
        </w:rPr>
        <w:t xml:space="preserve">RAN1 continues to study e.g. the following aspects of </w:t>
      </w:r>
      <w:r w:rsidRPr="00386D04">
        <w:rPr>
          <w:strike/>
          <w:color w:val="FF0000"/>
          <w:szCs w:val="20"/>
        </w:rPr>
        <w:t>puncturing and/or rate-matching and/or</w:t>
      </w:r>
      <w:r w:rsidRPr="00386D04">
        <w:rPr>
          <w:color w:val="FF0000"/>
          <w:szCs w:val="20"/>
        </w:rPr>
        <w:t xml:space="preserve"> </w:t>
      </w:r>
      <w:r w:rsidRPr="00386D04">
        <w:rPr>
          <w:szCs w:val="20"/>
          <w:highlight w:val="yellow"/>
        </w:rPr>
        <w:t>exploitation of guardband (this would also require RAN4 study)</w:t>
      </w:r>
      <w:r w:rsidRPr="0078002B">
        <w:rPr>
          <w:szCs w:val="20"/>
        </w:rPr>
        <w:t xml:space="preserve"> as potential ways to take outlying LTE-MTC subcarriers into account for performance improvement of resource block alignment between LTE-MTC and NR:</w:t>
      </w:r>
    </w:p>
    <w:p w14:paraId="4CB397DB" w14:textId="77777777" w:rsidR="007B24DB" w:rsidRPr="008067DB" w:rsidRDefault="007B24DB" w:rsidP="007B24DB">
      <w:pPr>
        <w:pStyle w:val="a7"/>
        <w:numPr>
          <w:ilvl w:val="2"/>
          <w:numId w:val="48"/>
        </w:numPr>
        <w:spacing w:before="0" w:after="0" w:line="240" w:lineRule="auto"/>
        <w:jc w:val="left"/>
      </w:pPr>
      <w:r w:rsidRPr="008067DB">
        <w:t>How to minimize the number of outlying LTE-MTC subcarriers</w:t>
      </w:r>
    </w:p>
    <w:p w14:paraId="20D579E3" w14:textId="77777777" w:rsidR="007B24DB" w:rsidRPr="008067DB" w:rsidRDefault="007B24DB" w:rsidP="007B24DB">
      <w:pPr>
        <w:pStyle w:val="a7"/>
        <w:numPr>
          <w:ilvl w:val="2"/>
          <w:numId w:val="48"/>
        </w:numPr>
        <w:spacing w:before="0" w:after="0" w:line="240" w:lineRule="auto"/>
        <w:jc w:val="left"/>
      </w:pPr>
      <w:r w:rsidRPr="008067DB">
        <w:t xml:space="preserve">To what extent the LTE-MTC UE needs to be aware </w:t>
      </w:r>
      <w:r>
        <w:t>subcarriers not used for transmission</w:t>
      </w:r>
    </w:p>
    <w:p w14:paraId="38B1BE53" w14:textId="77777777" w:rsidR="007B24DB" w:rsidRPr="008067DB" w:rsidRDefault="007B24DB" w:rsidP="007B24DB">
      <w:pPr>
        <w:pStyle w:val="a7"/>
        <w:numPr>
          <w:ilvl w:val="2"/>
          <w:numId w:val="48"/>
        </w:numPr>
        <w:spacing w:before="0" w:after="0" w:line="240" w:lineRule="auto"/>
        <w:jc w:val="left"/>
      </w:pPr>
      <w:r w:rsidRPr="008067DB">
        <w:t>Performance impacts of the LTE-MTC subcarrier puncturing</w:t>
      </w:r>
    </w:p>
    <w:p w14:paraId="15DF4D39" w14:textId="77777777" w:rsidR="007B24DB" w:rsidRPr="008067DB" w:rsidRDefault="007B24DB" w:rsidP="007B24DB">
      <w:pPr>
        <w:pStyle w:val="a7"/>
        <w:numPr>
          <w:ilvl w:val="2"/>
          <w:numId w:val="48"/>
        </w:numPr>
        <w:spacing w:before="0" w:after="0" w:line="240" w:lineRule="auto"/>
        <w:jc w:val="left"/>
      </w:pPr>
      <w:r w:rsidRPr="008067DB">
        <w:t>Some of the methods may only apply for downlink</w:t>
      </w:r>
    </w:p>
    <w:p w14:paraId="32A239BB" w14:textId="77777777" w:rsidR="003B7707" w:rsidRPr="007B24DB" w:rsidRDefault="00226D15" w:rsidP="003B7707">
      <w:pPr>
        <w:pStyle w:val="ac"/>
        <w:numPr>
          <w:ilvl w:val="0"/>
          <w:numId w:val="47"/>
        </w:numPr>
        <w:spacing w:before="120" w:after="12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S</w:t>
      </w:r>
      <w:r w:rsidR="003B7707" w:rsidRPr="007B24DB">
        <w:rPr>
          <w:rFonts w:ascii="Times New Roman" w:eastAsia="맑은 고딕" w:hAnsi="Times New Roman"/>
          <w:kern w:val="2"/>
          <w:sz w:val="22"/>
          <w:szCs w:val="22"/>
          <w:lang w:val="en-US" w:eastAsia="ko-KR"/>
        </w:rPr>
        <w:t xml:space="preserve">ub-topics </w:t>
      </w:r>
      <w:r>
        <w:rPr>
          <w:rFonts w:ascii="Times New Roman" w:eastAsia="맑은 고딕" w:hAnsi="Times New Roman"/>
          <w:kern w:val="2"/>
          <w:sz w:val="22"/>
          <w:szCs w:val="22"/>
          <w:lang w:val="en-US" w:eastAsia="ko-KR"/>
        </w:rPr>
        <w:t xml:space="preserve">that </w:t>
      </w:r>
      <w:r w:rsidR="003B7707" w:rsidRPr="007B24DB">
        <w:rPr>
          <w:rFonts w:ascii="Times New Roman" w:eastAsia="맑은 고딕" w:hAnsi="Times New Roman"/>
          <w:kern w:val="2"/>
          <w:sz w:val="22"/>
          <w:szCs w:val="22"/>
          <w:lang w:val="en-US" w:eastAsia="ko-KR"/>
        </w:rPr>
        <w:t xml:space="preserve">may </w:t>
      </w:r>
      <w:r>
        <w:rPr>
          <w:rFonts w:ascii="Times New Roman" w:eastAsia="맑은 고딕" w:hAnsi="Times New Roman"/>
          <w:kern w:val="2"/>
          <w:sz w:val="22"/>
          <w:szCs w:val="22"/>
          <w:lang w:val="en-US" w:eastAsia="ko-KR"/>
        </w:rPr>
        <w:t>require too much elaborate specification work to be properly done in Rel.16</w:t>
      </w:r>
      <w:r w:rsidR="002E6E5F">
        <w:rPr>
          <w:rFonts w:ascii="Times New Roman" w:eastAsia="맑은 고딕" w:hAnsi="Times New Roman"/>
          <w:kern w:val="2"/>
          <w:sz w:val="22"/>
          <w:szCs w:val="22"/>
          <w:lang w:val="en-US" w:eastAsia="ko-KR"/>
        </w:rPr>
        <w:t xml:space="preserve"> considering </w:t>
      </w:r>
      <w:r w:rsidR="00564474">
        <w:rPr>
          <w:rFonts w:ascii="Times New Roman" w:eastAsia="맑은 고딕" w:hAnsi="Times New Roman"/>
          <w:kern w:val="2"/>
          <w:sz w:val="22"/>
          <w:szCs w:val="22"/>
          <w:lang w:val="en-US" w:eastAsia="ko-KR"/>
        </w:rPr>
        <w:t>extremely flexible design and dynamic operation of NR</w:t>
      </w:r>
    </w:p>
    <w:p w14:paraId="148D935A" w14:textId="77777777" w:rsidR="0002286B" w:rsidRPr="008067DB" w:rsidRDefault="0002286B" w:rsidP="0002286B">
      <w:pPr>
        <w:pStyle w:val="a7"/>
        <w:numPr>
          <w:ilvl w:val="1"/>
          <w:numId w:val="47"/>
        </w:numPr>
        <w:spacing w:before="0" w:after="0" w:line="240" w:lineRule="auto"/>
        <w:jc w:val="left"/>
      </w:pPr>
      <w:r w:rsidRPr="008067DB">
        <w:t xml:space="preserve">RAN1 studies whether to support </w:t>
      </w:r>
      <w:r w:rsidRPr="0002286B">
        <w:rPr>
          <w:highlight w:val="yellow"/>
        </w:rPr>
        <w:t>configurable RB shift</w:t>
      </w:r>
      <w:r w:rsidRPr="008067DB">
        <w:t xml:space="preserve"> for LTE-MTC in some cases (e.g. stand-alone/in-band, FDD/TDD, DL/UL).</w:t>
      </w:r>
    </w:p>
    <w:p w14:paraId="165AA410" w14:textId="77777777" w:rsidR="0002286B" w:rsidRPr="00437EA3" w:rsidRDefault="0002286B" w:rsidP="0002286B">
      <w:pPr>
        <w:pStyle w:val="a7"/>
        <w:numPr>
          <w:ilvl w:val="1"/>
          <w:numId w:val="47"/>
        </w:numPr>
        <w:spacing w:before="0" w:after="0" w:line="240" w:lineRule="auto"/>
        <w:jc w:val="left"/>
        <w:rPr>
          <w:szCs w:val="20"/>
        </w:rPr>
      </w:pPr>
      <w:r w:rsidRPr="00437EA3">
        <w:rPr>
          <w:szCs w:val="20"/>
        </w:rPr>
        <w:t xml:space="preserve">RAN1 continues to study </w:t>
      </w:r>
      <w:r w:rsidRPr="0002286B">
        <w:rPr>
          <w:szCs w:val="20"/>
          <w:highlight w:val="yellow"/>
        </w:rPr>
        <w:t>semi-static LTE-MTC resource reservation</w:t>
      </w:r>
      <w:r w:rsidRPr="00437EA3">
        <w:rPr>
          <w:szCs w:val="20"/>
        </w:rPr>
        <w:t xml:space="preserve"> for improved coexistence with NR SSB, NR CORESET, NR CSI-RS, and NR TRS.</w:t>
      </w:r>
    </w:p>
    <w:p w14:paraId="2E54AE6A" w14:textId="77777777" w:rsidR="0002286B" w:rsidRPr="00437EA3" w:rsidRDefault="0002286B" w:rsidP="0002286B">
      <w:pPr>
        <w:pStyle w:val="a7"/>
        <w:numPr>
          <w:ilvl w:val="1"/>
          <w:numId w:val="47"/>
        </w:numPr>
        <w:spacing w:before="0" w:after="0" w:line="240" w:lineRule="auto"/>
        <w:jc w:val="left"/>
        <w:rPr>
          <w:szCs w:val="20"/>
        </w:rPr>
      </w:pPr>
      <w:r w:rsidRPr="00437EA3">
        <w:rPr>
          <w:szCs w:val="20"/>
        </w:rPr>
        <w:t xml:space="preserve">RAN1 continues to study both </w:t>
      </w:r>
      <w:r w:rsidRPr="0002286B">
        <w:rPr>
          <w:szCs w:val="20"/>
          <w:highlight w:val="yellow"/>
        </w:rPr>
        <w:t>semi-static and dynamic LTE-MTC resource reservation</w:t>
      </w:r>
      <w:r w:rsidRPr="00437EA3">
        <w:rPr>
          <w:szCs w:val="20"/>
        </w:rPr>
        <w:t xml:space="preserve"> for improved coexistence with other NR transmissions than NR SSB, NR CORESET, NR CSI-RS, and NR TRS.</w:t>
      </w:r>
    </w:p>
    <w:p w14:paraId="01B3DF9E" w14:textId="77777777" w:rsidR="0002286B" w:rsidRPr="00437EA3" w:rsidRDefault="0002286B" w:rsidP="0002286B">
      <w:pPr>
        <w:pStyle w:val="a7"/>
        <w:numPr>
          <w:ilvl w:val="1"/>
          <w:numId w:val="47"/>
        </w:numPr>
        <w:spacing w:before="0" w:after="0" w:line="240" w:lineRule="auto"/>
        <w:jc w:val="left"/>
        <w:rPr>
          <w:szCs w:val="20"/>
        </w:rPr>
      </w:pPr>
      <w:r w:rsidRPr="00437EA3">
        <w:rPr>
          <w:szCs w:val="20"/>
        </w:rPr>
        <w:t xml:space="preserve">RAN1 continues to study how to handle </w:t>
      </w:r>
      <w:r w:rsidRPr="0002286B">
        <w:rPr>
          <w:szCs w:val="20"/>
          <w:highlight w:val="yellow"/>
        </w:rPr>
        <w:t>potential collision between LTE-MTC transmissions and NR URLLC related transmissions</w:t>
      </w:r>
      <w:r w:rsidRPr="00437EA3">
        <w:rPr>
          <w:szCs w:val="20"/>
        </w:rPr>
        <w:t>.</w:t>
      </w:r>
    </w:p>
    <w:p w14:paraId="6C967255" w14:textId="77777777" w:rsidR="0002286B" w:rsidRPr="00764EA3" w:rsidRDefault="0002286B" w:rsidP="0002286B">
      <w:pPr>
        <w:pStyle w:val="a7"/>
        <w:numPr>
          <w:ilvl w:val="1"/>
          <w:numId w:val="47"/>
        </w:numPr>
        <w:spacing w:before="0" w:after="0" w:line="240" w:lineRule="auto"/>
        <w:jc w:val="left"/>
        <w:rPr>
          <w:szCs w:val="20"/>
        </w:rPr>
      </w:pPr>
      <w:r w:rsidRPr="00764EA3">
        <w:rPr>
          <w:szCs w:val="20"/>
        </w:rPr>
        <w:t xml:space="preserve">RAN1 continues to study potential support of </w:t>
      </w:r>
      <w:r w:rsidRPr="0002286B">
        <w:rPr>
          <w:szCs w:val="20"/>
          <w:highlight w:val="yellow"/>
        </w:rPr>
        <w:t>LTE-MTC transmission outside the legacy LTE system bandwidth</w:t>
      </w:r>
      <w:r w:rsidRPr="00764EA3">
        <w:rPr>
          <w:szCs w:val="20"/>
        </w:rPr>
        <w:t xml:space="preserve"> (for reduced NR reserved resource cost for CRS, SIB1-BR, paging, etc.) while supporting legacy LTE-MTC transmission for legacy LTE-MTC UEs within the legacy LTE system bandwidth.</w:t>
      </w:r>
    </w:p>
    <w:p w14:paraId="62AD2116" w14:textId="77777777" w:rsidR="002E6E5F" w:rsidRPr="007B24DB" w:rsidRDefault="002E6E5F" w:rsidP="002E6E5F">
      <w:pPr>
        <w:pStyle w:val="ac"/>
        <w:numPr>
          <w:ilvl w:val="0"/>
          <w:numId w:val="47"/>
        </w:numPr>
        <w:spacing w:before="120" w:after="12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S</w:t>
      </w:r>
      <w:r w:rsidRPr="007B24DB">
        <w:rPr>
          <w:rFonts w:ascii="Times New Roman" w:eastAsia="맑은 고딕" w:hAnsi="Times New Roman"/>
          <w:kern w:val="2"/>
          <w:sz w:val="22"/>
          <w:szCs w:val="22"/>
          <w:lang w:val="en-US" w:eastAsia="ko-KR"/>
        </w:rPr>
        <w:t xml:space="preserve">ub-topics </w:t>
      </w:r>
      <w:r>
        <w:rPr>
          <w:rFonts w:ascii="Times New Roman" w:eastAsia="맑은 고딕" w:hAnsi="Times New Roman"/>
          <w:kern w:val="2"/>
          <w:sz w:val="22"/>
          <w:szCs w:val="22"/>
          <w:lang w:val="en-US" w:eastAsia="ko-KR"/>
        </w:rPr>
        <w:t xml:space="preserve">that should be </w:t>
      </w:r>
      <w:r w:rsidR="00331DDE">
        <w:rPr>
          <w:rFonts w:ascii="Times New Roman" w:eastAsia="맑은 고딕" w:hAnsi="Times New Roman"/>
          <w:kern w:val="2"/>
          <w:sz w:val="22"/>
          <w:szCs w:val="22"/>
          <w:lang w:val="en-US" w:eastAsia="ko-KR"/>
        </w:rPr>
        <w:t xml:space="preserve">relatively </w:t>
      </w:r>
      <w:r>
        <w:rPr>
          <w:rFonts w:ascii="Times New Roman" w:eastAsia="맑은 고딕" w:hAnsi="Times New Roman"/>
          <w:kern w:val="2"/>
          <w:sz w:val="22"/>
          <w:szCs w:val="22"/>
          <w:lang w:val="en-US" w:eastAsia="ko-KR"/>
        </w:rPr>
        <w:t xml:space="preserve">simple and </w:t>
      </w:r>
      <w:r w:rsidR="00B04115">
        <w:rPr>
          <w:rFonts w:ascii="Times New Roman" w:eastAsia="맑은 고딕" w:hAnsi="Times New Roman"/>
          <w:kern w:val="2"/>
          <w:sz w:val="22"/>
          <w:szCs w:val="22"/>
          <w:lang w:val="en-US" w:eastAsia="ko-KR"/>
        </w:rPr>
        <w:t>more practical</w:t>
      </w:r>
      <w:r w:rsidR="00331DDE">
        <w:rPr>
          <w:rFonts w:ascii="Times New Roman" w:eastAsia="맑은 고딕" w:hAnsi="Times New Roman"/>
          <w:kern w:val="2"/>
          <w:sz w:val="22"/>
          <w:szCs w:val="22"/>
          <w:lang w:val="en-US" w:eastAsia="ko-KR"/>
        </w:rPr>
        <w:t xml:space="preserve"> for the Rel-16 work scope and time line</w:t>
      </w:r>
    </w:p>
    <w:p w14:paraId="26DB43A7" w14:textId="77777777" w:rsidR="00386D04" w:rsidRPr="0078002B" w:rsidRDefault="00386D04" w:rsidP="00386D04">
      <w:pPr>
        <w:pStyle w:val="a7"/>
        <w:numPr>
          <w:ilvl w:val="1"/>
          <w:numId w:val="46"/>
        </w:numPr>
        <w:spacing w:before="0" w:after="0" w:line="240" w:lineRule="auto"/>
        <w:jc w:val="left"/>
        <w:rPr>
          <w:szCs w:val="20"/>
        </w:rPr>
      </w:pPr>
      <w:r w:rsidRPr="0078002B">
        <w:rPr>
          <w:szCs w:val="20"/>
        </w:rPr>
        <w:t xml:space="preserve">RAN1 continues to study e.g. the following aspects of </w:t>
      </w:r>
      <w:r w:rsidRPr="00386D04">
        <w:rPr>
          <w:szCs w:val="20"/>
          <w:highlight w:val="yellow"/>
        </w:rPr>
        <w:t>puncturing and/or rate-matching</w:t>
      </w:r>
      <w:r w:rsidRPr="0078002B">
        <w:rPr>
          <w:szCs w:val="20"/>
        </w:rPr>
        <w:t xml:space="preserve"> </w:t>
      </w:r>
      <w:r w:rsidRPr="00386D04">
        <w:rPr>
          <w:strike/>
          <w:color w:val="FF0000"/>
          <w:szCs w:val="20"/>
        </w:rPr>
        <w:t>and/or exploitation of guardband (this would also require RAN4 study)</w:t>
      </w:r>
      <w:r w:rsidRPr="00386D04">
        <w:rPr>
          <w:color w:val="FF0000"/>
          <w:szCs w:val="20"/>
        </w:rPr>
        <w:t xml:space="preserve"> </w:t>
      </w:r>
      <w:r w:rsidRPr="0078002B">
        <w:rPr>
          <w:szCs w:val="20"/>
        </w:rPr>
        <w:t xml:space="preserve">as potential ways to take outlying </w:t>
      </w:r>
      <w:r w:rsidRPr="0078002B">
        <w:rPr>
          <w:szCs w:val="20"/>
        </w:rPr>
        <w:lastRenderedPageBreak/>
        <w:t>LTE-MTC subcarriers into account for performance improvement of resource block alignment between LTE-MTC and NR:</w:t>
      </w:r>
    </w:p>
    <w:p w14:paraId="44BF1E68" w14:textId="77777777" w:rsidR="00386D04" w:rsidRPr="008067DB" w:rsidRDefault="00386D04" w:rsidP="00386D04">
      <w:pPr>
        <w:pStyle w:val="a7"/>
        <w:numPr>
          <w:ilvl w:val="2"/>
          <w:numId w:val="48"/>
        </w:numPr>
        <w:spacing w:before="0" w:after="0" w:line="240" w:lineRule="auto"/>
        <w:jc w:val="left"/>
      </w:pPr>
      <w:r w:rsidRPr="008067DB">
        <w:t>How to minimize the number of outlying LTE-MTC subcarriers</w:t>
      </w:r>
    </w:p>
    <w:p w14:paraId="72FE5338" w14:textId="77777777" w:rsidR="00386D04" w:rsidRPr="008067DB" w:rsidRDefault="00386D04" w:rsidP="00386D04">
      <w:pPr>
        <w:pStyle w:val="a7"/>
        <w:numPr>
          <w:ilvl w:val="2"/>
          <w:numId w:val="48"/>
        </w:numPr>
        <w:spacing w:before="0" w:after="0" w:line="240" w:lineRule="auto"/>
        <w:jc w:val="left"/>
      </w:pPr>
      <w:r w:rsidRPr="008067DB">
        <w:t xml:space="preserve">To what extent the LTE-MTC UE needs to be aware </w:t>
      </w:r>
      <w:r>
        <w:t>subcarriers not used for transmission</w:t>
      </w:r>
    </w:p>
    <w:p w14:paraId="21CB8A93" w14:textId="77777777" w:rsidR="00386D04" w:rsidRPr="008067DB" w:rsidRDefault="00386D04" w:rsidP="00386D04">
      <w:pPr>
        <w:pStyle w:val="a7"/>
        <w:numPr>
          <w:ilvl w:val="2"/>
          <w:numId w:val="48"/>
        </w:numPr>
        <w:spacing w:before="0" w:after="0" w:line="240" w:lineRule="auto"/>
        <w:jc w:val="left"/>
      </w:pPr>
      <w:r w:rsidRPr="008067DB">
        <w:t>Performance impacts of the LTE-MTC subcarrier puncturing</w:t>
      </w:r>
      <w:r w:rsidR="00ED1A7B">
        <w:t>s</w:t>
      </w:r>
    </w:p>
    <w:p w14:paraId="188FED5D" w14:textId="77777777" w:rsidR="00386D04" w:rsidRPr="008067DB" w:rsidRDefault="00386D04" w:rsidP="00386D04">
      <w:pPr>
        <w:pStyle w:val="a7"/>
        <w:numPr>
          <w:ilvl w:val="2"/>
          <w:numId w:val="48"/>
        </w:numPr>
        <w:spacing w:before="0" w:after="0" w:line="240" w:lineRule="auto"/>
        <w:jc w:val="left"/>
      </w:pPr>
      <w:r w:rsidRPr="008067DB">
        <w:t>Some of the methods may only apply for downlink</w:t>
      </w:r>
    </w:p>
    <w:p w14:paraId="6491D8F5" w14:textId="77777777" w:rsidR="00731191" w:rsidRPr="00386D04" w:rsidRDefault="00731191" w:rsidP="001B0A0E">
      <w:pPr>
        <w:spacing w:before="120" w:after="120" w:line="240" w:lineRule="auto"/>
        <w:ind w:left="0" w:firstLineChars="129" w:firstLine="284"/>
        <w:rPr>
          <w:rFonts w:eastAsia="맑은 고딕"/>
          <w:kern w:val="2"/>
          <w:sz w:val="22"/>
          <w:szCs w:val="22"/>
          <w:lang w:val="x-none" w:eastAsia="ko-KR"/>
        </w:rPr>
      </w:pPr>
    </w:p>
    <w:p w14:paraId="4A3D167B" w14:textId="77777777" w:rsidR="00CE1ED2" w:rsidRDefault="00ED1A7B" w:rsidP="00ED1A7B">
      <w:pPr>
        <w:spacing w:before="120" w:after="120" w:line="240" w:lineRule="auto"/>
        <w:ind w:left="0" w:firstLineChars="129" w:firstLine="284"/>
        <w:rPr>
          <w:rFonts w:eastAsia="맑은 고딕"/>
          <w:kern w:val="2"/>
          <w:sz w:val="22"/>
          <w:szCs w:val="22"/>
          <w:lang w:val="en-US" w:eastAsia="ko-KR"/>
        </w:rPr>
      </w:pPr>
      <w:r>
        <w:rPr>
          <w:rFonts w:eastAsia="맑은 고딕"/>
          <w:kern w:val="2"/>
          <w:sz w:val="22"/>
          <w:szCs w:val="22"/>
          <w:lang w:val="en-US" w:eastAsia="ko-KR"/>
        </w:rPr>
        <w:t xml:space="preserve">Based on the </w:t>
      </w:r>
      <w:r w:rsidRPr="00ED1A7B">
        <w:rPr>
          <w:rFonts w:eastAsia="맑은 고딕"/>
          <w:kern w:val="2"/>
          <w:sz w:val="22"/>
          <w:szCs w:val="22"/>
          <w:lang w:val="en-US" w:eastAsia="ko-KR"/>
        </w:rPr>
        <w:t>analysis</w:t>
      </w:r>
      <w:r>
        <w:rPr>
          <w:rFonts w:eastAsia="맑은 고딕"/>
          <w:kern w:val="2"/>
          <w:sz w:val="22"/>
          <w:szCs w:val="22"/>
          <w:lang w:val="en-US" w:eastAsia="ko-KR"/>
        </w:rPr>
        <w:t xml:space="preserve"> above, we propose to focus on the ‘PRB gird misalignment’ issue and discuss simple and practical candidate solutions to cope with it. First, </w:t>
      </w:r>
      <w:r w:rsidR="003269ED">
        <w:rPr>
          <w:rFonts w:eastAsia="맑은 고딕"/>
          <w:kern w:val="2"/>
          <w:sz w:val="22"/>
          <w:szCs w:val="22"/>
          <w:lang w:val="en-US" w:eastAsia="ko-KR"/>
        </w:rPr>
        <w:t xml:space="preserve">rate-matching NR PDCCH/PDSCH around </w:t>
      </w:r>
      <w:r w:rsidR="003269ED" w:rsidRPr="000F1AB4">
        <w:rPr>
          <w:rFonts w:eastAsia="맑은 고딕"/>
          <w:kern w:val="2"/>
          <w:sz w:val="22"/>
          <w:szCs w:val="22"/>
          <w:lang w:val="en-US" w:eastAsia="ko-KR"/>
        </w:rPr>
        <w:t>the REs at the outermost subcarrier (this 1 outermost subcarrier is called “outlying” subcarrier hereafter) crossing the NR PRB grid can be considered.</w:t>
      </w:r>
      <w:r w:rsidR="00FC347E">
        <w:rPr>
          <w:rFonts w:eastAsia="맑은 고딕"/>
          <w:kern w:val="2"/>
          <w:sz w:val="22"/>
          <w:szCs w:val="22"/>
          <w:lang w:val="en-US" w:eastAsia="ko-KR"/>
        </w:rPr>
        <w:t xml:space="preserve"> However, according the definition of </w:t>
      </w:r>
      <w:r w:rsidR="00FC347E" w:rsidRPr="000F61D0">
        <w:rPr>
          <w:rFonts w:eastAsia="맑은 고딕"/>
          <w:i/>
          <w:kern w:val="2"/>
          <w:sz w:val="22"/>
          <w:szCs w:val="22"/>
          <w:lang w:val="en-US" w:eastAsia="ko-KR"/>
        </w:rPr>
        <w:t>RateMatchPatternLTE-CRS</w:t>
      </w:r>
      <w:r w:rsidR="00FC347E">
        <w:rPr>
          <w:rFonts w:eastAsia="맑은 고딕"/>
          <w:kern w:val="2"/>
          <w:sz w:val="22"/>
          <w:szCs w:val="22"/>
          <w:lang w:val="en-US" w:eastAsia="ko-KR"/>
        </w:rPr>
        <w:t xml:space="preserve"> in TS38.311, the </w:t>
      </w:r>
      <w:r w:rsidR="00FC347E" w:rsidRPr="000F1AB4">
        <w:rPr>
          <w:rFonts w:eastAsia="맑은 고딕"/>
          <w:kern w:val="2"/>
          <w:sz w:val="22"/>
          <w:szCs w:val="22"/>
          <w:lang w:val="en-US" w:eastAsia="ko-KR"/>
        </w:rPr>
        <w:t>RE-level rate matching</w:t>
      </w:r>
      <w:r w:rsidR="00FC347E">
        <w:rPr>
          <w:rFonts w:eastAsia="맑은 고딕"/>
          <w:kern w:val="2"/>
          <w:sz w:val="22"/>
          <w:szCs w:val="22"/>
          <w:lang w:val="en-US" w:eastAsia="ko-KR"/>
        </w:rPr>
        <w:t xml:space="preserve"> supported by the current NR for the coexistence with LTE does not take into account REs other than LTE CRS or CSI-RS ones. </w:t>
      </w:r>
      <w:r w:rsidR="00CE1ED2">
        <w:rPr>
          <w:rFonts w:eastAsia="맑은 고딕"/>
          <w:kern w:val="2"/>
          <w:sz w:val="22"/>
          <w:szCs w:val="22"/>
          <w:lang w:val="en-US" w:eastAsia="ko-KR"/>
        </w:rPr>
        <w:t xml:space="preserve">As an alternative, puncturing of the </w:t>
      </w:r>
      <w:r w:rsidR="008B3F53" w:rsidRPr="008B3F53">
        <w:rPr>
          <w:rFonts w:eastAsia="맑은 고딕"/>
          <w:kern w:val="2"/>
          <w:sz w:val="22"/>
          <w:szCs w:val="22"/>
          <w:lang w:val="en-US" w:eastAsia="ko-KR"/>
        </w:rPr>
        <w:t xml:space="preserve">eMTC MPDCCH/PDSCH </w:t>
      </w:r>
      <w:r w:rsidR="00CE1ED2">
        <w:rPr>
          <w:rFonts w:eastAsia="맑은 고딕"/>
          <w:kern w:val="2"/>
          <w:sz w:val="22"/>
          <w:szCs w:val="22"/>
          <w:lang w:val="en-US" w:eastAsia="ko-KR"/>
        </w:rPr>
        <w:t>REs at the outlying subcarrier can be taken.</w:t>
      </w:r>
      <w:r w:rsidR="00CE1ED2" w:rsidRPr="00CE1ED2">
        <w:rPr>
          <w:rFonts w:eastAsia="맑은 고딕"/>
          <w:kern w:val="2"/>
          <w:sz w:val="22"/>
          <w:szCs w:val="22"/>
          <w:lang w:val="en-US" w:eastAsia="ko-KR"/>
        </w:rPr>
        <w:t xml:space="preserve"> </w:t>
      </w:r>
      <w:r w:rsidR="00CE1ED2" w:rsidRPr="000F1AB4">
        <w:rPr>
          <w:rFonts w:eastAsia="맑은 고딕"/>
          <w:kern w:val="2"/>
          <w:sz w:val="22"/>
          <w:szCs w:val="22"/>
          <w:lang w:val="en-US" w:eastAsia="ko-KR"/>
        </w:rPr>
        <w:t xml:space="preserve">In this case, the RE mapping is based on the LTE-MTC NB (occupying 73 subcarriers from NR point of view and including the outlying subcarrier) and then the REs at the outlying subcarrier is not transmitted. Or alternatively rate-matching of the REs around the outlying subcarrier can be considered. The outlying subcarrier is excluded from the RE mapping in this case and not transmitted. For both cases (puncturing and rate-matching), CRS at the outlying subcarrier are transmitted for eMTC receiver performance and the CRS </w:t>
      </w:r>
      <w:r w:rsidR="00CE1ED2">
        <w:rPr>
          <w:rFonts w:eastAsia="맑은 고딕"/>
          <w:kern w:val="2"/>
          <w:sz w:val="22"/>
          <w:szCs w:val="22"/>
          <w:lang w:val="en-US" w:eastAsia="ko-KR"/>
        </w:rPr>
        <w:t xml:space="preserve">REs </w:t>
      </w:r>
      <w:r w:rsidR="00CE1ED2" w:rsidRPr="000F1AB4">
        <w:rPr>
          <w:rFonts w:eastAsia="맑은 고딕"/>
          <w:kern w:val="2"/>
          <w:sz w:val="22"/>
          <w:szCs w:val="22"/>
          <w:lang w:val="en-US" w:eastAsia="ko-KR"/>
        </w:rPr>
        <w:t xml:space="preserve">can be avoided by </w:t>
      </w:r>
      <w:r w:rsidR="00CE1ED2">
        <w:rPr>
          <w:rFonts w:eastAsia="맑은 고딕"/>
          <w:kern w:val="2"/>
          <w:sz w:val="22"/>
          <w:szCs w:val="22"/>
          <w:lang w:val="en-US" w:eastAsia="ko-KR"/>
        </w:rPr>
        <w:t xml:space="preserve">the aforementioned </w:t>
      </w:r>
      <w:r w:rsidR="00CE1ED2" w:rsidRPr="000F1AB4">
        <w:rPr>
          <w:rFonts w:eastAsia="맑은 고딕"/>
          <w:kern w:val="2"/>
          <w:sz w:val="22"/>
          <w:szCs w:val="22"/>
          <w:lang w:val="en-US" w:eastAsia="ko-KR"/>
        </w:rPr>
        <w:t>RE-level rate matching from N</w:t>
      </w:r>
      <w:r w:rsidR="00CE1ED2">
        <w:rPr>
          <w:rFonts w:eastAsia="맑은 고딕"/>
          <w:kern w:val="2"/>
          <w:sz w:val="22"/>
          <w:szCs w:val="22"/>
          <w:lang w:val="en-US" w:eastAsia="ko-KR"/>
        </w:rPr>
        <w:t>R</w:t>
      </w:r>
      <w:r w:rsidR="00CE1ED2" w:rsidRPr="000F1AB4">
        <w:rPr>
          <w:rFonts w:eastAsia="맑은 고딕"/>
          <w:kern w:val="2"/>
          <w:sz w:val="22"/>
          <w:szCs w:val="22"/>
          <w:lang w:val="en-US" w:eastAsia="ko-KR"/>
        </w:rPr>
        <w:t xml:space="preserve"> perspective.</w:t>
      </w:r>
    </w:p>
    <w:p w14:paraId="2494409B" w14:textId="77777777" w:rsidR="00ED1A7B" w:rsidRPr="00B801FF" w:rsidRDefault="00ED1A7B" w:rsidP="00ED1A7B">
      <w:pPr>
        <w:spacing w:before="120" w:after="240" w:line="240" w:lineRule="auto"/>
        <w:ind w:leftChars="71" w:left="1275" w:hangingChars="515" w:hanging="1133"/>
        <w:rPr>
          <w:rFonts w:eastAsia="맑은 고딕"/>
          <w:b/>
          <w:i/>
          <w:kern w:val="2"/>
          <w:sz w:val="22"/>
          <w:szCs w:val="22"/>
          <w:lang w:val="en-US" w:eastAsia="ko-KR"/>
        </w:rPr>
      </w:pPr>
      <w:r>
        <w:rPr>
          <w:rFonts w:eastAsia="맑은 고딕"/>
          <w:b/>
          <w:i/>
          <w:kern w:val="2"/>
          <w:sz w:val="22"/>
          <w:szCs w:val="22"/>
          <w:lang w:val="x-none" w:eastAsia="ko-KR"/>
        </w:rPr>
        <w:t>Proposal</w:t>
      </w:r>
      <w:r w:rsidRPr="00EE0B9E">
        <w:rPr>
          <w:rFonts w:eastAsia="맑은 고딕"/>
          <w:b/>
          <w:i/>
          <w:kern w:val="2"/>
          <w:sz w:val="22"/>
          <w:szCs w:val="22"/>
          <w:lang w:val="en-US" w:eastAsia="ko-KR"/>
        </w:rPr>
        <w:t xml:space="preserve"> </w:t>
      </w:r>
      <w:r>
        <w:rPr>
          <w:rFonts w:eastAsia="맑은 고딕"/>
          <w:b/>
          <w:i/>
          <w:kern w:val="2"/>
          <w:sz w:val="22"/>
          <w:szCs w:val="22"/>
          <w:lang w:val="en-US" w:eastAsia="ko-KR"/>
        </w:rPr>
        <w:t>1:</w:t>
      </w:r>
      <w:r w:rsidRPr="00EE0B9E">
        <w:rPr>
          <w:rFonts w:eastAsia="맑은 고딕" w:hint="eastAsia"/>
          <w:b/>
          <w:i/>
          <w:kern w:val="2"/>
          <w:sz w:val="22"/>
          <w:szCs w:val="22"/>
          <w:lang w:val="en-US" w:eastAsia="ko-KR"/>
        </w:rPr>
        <w:t xml:space="preserve"> </w:t>
      </w:r>
      <w:r w:rsidRPr="00E5375F">
        <w:rPr>
          <w:rFonts w:eastAsia="맑은 고딕"/>
          <w:b/>
          <w:i/>
          <w:kern w:val="2"/>
          <w:sz w:val="22"/>
          <w:szCs w:val="22"/>
          <w:lang w:val="en-US" w:eastAsia="ko-KR"/>
        </w:rPr>
        <w:t>When eMTC system is embedded within NR system bandwidth, the outlying subcarriers(i.e., the outmost subcarriers in one of either the lowermost or uppermost eMTC PRB crossing the NR PRB grid) are not used for downlink transmissions except CRS</w:t>
      </w:r>
    </w:p>
    <w:p w14:paraId="667F3E91" w14:textId="4EAB1DD5" w:rsidR="00ED1A7B" w:rsidRPr="00E5375F" w:rsidRDefault="00ED1A7B" w:rsidP="00ED1A7B">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 xml:space="preserve">For downlink channels (e.g., MPDCCH and/or PDSCH) that </w:t>
      </w:r>
      <w:r w:rsidR="004D2455">
        <w:rPr>
          <w:rFonts w:ascii="Times New Roman" w:eastAsia="맑은 고딕" w:hAnsi="Times New Roman"/>
          <w:b/>
          <w:i/>
          <w:kern w:val="2"/>
          <w:sz w:val="22"/>
          <w:szCs w:val="22"/>
          <w:lang w:eastAsia="ko-KR"/>
        </w:rPr>
        <w:t>can</w:t>
      </w:r>
      <w:r w:rsidR="004D2455" w:rsidRPr="00E5375F">
        <w:rPr>
          <w:rFonts w:ascii="Times New Roman" w:eastAsia="맑은 고딕" w:hAnsi="Times New Roman"/>
          <w:b/>
          <w:i/>
          <w:kern w:val="2"/>
          <w:sz w:val="22"/>
          <w:szCs w:val="22"/>
          <w:lang w:eastAsia="ko-KR"/>
        </w:rPr>
        <w:t xml:space="preserve"> </w:t>
      </w:r>
      <w:r w:rsidRPr="00E5375F">
        <w:rPr>
          <w:rFonts w:ascii="Times New Roman" w:eastAsia="맑은 고딕" w:hAnsi="Times New Roman"/>
          <w:b/>
          <w:i/>
          <w:kern w:val="2"/>
          <w:sz w:val="22"/>
          <w:szCs w:val="22"/>
          <w:lang w:eastAsia="ko-KR"/>
        </w:rPr>
        <w:t>be received by pre-Rel.</w:t>
      </w:r>
      <w:r w:rsidR="004D2455" w:rsidRPr="00E5375F">
        <w:rPr>
          <w:rFonts w:ascii="Times New Roman" w:eastAsia="맑은 고딕" w:hAnsi="Times New Roman"/>
          <w:b/>
          <w:i/>
          <w:kern w:val="2"/>
          <w:sz w:val="22"/>
          <w:szCs w:val="22"/>
          <w:lang w:eastAsia="ko-KR"/>
        </w:rPr>
        <w:t>1</w:t>
      </w:r>
      <w:r w:rsidR="004D2455">
        <w:rPr>
          <w:rFonts w:ascii="Times New Roman" w:eastAsia="맑은 고딕" w:hAnsi="Times New Roman"/>
          <w:b/>
          <w:i/>
          <w:kern w:val="2"/>
          <w:sz w:val="22"/>
          <w:szCs w:val="22"/>
          <w:lang w:eastAsia="ko-KR"/>
        </w:rPr>
        <w:t>6</w:t>
      </w:r>
      <w:r w:rsidR="004D2455" w:rsidRPr="00E5375F">
        <w:rPr>
          <w:rFonts w:ascii="Times New Roman" w:eastAsia="맑은 고딕" w:hAnsi="Times New Roman"/>
          <w:b/>
          <w:i/>
          <w:kern w:val="2"/>
          <w:sz w:val="22"/>
          <w:szCs w:val="22"/>
          <w:lang w:eastAsia="ko-KR"/>
        </w:rPr>
        <w:t xml:space="preserve"> </w:t>
      </w:r>
      <w:r w:rsidRPr="00E5375F">
        <w:rPr>
          <w:rFonts w:ascii="Times New Roman" w:eastAsia="맑은 고딕" w:hAnsi="Times New Roman"/>
          <w:b/>
          <w:i/>
          <w:kern w:val="2"/>
          <w:sz w:val="22"/>
          <w:szCs w:val="22"/>
          <w:lang w:eastAsia="ko-KR"/>
        </w:rPr>
        <w:t>UEs, REs at the outlying subcarrier are punc</w:t>
      </w:r>
      <w:r w:rsidR="00331DDE">
        <w:rPr>
          <w:rFonts w:ascii="Times New Roman" w:eastAsia="맑은 고딕" w:hAnsi="Times New Roman"/>
          <w:b/>
          <w:i/>
          <w:kern w:val="2"/>
          <w:sz w:val="22"/>
          <w:szCs w:val="22"/>
          <w:lang w:eastAsia="ko-KR"/>
        </w:rPr>
        <w:t>t</w:t>
      </w:r>
      <w:r w:rsidRPr="00E5375F">
        <w:rPr>
          <w:rFonts w:ascii="Times New Roman" w:eastAsia="맑은 고딕" w:hAnsi="Times New Roman"/>
          <w:b/>
          <w:i/>
          <w:kern w:val="2"/>
          <w:sz w:val="22"/>
          <w:szCs w:val="22"/>
          <w:lang w:eastAsia="ko-KR"/>
        </w:rPr>
        <w:t>ured</w:t>
      </w:r>
    </w:p>
    <w:p w14:paraId="3A902CB9" w14:textId="15A46659" w:rsidR="00ED1A7B" w:rsidRPr="00E5375F" w:rsidRDefault="00ED1A7B" w:rsidP="00ED1A7B">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For downlink channels (e.g., MPDCCH and/or PDSCH) that will be received only by post-Rel.15 UEs, the downlink channels are rate-matched around the outlying subcarrier</w:t>
      </w:r>
    </w:p>
    <w:p w14:paraId="48108C33" w14:textId="77777777" w:rsidR="00ED1A7B" w:rsidRPr="00E5375F" w:rsidRDefault="00ED1A7B" w:rsidP="00ED1A7B">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FFS on whether and how post-Rel.15 eMTC UEs are aware of whether or not the outlying subcarriers are used for downlink transmission</w:t>
      </w:r>
    </w:p>
    <w:p w14:paraId="3DDF55F2" w14:textId="77777777" w:rsidR="00A60148" w:rsidRPr="00ED1A7B" w:rsidRDefault="00A60148" w:rsidP="001B0A0E">
      <w:pPr>
        <w:spacing w:before="120" w:after="120" w:line="240" w:lineRule="auto"/>
        <w:ind w:left="0" w:firstLineChars="129" w:firstLine="284"/>
        <w:rPr>
          <w:rFonts w:eastAsia="맑은 고딕"/>
          <w:kern w:val="2"/>
          <w:sz w:val="22"/>
          <w:szCs w:val="22"/>
          <w:lang w:val="x-none" w:eastAsia="ko-KR"/>
        </w:rPr>
      </w:pPr>
    </w:p>
    <w:p w14:paraId="3BF10173" w14:textId="77777777" w:rsidR="00F94D93" w:rsidRPr="000F1AB4" w:rsidRDefault="008E2113" w:rsidP="00B17C0C">
      <w:pPr>
        <w:pStyle w:val="1"/>
        <w:numPr>
          <w:ilvl w:val="0"/>
          <w:numId w:val="1"/>
        </w:numPr>
        <w:spacing w:before="480"/>
        <w:rPr>
          <w:rFonts w:eastAsia="바탕"/>
          <w:b/>
          <w:lang w:eastAsia="ko-KR"/>
        </w:rPr>
      </w:pPr>
      <w:r w:rsidRPr="000F1AB4">
        <w:rPr>
          <w:rFonts w:eastAsia="바탕" w:hint="eastAsia"/>
          <w:b/>
          <w:lang w:eastAsia="ko-KR"/>
        </w:rPr>
        <w:t>Conclusion</w:t>
      </w:r>
    </w:p>
    <w:p w14:paraId="27D17F22" w14:textId="77777777" w:rsidR="00CF4BEA" w:rsidRPr="000F1AB4" w:rsidRDefault="00F21CD1" w:rsidP="001B0A0E">
      <w:pPr>
        <w:spacing w:before="120" w:after="120" w:line="240" w:lineRule="auto"/>
        <w:ind w:left="0" w:firstLineChars="129" w:firstLine="284"/>
        <w:rPr>
          <w:rFonts w:eastAsia="맑은 고딕"/>
          <w:kern w:val="2"/>
          <w:sz w:val="22"/>
          <w:szCs w:val="22"/>
          <w:lang w:val="en-US" w:eastAsia="ko-KR"/>
        </w:rPr>
      </w:pPr>
      <w:r w:rsidRPr="000F1AB4">
        <w:rPr>
          <w:rFonts w:eastAsia="맑은 고딕" w:hint="eastAsia"/>
          <w:kern w:val="2"/>
          <w:sz w:val="22"/>
          <w:szCs w:val="22"/>
          <w:lang w:val="en-US" w:eastAsia="ko-KR"/>
        </w:rPr>
        <w:t xml:space="preserve">In this contribution, </w:t>
      </w:r>
      <w:r w:rsidR="00407663" w:rsidRPr="000F1AB4">
        <w:rPr>
          <w:rFonts w:eastAsia="맑은 고딕" w:hint="eastAsia"/>
          <w:kern w:val="2"/>
          <w:sz w:val="22"/>
          <w:szCs w:val="22"/>
          <w:lang w:val="en-US" w:eastAsia="ko-KR"/>
        </w:rPr>
        <w:t xml:space="preserve">we </w:t>
      </w:r>
      <w:r w:rsidR="0039027C" w:rsidRPr="000F1AB4">
        <w:rPr>
          <w:rFonts w:eastAsia="맑은 고딕"/>
          <w:kern w:val="2"/>
          <w:sz w:val="22"/>
          <w:szCs w:val="22"/>
          <w:lang w:val="en-US" w:eastAsia="ko-KR"/>
        </w:rPr>
        <w:t>discuss</w:t>
      </w:r>
      <w:r w:rsidR="00D473FE" w:rsidRPr="000F1AB4">
        <w:rPr>
          <w:rFonts w:eastAsia="맑은 고딕"/>
          <w:kern w:val="2"/>
          <w:sz w:val="22"/>
          <w:szCs w:val="22"/>
          <w:lang w:val="en-US" w:eastAsia="ko-KR"/>
        </w:rPr>
        <w:t>ed</w:t>
      </w:r>
      <w:r w:rsidR="0039027C" w:rsidRPr="000F1AB4">
        <w:rPr>
          <w:rFonts w:eastAsia="맑은 고딕"/>
          <w:kern w:val="2"/>
          <w:sz w:val="22"/>
          <w:szCs w:val="22"/>
          <w:lang w:val="en-US" w:eastAsia="ko-KR"/>
        </w:rPr>
        <w:t xml:space="preserve"> the </w:t>
      </w:r>
      <w:r w:rsidR="00D473FE" w:rsidRPr="000F1AB4">
        <w:rPr>
          <w:rFonts w:eastAsia="맑은 고딕"/>
          <w:kern w:val="2"/>
          <w:sz w:val="22"/>
          <w:szCs w:val="22"/>
          <w:lang w:val="en-US" w:eastAsia="ko-KR"/>
        </w:rPr>
        <w:t xml:space="preserve">potential </w:t>
      </w:r>
      <w:r w:rsidR="0039027C" w:rsidRPr="000F1AB4">
        <w:rPr>
          <w:rFonts w:eastAsia="맑은 고딕"/>
          <w:kern w:val="2"/>
          <w:sz w:val="22"/>
          <w:szCs w:val="22"/>
          <w:lang w:val="en-US" w:eastAsia="ko-KR"/>
        </w:rPr>
        <w:t xml:space="preserve">issues related to coexistence of </w:t>
      </w:r>
      <w:r w:rsidR="00D473FE" w:rsidRPr="000F1AB4">
        <w:rPr>
          <w:rFonts w:eastAsia="맑은 고딕"/>
          <w:kern w:val="2"/>
          <w:sz w:val="22"/>
          <w:szCs w:val="22"/>
          <w:lang w:val="en-US" w:eastAsia="ko-KR"/>
        </w:rPr>
        <w:t>LTE-MTC</w:t>
      </w:r>
      <w:r w:rsidR="0039027C" w:rsidRPr="000F1AB4">
        <w:rPr>
          <w:rFonts w:eastAsia="맑은 고딕"/>
          <w:kern w:val="2"/>
          <w:sz w:val="22"/>
          <w:szCs w:val="22"/>
          <w:lang w:val="en-US" w:eastAsia="ko-KR"/>
        </w:rPr>
        <w:t xml:space="preserve"> with NR in Rel</w:t>
      </w:r>
      <w:r w:rsidR="00ED1A7B">
        <w:rPr>
          <w:rFonts w:eastAsia="맑은 고딕"/>
          <w:kern w:val="2"/>
          <w:sz w:val="22"/>
          <w:szCs w:val="22"/>
          <w:lang w:val="en-US" w:eastAsia="ko-KR"/>
        </w:rPr>
        <w:t>.</w:t>
      </w:r>
      <w:r w:rsidR="0039027C" w:rsidRPr="000F1AB4">
        <w:rPr>
          <w:rFonts w:eastAsia="맑은 고딕"/>
          <w:kern w:val="2"/>
          <w:sz w:val="22"/>
          <w:szCs w:val="22"/>
          <w:lang w:val="en-US" w:eastAsia="ko-KR"/>
        </w:rPr>
        <w:t xml:space="preserve">16 enhancement for </w:t>
      </w:r>
      <w:r w:rsidR="00D473FE" w:rsidRPr="000F1AB4">
        <w:rPr>
          <w:rFonts w:eastAsia="맑은 고딕"/>
          <w:kern w:val="2"/>
          <w:sz w:val="22"/>
          <w:szCs w:val="22"/>
          <w:lang w:val="en-US" w:eastAsia="ko-KR"/>
        </w:rPr>
        <w:t>LTE-MTC</w:t>
      </w:r>
      <w:r w:rsidR="00407663" w:rsidRPr="000F1AB4">
        <w:rPr>
          <w:rFonts w:eastAsia="맑은 고딕" w:hint="eastAsia"/>
          <w:kern w:val="2"/>
          <w:sz w:val="22"/>
          <w:szCs w:val="22"/>
          <w:lang w:val="en-US" w:eastAsia="ko-KR"/>
        </w:rPr>
        <w:t>.</w:t>
      </w:r>
    </w:p>
    <w:p w14:paraId="7ED6EEAA" w14:textId="77777777" w:rsidR="004D2455" w:rsidRPr="00B801FF" w:rsidRDefault="004D2455" w:rsidP="004D2455">
      <w:pPr>
        <w:spacing w:before="120" w:after="240" w:line="240" w:lineRule="auto"/>
        <w:ind w:leftChars="71" w:left="1275" w:hangingChars="515" w:hanging="1133"/>
        <w:rPr>
          <w:rFonts w:eastAsia="맑은 고딕"/>
          <w:b/>
          <w:i/>
          <w:kern w:val="2"/>
          <w:sz w:val="22"/>
          <w:szCs w:val="22"/>
          <w:lang w:val="en-US" w:eastAsia="ko-KR"/>
        </w:rPr>
      </w:pPr>
      <w:r>
        <w:rPr>
          <w:rFonts w:eastAsia="맑은 고딕"/>
          <w:b/>
          <w:i/>
          <w:kern w:val="2"/>
          <w:sz w:val="22"/>
          <w:szCs w:val="22"/>
          <w:lang w:val="x-none" w:eastAsia="ko-KR"/>
        </w:rPr>
        <w:lastRenderedPageBreak/>
        <w:t>Proposal</w:t>
      </w:r>
      <w:r w:rsidRPr="00EE0B9E">
        <w:rPr>
          <w:rFonts w:eastAsia="맑은 고딕"/>
          <w:b/>
          <w:i/>
          <w:kern w:val="2"/>
          <w:sz w:val="22"/>
          <w:szCs w:val="22"/>
          <w:lang w:val="en-US" w:eastAsia="ko-KR"/>
        </w:rPr>
        <w:t xml:space="preserve"> </w:t>
      </w:r>
      <w:r>
        <w:rPr>
          <w:rFonts w:eastAsia="맑은 고딕"/>
          <w:b/>
          <w:i/>
          <w:kern w:val="2"/>
          <w:sz w:val="22"/>
          <w:szCs w:val="22"/>
          <w:lang w:val="en-US" w:eastAsia="ko-KR"/>
        </w:rPr>
        <w:t>1:</w:t>
      </w:r>
      <w:r w:rsidRPr="00EE0B9E">
        <w:rPr>
          <w:rFonts w:eastAsia="맑은 고딕" w:hint="eastAsia"/>
          <w:b/>
          <w:i/>
          <w:kern w:val="2"/>
          <w:sz w:val="22"/>
          <w:szCs w:val="22"/>
          <w:lang w:val="en-US" w:eastAsia="ko-KR"/>
        </w:rPr>
        <w:t xml:space="preserve"> </w:t>
      </w:r>
      <w:r w:rsidRPr="00E5375F">
        <w:rPr>
          <w:rFonts w:eastAsia="맑은 고딕"/>
          <w:b/>
          <w:i/>
          <w:kern w:val="2"/>
          <w:sz w:val="22"/>
          <w:szCs w:val="22"/>
          <w:lang w:val="en-US" w:eastAsia="ko-KR"/>
        </w:rPr>
        <w:t>When eMTC system is embedded within NR system bandwidth, the outlying subcarriers(i.e., the outmost subcarriers in one of either the lowermost or uppermost eMTC PRB crossing the NR PRB grid) are not used for downlink transmissions except CRS</w:t>
      </w:r>
    </w:p>
    <w:p w14:paraId="168ED9A2" w14:textId="77777777" w:rsidR="004D2455" w:rsidRPr="00E5375F" w:rsidRDefault="004D2455" w:rsidP="004D2455">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 xml:space="preserve">For downlink channels (e.g., MPDCCH and/or PDSCH) that </w:t>
      </w:r>
      <w:r>
        <w:rPr>
          <w:rFonts w:ascii="Times New Roman" w:eastAsia="맑은 고딕" w:hAnsi="Times New Roman"/>
          <w:b/>
          <w:i/>
          <w:kern w:val="2"/>
          <w:sz w:val="22"/>
          <w:szCs w:val="22"/>
          <w:lang w:eastAsia="ko-KR"/>
        </w:rPr>
        <w:t>can</w:t>
      </w:r>
      <w:r w:rsidRPr="00E5375F">
        <w:rPr>
          <w:rFonts w:ascii="Times New Roman" w:eastAsia="맑은 고딕" w:hAnsi="Times New Roman"/>
          <w:b/>
          <w:i/>
          <w:kern w:val="2"/>
          <w:sz w:val="22"/>
          <w:szCs w:val="22"/>
          <w:lang w:eastAsia="ko-KR"/>
        </w:rPr>
        <w:t xml:space="preserve"> </w:t>
      </w:r>
      <w:r w:rsidRPr="00E5375F">
        <w:rPr>
          <w:rFonts w:ascii="Times New Roman" w:eastAsia="맑은 고딕" w:hAnsi="Times New Roman"/>
          <w:b/>
          <w:i/>
          <w:kern w:val="2"/>
          <w:sz w:val="22"/>
          <w:szCs w:val="22"/>
          <w:lang w:eastAsia="ko-KR"/>
        </w:rPr>
        <w:t>be received by pre-Rel.</w:t>
      </w:r>
      <w:r w:rsidRPr="00E5375F">
        <w:rPr>
          <w:rFonts w:ascii="Times New Roman" w:eastAsia="맑은 고딕" w:hAnsi="Times New Roman"/>
          <w:b/>
          <w:i/>
          <w:kern w:val="2"/>
          <w:sz w:val="22"/>
          <w:szCs w:val="22"/>
          <w:lang w:eastAsia="ko-KR"/>
        </w:rPr>
        <w:t>1</w:t>
      </w:r>
      <w:r>
        <w:rPr>
          <w:rFonts w:ascii="Times New Roman" w:eastAsia="맑은 고딕" w:hAnsi="Times New Roman"/>
          <w:b/>
          <w:i/>
          <w:kern w:val="2"/>
          <w:sz w:val="22"/>
          <w:szCs w:val="22"/>
          <w:lang w:eastAsia="ko-KR"/>
        </w:rPr>
        <w:t>6</w:t>
      </w:r>
      <w:r w:rsidRPr="00E5375F">
        <w:rPr>
          <w:rFonts w:ascii="Times New Roman" w:eastAsia="맑은 고딕" w:hAnsi="Times New Roman"/>
          <w:b/>
          <w:i/>
          <w:kern w:val="2"/>
          <w:sz w:val="22"/>
          <w:szCs w:val="22"/>
          <w:lang w:eastAsia="ko-KR"/>
        </w:rPr>
        <w:t xml:space="preserve"> </w:t>
      </w:r>
      <w:r w:rsidRPr="00E5375F">
        <w:rPr>
          <w:rFonts w:ascii="Times New Roman" w:eastAsia="맑은 고딕" w:hAnsi="Times New Roman"/>
          <w:b/>
          <w:i/>
          <w:kern w:val="2"/>
          <w:sz w:val="22"/>
          <w:szCs w:val="22"/>
          <w:lang w:eastAsia="ko-KR"/>
        </w:rPr>
        <w:t>UEs, REs at the outlying subcarrier are punc</w:t>
      </w:r>
      <w:r>
        <w:rPr>
          <w:rFonts w:ascii="Times New Roman" w:eastAsia="맑은 고딕" w:hAnsi="Times New Roman"/>
          <w:b/>
          <w:i/>
          <w:kern w:val="2"/>
          <w:sz w:val="22"/>
          <w:szCs w:val="22"/>
          <w:lang w:eastAsia="ko-KR"/>
        </w:rPr>
        <w:t>t</w:t>
      </w:r>
      <w:r w:rsidRPr="00E5375F">
        <w:rPr>
          <w:rFonts w:ascii="Times New Roman" w:eastAsia="맑은 고딕" w:hAnsi="Times New Roman"/>
          <w:b/>
          <w:i/>
          <w:kern w:val="2"/>
          <w:sz w:val="22"/>
          <w:szCs w:val="22"/>
          <w:lang w:eastAsia="ko-KR"/>
        </w:rPr>
        <w:t>ured</w:t>
      </w:r>
    </w:p>
    <w:p w14:paraId="013FE8A8" w14:textId="77777777" w:rsidR="004D2455" w:rsidRPr="00E5375F" w:rsidRDefault="004D2455" w:rsidP="004D2455">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For downlink channels (e.g., MPDCCH and/or PDSCH) that will be received only by post-Rel.15 UEs, the downlink channels are rate-matched around the outlying subcarrier</w:t>
      </w:r>
    </w:p>
    <w:p w14:paraId="0BCD2F7B" w14:textId="77777777" w:rsidR="004D2455" w:rsidRPr="00E5375F" w:rsidRDefault="004D2455" w:rsidP="004D2455">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FFS on whether and how post-Rel.15 eMTC UEs are aware of whether or not the outlying subcarriers are used for downlink transmission</w:t>
      </w:r>
    </w:p>
    <w:p w14:paraId="4A88BEA7" w14:textId="77777777" w:rsidR="00B543E0" w:rsidRPr="000F1AB4" w:rsidRDefault="00B543E0" w:rsidP="00B17C0C">
      <w:pPr>
        <w:pStyle w:val="1"/>
        <w:numPr>
          <w:ilvl w:val="0"/>
          <w:numId w:val="1"/>
        </w:numPr>
        <w:spacing w:before="360"/>
        <w:rPr>
          <w:rFonts w:eastAsia="바탕"/>
          <w:b/>
          <w:lang w:eastAsia="ko-KR"/>
        </w:rPr>
      </w:pPr>
      <w:r w:rsidRPr="000F1AB4">
        <w:rPr>
          <w:rFonts w:eastAsia="바탕" w:hint="eastAsia"/>
          <w:b/>
          <w:lang w:eastAsia="ko-KR"/>
        </w:rPr>
        <w:t>Reference</w:t>
      </w:r>
    </w:p>
    <w:p w14:paraId="7B06F377" w14:textId="77777777" w:rsidR="0076423E" w:rsidRPr="000F1AB4" w:rsidRDefault="00634E41" w:rsidP="004A1AE1">
      <w:pPr>
        <w:pStyle w:val="References"/>
        <w:ind w:left="851" w:hanging="425"/>
        <w:rPr>
          <w:lang w:eastAsia="ko-KR"/>
        </w:rPr>
      </w:pPr>
      <w:bookmarkStart w:id="4" w:name="_Ref498726282"/>
      <w:r w:rsidRPr="000F1AB4">
        <w:rPr>
          <w:lang w:eastAsia="ko-KR"/>
        </w:rPr>
        <w:t>RP-181450</w:t>
      </w:r>
      <w:r w:rsidR="0076423E" w:rsidRPr="000F1AB4">
        <w:rPr>
          <w:lang w:eastAsia="ko-KR"/>
        </w:rPr>
        <w:t xml:space="preserve">, </w:t>
      </w:r>
      <w:r w:rsidRPr="000F1AB4">
        <w:rPr>
          <w:lang w:eastAsia="ko-KR"/>
        </w:rPr>
        <w:t>New WID on Rel-16 MTC enhancements for LTE</w:t>
      </w:r>
      <w:r w:rsidRPr="000F1AB4" w:rsidDel="00634E41">
        <w:rPr>
          <w:lang w:eastAsia="ko-KR"/>
        </w:rPr>
        <w:t xml:space="preserve"> </w:t>
      </w:r>
      <w:r w:rsidR="0076423E" w:rsidRPr="000F1AB4">
        <w:rPr>
          <w:lang w:eastAsia="ko-KR"/>
        </w:rPr>
        <w:t xml:space="preserve">, </w:t>
      </w:r>
      <w:bookmarkEnd w:id="4"/>
      <w:r w:rsidRPr="000F1AB4">
        <w:rPr>
          <w:lang w:eastAsia="ko-KR"/>
        </w:rPr>
        <w:t>Ericsson</w:t>
      </w:r>
    </w:p>
    <w:p w14:paraId="54B72486" w14:textId="77777777" w:rsidR="003553F3" w:rsidRPr="00353D12" w:rsidRDefault="00272079" w:rsidP="00791FDC">
      <w:pPr>
        <w:pStyle w:val="References"/>
        <w:ind w:left="851" w:hanging="425"/>
        <w:rPr>
          <w:lang w:eastAsia="ko-KR"/>
        </w:rPr>
      </w:pPr>
      <w:r w:rsidRPr="00353D12">
        <w:rPr>
          <w:lang w:eastAsia="ko-KR"/>
        </w:rPr>
        <w:t>RP-181525, LS on the scope of NR and NB-IoT/eMTC co-existence studies, RAN4</w:t>
      </w:r>
    </w:p>
    <w:p w14:paraId="1101121B" w14:textId="77777777" w:rsidR="00584F26" w:rsidRDefault="00450550" w:rsidP="00450550">
      <w:pPr>
        <w:pStyle w:val="References"/>
        <w:tabs>
          <w:tab w:val="clear" w:pos="3054"/>
        </w:tabs>
        <w:ind w:left="851" w:hanging="425"/>
        <w:rPr>
          <w:lang w:eastAsia="ko-KR"/>
        </w:rPr>
      </w:pPr>
      <w:r w:rsidRPr="00450550">
        <w:rPr>
          <w:lang w:eastAsia="ko-KR"/>
        </w:rPr>
        <w:t>R1-1812530</w:t>
      </w:r>
      <w:r w:rsidR="00584F26" w:rsidRPr="000F1AB4">
        <w:rPr>
          <w:lang w:eastAsia="ko-KR"/>
        </w:rPr>
        <w:t xml:space="preserve">, </w:t>
      </w:r>
      <w:r w:rsidRPr="00450550">
        <w:rPr>
          <w:lang w:eastAsia="ko-KR"/>
        </w:rPr>
        <w:t>Discussion on coexistence of LTE-MTC with NR</w:t>
      </w:r>
      <w:r w:rsidR="00584F26" w:rsidRPr="000F1AB4">
        <w:rPr>
          <w:lang w:eastAsia="ko-KR"/>
        </w:rPr>
        <w:t xml:space="preserve"> with NR, LG Electronics</w:t>
      </w:r>
    </w:p>
    <w:p w14:paraId="71205F16" w14:textId="77777777" w:rsidR="00354D99" w:rsidRPr="000F1AB4" w:rsidRDefault="00354D99" w:rsidP="00354D99">
      <w:pPr>
        <w:pStyle w:val="References"/>
        <w:tabs>
          <w:tab w:val="clear" w:pos="3054"/>
        </w:tabs>
        <w:ind w:left="851" w:hanging="425"/>
        <w:rPr>
          <w:lang w:eastAsia="ko-KR"/>
        </w:rPr>
      </w:pPr>
      <w:r w:rsidRPr="00354D99">
        <w:rPr>
          <w:lang w:eastAsia="ko-KR"/>
        </w:rPr>
        <w:t>R1-1813041, Coexistence of LTE-MTC with NR, Qualcomm Incorporated</w:t>
      </w:r>
    </w:p>
    <w:p w14:paraId="01ECC190" w14:textId="77777777" w:rsidR="005C0E1B" w:rsidRPr="00353D12" w:rsidRDefault="005C0E1B" w:rsidP="00353D12">
      <w:pPr>
        <w:spacing w:before="120" w:after="120" w:line="240" w:lineRule="auto"/>
        <w:ind w:left="0" w:firstLine="0"/>
        <w:rPr>
          <w:rFonts w:eastAsia="맑은 고딕"/>
          <w:lang w:val="en-US" w:eastAsia="ko-KR"/>
        </w:rPr>
      </w:pPr>
    </w:p>
    <w:sectPr w:rsidR="005C0E1B" w:rsidRPr="00353D12"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76B7F" w14:textId="77777777" w:rsidR="007B7A73" w:rsidRDefault="007B7A73" w:rsidP="00CB15B0">
      <w:pPr>
        <w:spacing w:before="0" w:after="0" w:line="240" w:lineRule="auto"/>
      </w:pPr>
      <w:r>
        <w:separator/>
      </w:r>
    </w:p>
  </w:endnote>
  <w:endnote w:type="continuationSeparator" w:id="0">
    <w:p w14:paraId="070EAD3A" w14:textId="77777777" w:rsidR="007B7A73" w:rsidRDefault="007B7A7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6EAD9" w14:textId="77777777" w:rsidR="007B7A73" w:rsidRDefault="007B7A73" w:rsidP="00CB15B0">
      <w:pPr>
        <w:spacing w:before="0" w:after="0" w:line="240" w:lineRule="auto"/>
      </w:pPr>
      <w:r>
        <w:separator/>
      </w:r>
    </w:p>
  </w:footnote>
  <w:footnote w:type="continuationSeparator" w:id="0">
    <w:p w14:paraId="52818492" w14:textId="77777777" w:rsidR="007B7A73" w:rsidRDefault="007B7A7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1DD2AC0"/>
    <w:multiLevelType w:val="hybridMultilevel"/>
    <w:tmpl w:val="DCC03A64"/>
    <w:lvl w:ilvl="0" w:tplc="5220138C">
      <w:start w:val="1"/>
      <w:numFmt w:val="decimal"/>
      <w:lvlText w:val="%1."/>
      <w:lvlJc w:val="left"/>
      <w:pPr>
        <w:ind w:left="1160" w:hanging="360"/>
      </w:pPr>
    </w:lvl>
    <w:lvl w:ilvl="1" w:tplc="18BA17DC">
      <w:start w:val="1"/>
      <w:numFmt w:val="bullet"/>
      <w:lvlText w:val="•"/>
      <w:lvlJc w:val="left"/>
      <w:pPr>
        <w:ind w:left="1600" w:hanging="400"/>
      </w:pPr>
      <w:rPr>
        <w:rFonts w:ascii="Arial" w:hAnsi="Arial" w:cs="Times New Roman" w:hint="default"/>
      </w:rPr>
    </w:lvl>
    <w:lvl w:ilvl="2" w:tplc="2A38336A">
      <w:start w:val="1"/>
      <w:numFmt w:val="bullet"/>
      <w:lvlText w:val="–"/>
      <w:lvlJc w:val="left"/>
      <w:pPr>
        <w:ind w:left="2000" w:hanging="400"/>
      </w:pPr>
      <w:rPr>
        <w:rFonts w:ascii="Arial" w:hAnsi="Arial" w:cs="Times New Roman" w:hint="default"/>
      </w:rPr>
    </w:lvl>
    <w:lvl w:ilvl="3" w:tplc="2A38336A">
      <w:start w:val="1"/>
      <w:numFmt w:val="bullet"/>
      <w:lvlText w:val="–"/>
      <w:lvlJc w:val="left"/>
      <w:pPr>
        <w:ind w:left="2400" w:hanging="400"/>
      </w:pPr>
      <w:rPr>
        <w:rFonts w:ascii="Arial" w:hAnsi="Arial" w:cs="Times New Roman" w:hint="default"/>
      </w:rPr>
    </w:lvl>
    <w:lvl w:ilvl="4" w:tplc="04090019">
      <w:start w:val="1"/>
      <w:numFmt w:val="upperLetter"/>
      <w:lvlText w:val="%5."/>
      <w:lvlJc w:val="left"/>
      <w:pPr>
        <w:ind w:left="2800" w:hanging="400"/>
      </w:pPr>
    </w:lvl>
    <w:lvl w:ilvl="5" w:tplc="0409001B">
      <w:start w:val="1"/>
      <w:numFmt w:val="lowerRoman"/>
      <w:lvlText w:val="%6."/>
      <w:lvlJc w:val="right"/>
      <w:pPr>
        <w:ind w:left="3200" w:hanging="400"/>
      </w:pPr>
    </w:lvl>
    <w:lvl w:ilvl="6" w:tplc="0409000F">
      <w:start w:val="1"/>
      <w:numFmt w:val="decimal"/>
      <w:lvlText w:val="%7."/>
      <w:lvlJc w:val="left"/>
      <w:pPr>
        <w:ind w:left="3600" w:hanging="400"/>
      </w:pPr>
    </w:lvl>
    <w:lvl w:ilvl="7" w:tplc="04090019">
      <w:start w:val="1"/>
      <w:numFmt w:val="upperLetter"/>
      <w:lvlText w:val="%8."/>
      <w:lvlJc w:val="left"/>
      <w:pPr>
        <w:ind w:left="4000" w:hanging="400"/>
      </w:pPr>
    </w:lvl>
    <w:lvl w:ilvl="8" w:tplc="0409001B">
      <w:start w:val="1"/>
      <w:numFmt w:val="lowerRoman"/>
      <w:lvlText w:val="%9."/>
      <w:lvlJc w:val="right"/>
      <w:pPr>
        <w:ind w:left="4400" w:hanging="400"/>
      </w:pPr>
    </w:lvl>
  </w:abstractNum>
  <w:abstractNum w:abstractNumId="3">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F92BF4"/>
    <w:multiLevelType w:val="hybridMultilevel"/>
    <w:tmpl w:val="CEFE8914"/>
    <w:lvl w:ilvl="0" w:tplc="041D0001">
      <w:start w:val="1"/>
      <w:numFmt w:val="bullet"/>
      <w:lvlText w:val=""/>
      <w:lvlJc w:val="left"/>
      <w:pPr>
        <w:ind w:left="942" w:hanging="400"/>
      </w:pPr>
      <w:rPr>
        <w:rFonts w:ascii="Symbol" w:hAnsi="Symbol"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5">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6">
    <w:nsid w:val="0D9E245D"/>
    <w:multiLevelType w:val="hybridMultilevel"/>
    <w:tmpl w:val="A01021D2"/>
    <w:lvl w:ilvl="0" w:tplc="0409000F">
      <w:start w:val="1"/>
      <w:numFmt w:val="decimal"/>
      <w:lvlText w:val="%1."/>
      <w:lvlJc w:val="left"/>
      <w:pPr>
        <w:ind w:left="942" w:hanging="400"/>
      </w:p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7">
    <w:nsid w:val="123A765A"/>
    <w:multiLevelType w:val="hybridMultilevel"/>
    <w:tmpl w:val="DCC03A64"/>
    <w:lvl w:ilvl="0" w:tplc="5220138C">
      <w:start w:val="1"/>
      <w:numFmt w:val="decimal"/>
      <w:lvlText w:val="%1."/>
      <w:lvlJc w:val="left"/>
      <w:pPr>
        <w:ind w:left="1160" w:hanging="360"/>
      </w:pPr>
    </w:lvl>
    <w:lvl w:ilvl="1" w:tplc="18BA17DC">
      <w:start w:val="1"/>
      <w:numFmt w:val="bullet"/>
      <w:lvlText w:val="•"/>
      <w:lvlJc w:val="left"/>
      <w:pPr>
        <w:ind w:left="1600" w:hanging="400"/>
      </w:pPr>
      <w:rPr>
        <w:rFonts w:ascii="Arial" w:hAnsi="Arial" w:cs="Times New Roman" w:hint="default"/>
      </w:rPr>
    </w:lvl>
    <w:lvl w:ilvl="2" w:tplc="2A38336A">
      <w:start w:val="1"/>
      <w:numFmt w:val="bullet"/>
      <w:lvlText w:val="–"/>
      <w:lvlJc w:val="left"/>
      <w:pPr>
        <w:ind w:left="2000" w:hanging="400"/>
      </w:pPr>
      <w:rPr>
        <w:rFonts w:ascii="Arial" w:hAnsi="Arial" w:cs="Times New Roman" w:hint="default"/>
      </w:rPr>
    </w:lvl>
    <w:lvl w:ilvl="3" w:tplc="2A38336A">
      <w:start w:val="1"/>
      <w:numFmt w:val="bullet"/>
      <w:lvlText w:val="–"/>
      <w:lvlJc w:val="left"/>
      <w:pPr>
        <w:ind w:left="2400" w:hanging="400"/>
      </w:pPr>
      <w:rPr>
        <w:rFonts w:ascii="Arial" w:hAnsi="Arial" w:cs="Times New Roman" w:hint="default"/>
      </w:rPr>
    </w:lvl>
    <w:lvl w:ilvl="4" w:tplc="04090019">
      <w:start w:val="1"/>
      <w:numFmt w:val="upperLetter"/>
      <w:lvlText w:val="%5."/>
      <w:lvlJc w:val="left"/>
      <w:pPr>
        <w:ind w:left="2800" w:hanging="400"/>
      </w:pPr>
    </w:lvl>
    <w:lvl w:ilvl="5" w:tplc="0409001B">
      <w:start w:val="1"/>
      <w:numFmt w:val="lowerRoman"/>
      <w:lvlText w:val="%6."/>
      <w:lvlJc w:val="right"/>
      <w:pPr>
        <w:ind w:left="3200" w:hanging="400"/>
      </w:pPr>
    </w:lvl>
    <w:lvl w:ilvl="6" w:tplc="0409000F">
      <w:start w:val="1"/>
      <w:numFmt w:val="decimal"/>
      <w:lvlText w:val="%7."/>
      <w:lvlJc w:val="left"/>
      <w:pPr>
        <w:ind w:left="3600" w:hanging="400"/>
      </w:pPr>
    </w:lvl>
    <w:lvl w:ilvl="7" w:tplc="04090019">
      <w:start w:val="1"/>
      <w:numFmt w:val="upperLetter"/>
      <w:lvlText w:val="%8."/>
      <w:lvlJc w:val="left"/>
      <w:pPr>
        <w:ind w:left="4000" w:hanging="400"/>
      </w:pPr>
    </w:lvl>
    <w:lvl w:ilvl="8" w:tplc="0409001B">
      <w:start w:val="1"/>
      <w:numFmt w:val="lowerRoman"/>
      <w:lvlText w:val="%9."/>
      <w:lvlJc w:val="right"/>
      <w:pPr>
        <w:ind w:left="4400" w:hanging="400"/>
      </w:pPr>
    </w:lvl>
  </w:abstractNum>
  <w:abstractNum w:abstractNumId="8">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42A1972"/>
    <w:multiLevelType w:val="hybridMultilevel"/>
    <w:tmpl w:val="B7AE4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C724F92"/>
    <w:multiLevelType w:val="hybridMultilevel"/>
    <w:tmpl w:val="9E908838"/>
    <w:lvl w:ilvl="0" w:tplc="04090001">
      <w:start w:val="1"/>
      <w:numFmt w:val="bullet"/>
      <w:lvlText w:val=""/>
      <w:lvlJc w:val="left"/>
      <w:pPr>
        <w:ind w:left="942" w:hanging="400"/>
      </w:pPr>
      <w:rPr>
        <w:rFonts w:ascii="Wingdings" w:hAnsi="Wingding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5">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nsid w:val="3A877D64"/>
    <w:multiLevelType w:val="singleLevel"/>
    <w:tmpl w:val="5DA6FC16"/>
    <w:lvl w:ilvl="0">
      <w:start w:val="1"/>
      <w:numFmt w:val="decimal"/>
      <w:pStyle w:val="References"/>
      <w:lvlText w:val="[%1]"/>
      <w:lvlJc w:val="left"/>
      <w:pPr>
        <w:tabs>
          <w:tab w:val="num" w:pos="3054"/>
        </w:tabs>
        <w:ind w:left="3054" w:hanging="360"/>
      </w:pPr>
    </w:lvl>
  </w:abstractNum>
  <w:abstractNum w:abstractNumId="20">
    <w:nsid w:val="3FFC5AA6"/>
    <w:multiLevelType w:val="hybridMultilevel"/>
    <w:tmpl w:val="D0C46EEE"/>
    <w:lvl w:ilvl="0" w:tplc="38E6602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4474583B"/>
    <w:multiLevelType w:val="hybridMultilevel"/>
    <w:tmpl w:val="17DCB036"/>
    <w:lvl w:ilvl="0" w:tplc="04090019">
      <w:start w:val="1"/>
      <w:numFmt w:val="upperLetter"/>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4AEB6A76"/>
    <w:multiLevelType w:val="hybridMultilevel"/>
    <w:tmpl w:val="1EFC2E8A"/>
    <w:lvl w:ilvl="0" w:tplc="04090001">
      <w:start w:val="1"/>
      <w:numFmt w:val="bullet"/>
      <w:lvlText w:val=""/>
      <w:lvlJc w:val="left"/>
      <w:pPr>
        <w:ind w:left="800" w:hanging="400"/>
      </w:pPr>
      <w:rPr>
        <w:rFonts w:ascii="Wingdings" w:hAnsi="Wingdings" w:hint="default"/>
      </w:rPr>
    </w:lvl>
    <w:lvl w:ilvl="1" w:tplc="FCEA2E9C">
      <w:start w:val="1"/>
      <w:numFmt w:val="bullet"/>
      <w:lvlText w:val="-"/>
      <w:lvlJc w:val="left"/>
      <w:pPr>
        <w:ind w:left="1200" w:hanging="400"/>
      </w:pPr>
      <w:rPr>
        <w:rFonts w:ascii="Arial" w:eastAsia="맑은 고딕"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7">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F191CAD"/>
    <w:multiLevelType w:val="hybridMultilevel"/>
    <w:tmpl w:val="B1C8C34E"/>
    <w:lvl w:ilvl="0" w:tplc="04090001">
      <w:start w:val="1"/>
      <w:numFmt w:val="bullet"/>
      <w:lvlText w:val=""/>
      <w:lvlJc w:val="left"/>
      <w:pPr>
        <w:ind w:left="720" w:hanging="360"/>
      </w:pPr>
      <w:rPr>
        <w:rFonts w:ascii="Symbol" w:hAnsi="Symbol" w:hint="default"/>
      </w:rPr>
    </w:lvl>
    <w:lvl w:ilvl="1" w:tplc="04090001">
      <w:start w:val="4"/>
      <w:numFmt w:val="bullet"/>
      <w:lvlText w:val=""/>
      <w:lvlJc w:val="left"/>
      <w:pPr>
        <w:ind w:left="1440" w:hanging="360"/>
      </w:pPr>
      <w:rPr>
        <w:rFonts w:ascii="Symbol" w:eastAsia="Times New Roman"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732738"/>
    <w:multiLevelType w:val="hybridMultilevel"/>
    <w:tmpl w:val="66F2AF84"/>
    <w:lvl w:ilvl="0" w:tplc="041D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nsid w:val="64711DB7"/>
    <w:multiLevelType w:val="hybridMultilevel"/>
    <w:tmpl w:val="3842C41A"/>
    <w:lvl w:ilvl="0" w:tplc="5220138C">
      <w:start w:val="1"/>
      <w:numFmt w:val="decimal"/>
      <w:lvlText w:val="%1."/>
      <w:lvlJc w:val="left"/>
      <w:pPr>
        <w:ind w:left="1160" w:hanging="360"/>
      </w:pPr>
    </w:lvl>
    <w:lvl w:ilvl="1" w:tplc="18BA17DC">
      <w:start w:val="1"/>
      <w:numFmt w:val="bullet"/>
      <w:lvlText w:val="•"/>
      <w:lvlJc w:val="left"/>
      <w:pPr>
        <w:ind w:left="1600" w:hanging="400"/>
      </w:pPr>
      <w:rPr>
        <w:rFonts w:ascii="Arial" w:hAnsi="Arial" w:cs="Times New Roman" w:hint="default"/>
      </w:rPr>
    </w:lvl>
    <w:lvl w:ilvl="2" w:tplc="2A38336A">
      <w:start w:val="1"/>
      <w:numFmt w:val="bullet"/>
      <w:lvlText w:val="–"/>
      <w:lvlJc w:val="left"/>
      <w:pPr>
        <w:ind w:left="2000" w:hanging="400"/>
      </w:pPr>
      <w:rPr>
        <w:rFonts w:ascii="Arial" w:hAnsi="Arial" w:cs="Times New Roman" w:hint="default"/>
      </w:rPr>
    </w:lvl>
    <w:lvl w:ilvl="3" w:tplc="2A38336A">
      <w:start w:val="1"/>
      <w:numFmt w:val="bullet"/>
      <w:lvlText w:val="–"/>
      <w:lvlJc w:val="left"/>
      <w:pPr>
        <w:ind w:left="2400" w:hanging="400"/>
      </w:pPr>
      <w:rPr>
        <w:rFonts w:ascii="Arial" w:hAnsi="Arial" w:cs="Times New Roman" w:hint="default"/>
      </w:rPr>
    </w:lvl>
    <w:lvl w:ilvl="4" w:tplc="04090019">
      <w:start w:val="1"/>
      <w:numFmt w:val="upperLetter"/>
      <w:lvlText w:val="%5."/>
      <w:lvlJc w:val="left"/>
      <w:pPr>
        <w:ind w:left="2800" w:hanging="400"/>
      </w:pPr>
    </w:lvl>
    <w:lvl w:ilvl="5" w:tplc="0409001B">
      <w:start w:val="1"/>
      <w:numFmt w:val="lowerRoman"/>
      <w:lvlText w:val="%6."/>
      <w:lvlJc w:val="right"/>
      <w:pPr>
        <w:ind w:left="3200" w:hanging="400"/>
      </w:pPr>
    </w:lvl>
    <w:lvl w:ilvl="6" w:tplc="0409000F">
      <w:start w:val="1"/>
      <w:numFmt w:val="decimal"/>
      <w:lvlText w:val="%7."/>
      <w:lvlJc w:val="left"/>
      <w:pPr>
        <w:ind w:left="3600" w:hanging="400"/>
      </w:pPr>
    </w:lvl>
    <w:lvl w:ilvl="7" w:tplc="04090019">
      <w:start w:val="1"/>
      <w:numFmt w:val="upperLetter"/>
      <w:lvlText w:val="%8."/>
      <w:lvlJc w:val="left"/>
      <w:pPr>
        <w:ind w:left="4000" w:hanging="400"/>
      </w:pPr>
    </w:lvl>
    <w:lvl w:ilvl="8" w:tplc="0409001B">
      <w:start w:val="1"/>
      <w:numFmt w:val="lowerRoman"/>
      <w:lvlText w:val="%9."/>
      <w:lvlJc w:val="right"/>
      <w:pPr>
        <w:ind w:left="4400" w:hanging="400"/>
      </w:pPr>
    </w:lvl>
  </w:abstractNum>
  <w:abstractNum w:abstractNumId="32">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nsid w:val="770F4A60"/>
    <w:multiLevelType w:val="hybridMultilevel"/>
    <w:tmpl w:val="2EBEB200"/>
    <w:lvl w:ilvl="0" w:tplc="04090001">
      <w:start w:val="1"/>
      <w:numFmt w:val="bullet"/>
      <w:lvlText w:val=""/>
      <w:lvlJc w:val="left"/>
      <w:pPr>
        <w:ind w:left="800" w:hanging="400"/>
      </w:pPr>
      <w:rPr>
        <w:rFonts w:ascii="Wingdings" w:hAnsi="Wingdings" w:hint="default"/>
      </w:rPr>
    </w:lvl>
    <w:lvl w:ilvl="1" w:tplc="327E95C2">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6">
    <w:nsid w:val="77816E17"/>
    <w:multiLevelType w:val="hybridMultilevel"/>
    <w:tmpl w:val="4E465B2A"/>
    <w:lvl w:ilvl="0" w:tplc="04090001">
      <w:start w:val="1"/>
      <w:numFmt w:val="bullet"/>
      <w:lvlText w:val=""/>
      <w:lvlJc w:val="left"/>
      <w:pPr>
        <w:ind w:left="720" w:hanging="360"/>
      </w:pPr>
      <w:rPr>
        <w:rFonts w:ascii="Symbol" w:hAnsi="Symbol" w:hint="default"/>
      </w:rPr>
    </w:lvl>
    <w:lvl w:ilvl="1" w:tplc="04090001">
      <w:start w:val="4"/>
      <w:numFmt w:val="bullet"/>
      <w:lvlText w:val=""/>
      <w:lvlJc w:val="left"/>
      <w:pPr>
        <w:ind w:left="1440" w:hanging="360"/>
      </w:pPr>
      <w:rPr>
        <w:rFonts w:ascii="Symbol" w:eastAsia="Times New Roman"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2"/>
  </w:num>
  <w:num w:numId="2">
    <w:abstractNumId w:val="0"/>
  </w:num>
  <w:num w:numId="3">
    <w:abstractNumId w:val="19"/>
  </w:num>
  <w:num w:numId="4">
    <w:abstractNumId w:val="13"/>
  </w:num>
  <w:num w:numId="5">
    <w:abstractNumId w:val="39"/>
  </w:num>
  <w:num w:numId="6">
    <w:abstractNumId w:val="11"/>
  </w:num>
  <w:num w:numId="7">
    <w:abstractNumId w:val="17"/>
  </w:num>
  <w:num w:numId="8">
    <w:abstractNumId w:val="33"/>
  </w:num>
  <w:num w:numId="9">
    <w:abstractNumId w:val="15"/>
  </w:num>
  <w:num w:numId="10">
    <w:abstractNumId w:val="21"/>
  </w:num>
  <w:num w:numId="11">
    <w:abstractNumId w:val="27"/>
  </w:num>
  <w:num w:numId="12">
    <w:abstractNumId w:val="5"/>
  </w:num>
  <w:num w:numId="13">
    <w:abstractNumId w:val="3"/>
  </w:num>
  <w:num w:numId="14">
    <w:abstractNumId w:val="2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4"/>
  </w:num>
  <w:num w:numId="18">
    <w:abstractNumId w:val="10"/>
  </w:num>
  <w:num w:numId="19">
    <w:abstractNumId w:val="9"/>
  </w:num>
  <w:num w:numId="20">
    <w:abstractNumId w:val="1"/>
  </w:num>
  <w:num w:numId="21">
    <w:abstractNumId w:val="35"/>
  </w:num>
  <w:num w:numId="22">
    <w:abstractNumId w:val="34"/>
  </w:num>
  <w:num w:numId="23">
    <w:abstractNumId w:val="18"/>
  </w:num>
  <w:num w:numId="24">
    <w:abstractNumId w:val="8"/>
  </w:num>
  <w:num w:numId="25">
    <w:abstractNumId w:val="25"/>
  </w:num>
  <w:num w:numId="26">
    <w:abstractNumId w:val="19"/>
  </w:num>
  <w:num w:numId="27">
    <w:abstractNumId w:val="19"/>
  </w:num>
  <w:num w:numId="28">
    <w:abstractNumId w:val="23"/>
  </w:num>
  <w:num w:numId="29">
    <w:abstractNumId w:val="20"/>
  </w:num>
  <w:num w:numId="30">
    <w:abstractNumId w:val="19"/>
  </w:num>
  <w:num w:numId="31">
    <w:abstractNumId w:val="19"/>
  </w:num>
  <w:num w:numId="32">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14"/>
  </w:num>
  <w:num w:numId="37">
    <w:abstractNumId w:val="4"/>
  </w:num>
  <w:num w:numId="38">
    <w:abstractNumId w:val="37"/>
  </w:num>
  <w:num w:numId="39">
    <w:abstractNumId w:val="28"/>
  </w:num>
  <w:num w:numId="40">
    <w:abstractNumId w:val="30"/>
  </w:num>
  <w:num w:numId="41">
    <w:abstractNumId w:val="19"/>
  </w:num>
  <w:num w:numId="42">
    <w:abstractNumId w:val="19"/>
  </w:num>
  <w:num w:numId="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22"/>
  </w:num>
  <w:num w:numId="46">
    <w:abstractNumId w:val="36"/>
  </w:num>
  <w:num w:numId="47">
    <w:abstractNumId w:val="29"/>
  </w:num>
  <w:num w:numId="4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3DAD"/>
    <w:rsid w:val="000044CF"/>
    <w:rsid w:val="00004AC2"/>
    <w:rsid w:val="00005297"/>
    <w:rsid w:val="00005A6B"/>
    <w:rsid w:val="00005AAF"/>
    <w:rsid w:val="00005BB2"/>
    <w:rsid w:val="00006605"/>
    <w:rsid w:val="0000699B"/>
    <w:rsid w:val="00006D0D"/>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47A"/>
    <w:rsid w:val="00021A12"/>
    <w:rsid w:val="00021CF8"/>
    <w:rsid w:val="0002220F"/>
    <w:rsid w:val="00022592"/>
    <w:rsid w:val="000227D0"/>
    <w:rsid w:val="0002286B"/>
    <w:rsid w:val="000234FA"/>
    <w:rsid w:val="00023686"/>
    <w:rsid w:val="00023BB8"/>
    <w:rsid w:val="00024393"/>
    <w:rsid w:val="00024BCF"/>
    <w:rsid w:val="00024DD0"/>
    <w:rsid w:val="00025352"/>
    <w:rsid w:val="000258B7"/>
    <w:rsid w:val="00025E17"/>
    <w:rsid w:val="00026A2E"/>
    <w:rsid w:val="00026B5A"/>
    <w:rsid w:val="000278C9"/>
    <w:rsid w:val="00027AEA"/>
    <w:rsid w:val="00027D5A"/>
    <w:rsid w:val="00030B53"/>
    <w:rsid w:val="00031028"/>
    <w:rsid w:val="00031654"/>
    <w:rsid w:val="00031838"/>
    <w:rsid w:val="00031B83"/>
    <w:rsid w:val="00033221"/>
    <w:rsid w:val="0003348E"/>
    <w:rsid w:val="000337B2"/>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8F1"/>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105"/>
    <w:rsid w:val="000A36CA"/>
    <w:rsid w:val="000A39C9"/>
    <w:rsid w:val="000A3CB8"/>
    <w:rsid w:val="000A3E19"/>
    <w:rsid w:val="000A43E5"/>
    <w:rsid w:val="000A441D"/>
    <w:rsid w:val="000A4550"/>
    <w:rsid w:val="000A4733"/>
    <w:rsid w:val="000A48E2"/>
    <w:rsid w:val="000A495F"/>
    <w:rsid w:val="000A4C94"/>
    <w:rsid w:val="000A4F50"/>
    <w:rsid w:val="000A4F85"/>
    <w:rsid w:val="000A5390"/>
    <w:rsid w:val="000A6022"/>
    <w:rsid w:val="000A6110"/>
    <w:rsid w:val="000A6181"/>
    <w:rsid w:val="000A664A"/>
    <w:rsid w:val="000A682E"/>
    <w:rsid w:val="000A7344"/>
    <w:rsid w:val="000B0804"/>
    <w:rsid w:val="000B0E82"/>
    <w:rsid w:val="000B1172"/>
    <w:rsid w:val="000B118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731"/>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D12"/>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B9D"/>
    <w:rsid w:val="000E1DAB"/>
    <w:rsid w:val="000E22D1"/>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AB4"/>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1D0"/>
    <w:rsid w:val="000F66B8"/>
    <w:rsid w:val="000F6A4D"/>
    <w:rsid w:val="000F6C81"/>
    <w:rsid w:val="000F7099"/>
    <w:rsid w:val="000F7468"/>
    <w:rsid w:val="000F74D0"/>
    <w:rsid w:val="000F7660"/>
    <w:rsid w:val="000F768D"/>
    <w:rsid w:val="000F7F52"/>
    <w:rsid w:val="001007A3"/>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4F92"/>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65A"/>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0BA8"/>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C63"/>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6330"/>
    <w:rsid w:val="001A69ED"/>
    <w:rsid w:val="001A6A5C"/>
    <w:rsid w:val="001A73A2"/>
    <w:rsid w:val="001A7A6F"/>
    <w:rsid w:val="001A7E83"/>
    <w:rsid w:val="001B096C"/>
    <w:rsid w:val="001B0A0E"/>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85"/>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52E"/>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1FB9"/>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D89"/>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5EC1"/>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D15"/>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6A13"/>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1F9A"/>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D4"/>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079"/>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3BDA"/>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968"/>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3F36"/>
    <w:rsid w:val="002B4255"/>
    <w:rsid w:val="002B4C66"/>
    <w:rsid w:val="002B51CB"/>
    <w:rsid w:val="002B5613"/>
    <w:rsid w:val="002B5F2B"/>
    <w:rsid w:val="002B6381"/>
    <w:rsid w:val="002B67C5"/>
    <w:rsid w:val="002B6D9D"/>
    <w:rsid w:val="002B6E87"/>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4AC"/>
    <w:rsid w:val="002C58BF"/>
    <w:rsid w:val="002C5935"/>
    <w:rsid w:val="002C5BD3"/>
    <w:rsid w:val="002C66BD"/>
    <w:rsid w:val="002C69CB"/>
    <w:rsid w:val="002C6DD9"/>
    <w:rsid w:val="002C7487"/>
    <w:rsid w:val="002C7910"/>
    <w:rsid w:val="002C7D39"/>
    <w:rsid w:val="002C7EF3"/>
    <w:rsid w:val="002D0266"/>
    <w:rsid w:val="002D041A"/>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E5F"/>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26C"/>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6E9"/>
    <w:rsid w:val="00317B5E"/>
    <w:rsid w:val="00320045"/>
    <w:rsid w:val="00320339"/>
    <w:rsid w:val="00320A37"/>
    <w:rsid w:val="00320E71"/>
    <w:rsid w:val="0032148D"/>
    <w:rsid w:val="00321839"/>
    <w:rsid w:val="00321ABD"/>
    <w:rsid w:val="00321B0A"/>
    <w:rsid w:val="00321CBC"/>
    <w:rsid w:val="00321D27"/>
    <w:rsid w:val="00322257"/>
    <w:rsid w:val="003225DA"/>
    <w:rsid w:val="00322D2C"/>
    <w:rsid w:val="00322EDB"/>
    <w:rsid w:val="00323422"/>
    <w:rsid w:val="00323B61"/>
    <w:rsid w:val="00323F67"/>
    <w:rsid w:val="00325BE8"/>
    <w:rsid w:val="00326914"/>
    <w:rsid w:val="003269ED"/>
    <w:rsid w:val="0032749A"/>
    <w:rsid w:val="003276EA"/>
    <w:rsid w:val="00327706"/>
    <w:rsid w:val="003278CE"/>
    <w:rsid w:val="003278E8"/>
    <w:rsid w:val="00327A31"/>
    <w:rsid w:val="00327C80"/>
    <w:rsid w:val="00327EA6"/>
    <w:rsid w:val="00327EC6"/>
    <w:rsid w:val="00330677"/>
    <w:rsid w:val="0033084A"/>
    <w:rsid w:val="00330E1D"/>
    <w:rsid w:val="00331243"/>
    <w:rsid w:val="00331DDE"/>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43F"/>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D12"/>
    <w:rsid w:val="00353EF4"/>
    <w:rsid w:val="0035406F"/>
    <w:rsid w:val="003545AB"/>
    <w:rsid w:val="0035479A"/>
    <w:rsid w:val="00354D99"/>
    <w:rsid w:val="003553F3"/>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3473"/>
    <w:rsid w:val="003738F6"/>
    <w:rsid w:val="00373D9D"/>
    <w:rsid w:val="00374183"/>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6D04"/>
    <w:rsid w:val="0038759B"/>
    <w:rsid w:val="0038771B"/>
    <w:rsid w:val="00387FE5"/>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D4B"/>
    <w:rsid w:val="003B60D8"/>
    <w:rsid w:val="003B6537"/>
    <w:rsid w:val="003B6F6C"/>
    <w:rsid w:val="003B7687"/>
    <w:rsid w:val="003B7707"/>
    <w:rsid w:val="003B7782"/>
    <w:rsid w:val="003B7B12"/>
    <w:rsid w:val="003B7E79"/>
    <w:rsid w:val="003C02A0"/>
    <w:rsid w:val="003C032C"/>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B4E"/>
    <w:rsid w:val="00415D66"/>
    <w:rsid w:val="00415D69"/>
    <w:rsid w:val="00415E04"/>
    <w:rsid w:val="00415F2B"/>
    <w:rsid w:val="0041676E"/>
    <w:rsid w:val="00416859"/>
    <w:rsid w:val="00417065"/>
    <w:rsid w:val="0041771E"/>
    <w:rsid w:val="004179C1"/>
    <w:rsid w:val="00417C6E"/>
    <w:rsid w:val="004200D3"/>
    <w:rsid w:val="004200DC"/>
    <w:rsid w:val="00420299"/>
    <w:rsid w:val="00420410"/>
    <w:rsid w:val="00420617"/>
    <w:rsid w:val="004206BD"/>
    <w:rsid w:val="0042074E"/>
    <w:rsid w:val="004208A8"/>
    <w:rsid w:val="004208C0"/>
    <w:rsid w:val="00420D9A"/>
    <w:rsid w:val="00421253"/>
    <w:rsid w:val="00421712"/>
    <w:rsid w:val="00421EAF"/>
    <w:rsid w:val="00421EE7"/>
    <w:rsid w:val="004220AF"/>
    <w:rsid w:val="0042290D"/>
    <w:rsid w:val="00423227"/>
    <w:rsid w:val="004234DA"/>
    <w:rsid w:val="00423565"/>
    <w:rsid w:val="004236E7"/>
    <w:rsid w:val="00423AF6"/>
    <w:rsid w:val="00423C0D"/>
    <w:rsid w:val="00423F0B"/>
    <w:rsid w:val="00424126"/>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0F4"/>
    <w:rsid w:val="00432222"/>
    <w:rsid w:val="004322CE"/>
    <w:rsid w:val="0043257D"/>
    <w:rsid w:val="004327FE"/>
    <w:rsid w:val="004328BA"/>
    <w:rsid w:val="00432A77"/>
    <w:rsid w:val="00432D2C"/>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4B"/>
    <w:rsid w:val="004407C1"/>
    <w:rsid w:val="00440BD1"/>
    <w:rsid w:val="00440CB8"/>
    <w:rsid w:val="0044102A"/>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550"/>
    <w:rsid w:val="00450890"/>
    <w:rsid w:val="00450B25"/>
    <w:rsid w:val="00450CDE"/>
    <w:rsid w:val="00450E06"/>
    <w:rsid w:val="00452109"/>
    <w:rsid w:val="004521B9"/>
    <w:rsid w:val="0045222E"/>
    <w:rsid w:val="00452BE2"/>
    <w:rsid w:val="00452C8B"/>
    <w:rsid w:val="00452E40"/>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4D9B"/>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890"/>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6AFE"/>
    <w:rsid w:val="004B71F9"/>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455"/>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65C"/>
    <w:rsid w:val="004F1861"/>
    <w:rsid w:val="004F357D"/>
    <w:rsid w:val="004F3641"/>
    <w:rsid w:val="004F36D3"/>
    <w:rsid w:val="004F40AB"/>
    <w:rsid w:val="004F4CF5"/>
    <w:rsid w:val="004F513A"/>
    <w:rsid w:val="004F5457"/>
    <w:rsid w:val="004F563F"/>
    <w:rsid w:val="004F5AC5"/>
    <w:rsid w:val="004F65B3"/>
    <w:rsid w:val="004F6816"/>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2F"/>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6E78"/>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9DB"/>
    <w:rsid w:val="00527252"/>
    <w:rsid w:val="00527A19"/>
    <w:rsid w:val="00527FE6"/>
    <w:rsid w:val="00530059"/>
    <w:rsid w:val="005301AE"/>
    <w:rsid w:val="00530457"/>
    <w:rsid w:val="005308D0"/>
    <w:rsid w:val="00530DE3"/>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1C04"/>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4F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474"/>
    <w:rsid w:val="00564545"/>
    <w:rsid w:val="005646B8"/>
    <w:rsid w:val="00565F03"/>
    <w:rsid w:val="005664EE"/>
    <w:rsid w:val="00566EAC"/>
    <w:rsid w:val="0056726D"/>
    <w:rsid w:val="00567B4D"/>
    <w:rsid w:val="0057014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85A"/>
    <w:rsid w:val="00583D7F"/>
    <w:rsid w:val="0058420E"/>
    <w:rsid w:val="0058451F"/>
    <w:rsid w:val="00584B57"/>
    <w:rsid w:val="00584E86"/>
    <w:rsid w:val="00584EC1"/>
    <w:rsid w:val="00584F26"/>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7A"/>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AAE"/>
    <w:rsid w:val="005F0BEC"/>
    <w:rsid w:val="005F0BF6"/>
    <w:rsid w:val="005F0E8E"/>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B96"/>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4AA9"/>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5F7"/>
    <w:rsid w:val="006179C6"/>
    <w:rsid w:val="00617DD7"/>
    <w:rsid w:val="00617DFA"/>
    <w:rsid w:val="00617E22"/>
    <w:rsid w:val="0062062B"/>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169"/>
    <w:rsid w:val="006351F4"/>
    <w:rsid w:val="00635358"/>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3E00"/>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12A"/>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099"/>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A01"/>
    <w:rsid w:val="006B1B21"/>
    <w:rsid w:val="006B1B55"/>
    <w:rsid w:val="006B1ECE"/>
    <w:rsid w:val="006B1F0F"/>
    <w:rsid w:val="006B2131"/>
    <w:rsid w:val="006B26B6"/>
    <w:rsid w:val="006B2AC5"/>
    <w:rsid w:val="006B2C6F"/>
    <w:rsid w:val="006B2C7D"/>
    <w:rsid w:val="006B2E51"/>
    <w:rsid w:val="006B3D17"/>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8B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5FC"/>
    <w:rsid w:val="006E5BDC"/>
    <w:rsid w:val="006E5C1C"/>
    <w:rsid w:val="006E5DED"/>
    <w:rsid w:val="006E601E"/>
    <w:rsid w:val="006E615F"/>
    <w:rsid w:val="006E7D87"/>
    <w:rsid w:val="006F0C0E"/>
    <w:rsid w:val="006F1490"/>
    <w:rsid w:val="006F15ED"/>
    <w:rsid w:val="006F218F"/>
    <w:rsid w:val="006F290B"/>
    <w:rsid w:val="006F3EDB"/>
    <w:rsid w:val="006F4D0C"/>
    <w:rsid w:val="006F54C4"/>
    <w:rsid w:val="006F5522"/>
    <w:rsid w:val="006F579B"/>
    <w:rsid w:val="006F5A36"/>
    <w:rsid w:val="006F5B09"/>
    <w:rsid w:val="006F5E82"/>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1786F"/>
    <w:rsid w:val="007202C5"/>
    <w:rsid w:val="00720555"/>
    <w:rsid w:val="00721F6C"/>
    <w:rsid w:val="0072222F"/>
    <w:rsid w:val="0072228E"/>
    <w:rsid w:val="0072265E"/>
    <w:rsid w:val="00722C18"/>
    <w:rsid w:val="007232DA"/>
    <w:rsid w:val="007235A9"/>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6E6"/>
    <w:rsid w:val="007278A6"/>
    <w:rsid w:val="00730E9C"/>
    <w:rsid w:val="00731191"/>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02B"/>
    <w:rsid w:val="00782443"/>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1FDC"/>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4DB"/>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A73"/>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9A8"/>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BED"/>
    <w:rsid w:val="007F1E29"/>
    <w:rsid w:val="007F2263"/>
    <w:rsid w:val="007F261A"/>
    <w:rsid w:val="007F27A5"/>
    <w:rsid w:val="007F2DE8"/>
    <w:rsid w:val="007F2F75"/>
    <w:rsid w:val="007F3425"/>
    <w:rsid w:val="007F3628"/>
    <w:rsid w:val="007F37A3"/>
    <w:rsid w:val="007F39A0"/>
    <w:rsid w:val="007F4114"/>
    <w:rsid w:val="007F455C"/>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766"/>
    <w:rsid w:val="00822D6D"/>
    <w:rsid w:val="0082309A"/>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360"/>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170"/>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3B4C"/>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0D8"/>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55F"/>
    <w:rsid w:val="008B36DD"/>
    <w:rsid w:val="008B37A4"/>
    <w:rsid w:val="008B3C1C"/>
    <w:rsid w:val="008B3F53"/>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70"/>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61E"/>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B4D"/>
    <w:rsid w:val="00943DB6"/>
    <w:rsid w:val="0094412E"/>
    <w:rsid w:val="00944A5D"/>
    <w:rsid w:val="00944E9E"/>
    <w:rsid w:val="00944F04"/>
    <w:rsid w:val="0094534D"/>
    <w:rsid w:val="0094570E"/>
    <w:rsid w:val="009457A5"/>
    <w:rsid w:val="00945947"/>
    <w:rsid w:val="0094613A"/>
    <w:rsid w:val="009463EB"/>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CF5"/>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75A"/>
    <w:rsid w:val="00967AF1"/>
    <w:rsid w:val="00967B81"/>
    <w:rsid w:val="0097052E"/>
    <w:rsid w:val="00970E27"/>
    <w:rsid w:val="009710A1"/>
    <w:rsid w:val="00971CB5"/>
    <w:rsid w:val="00971EB1"/>
    <w:rsid w:val="00972146"/>
    <w:rsid w:val="00972889"/>
    <w:rsid w:val="00972A0E"/>
    <w:rsid w:val="00972B16"/>
    <w:rsid w:val="00972C1C"/>
    <w:rsid w:val="00973649"/>
    <w:rsid w:val="00973C76"/>
    <w:rsid w:val="00973DD0"/>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1E78"/>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4E"/>
    <w:rsid w:val="00990A47"/>
    <w:rsid w:val="00990CF5"/>
    <w:rsid w:val="00990EDD"/>
    <w:rsid w:val="00991DBC"/>
    <w:rsid w:val="00992229"/>
    <w:rsid w:val="0099241A"/>
    <w:rsid w:val="00992B3F"/>
    <w:rsid w:val="00992CFB"/>
    <w:rsid w:val="00993095"/>
    <w:rsid w:val="0099322D"/>
    <w:rsid w:val="00993AED"/>
    <w:rsid w:val="00994872"/>
    <w:rsid w:val="009948ED"/>
    <w:rsid w:val="00994906"/>
    <w:rsid w:val="00994A63"/>
    <w:rsid w:val="00995422"/>
    <w:rsid w:val="009959B6"/>
    <w:rsid w:val="00995EFD"/>
    <w:rsid w:val="00995F97"/>
    <w:rsid w:val="009961F3"/>
    <w:rsid w:val="009968CA"/>
    <w:rsid w:val="00996D51"/>
    <w:rsid w:val="00997135"/>
    <w:rsid w:val="00997351"/>
    <w:rsid w:val="009975F8"/>
    <w:rsid w:val="00997715"/>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58B"/>
    <w:rsid w:val="009B4DA5"/>
    <w:rsid w:val="009B63E0"/>
    <w:rsid w:val="009B66C3"/>
    <w:rsid w:val="009B6A50"/>
    <w:rsid w:val="009B6B1C"/>
    <w:rsid w:val="009B6F6F"/>
    <w:rsid w:val="009B70C5"/>
    <w:rsid w:val="009B70FE"/>
    <w:rsid w:val="009B7756"/>
    <w:rsid w:val="009C01A2"/>
    <w:rsid w:val="009C04BB"/>
    <w:rsid w:val="009C067F"/>
    <w:rsid w:val="009C0D48"/>
    <w:rsid w:val="009C113D"/>
    <w:rsid w:val="009C1D3B"/>
    <w:rsid w:val="009C1D5B"/>
    <w:rsid w:val="009C2246"/>
    <w:rsid w:val="009C2304"/>
    <w:rsid w:val="009C24A2"/>
    <w:rsid w:val="009C2629"/>
    <w:rsid w:val="009C263C"/>
    <w:rsid w:val="009C2B76"/>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8F7"/>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6D29"/>
    <w:rsid w:val="009F7C42"/>
    <w:rsid w:val="009F7F6B"/>
    <w:rsid w:val="00A0019B"/>
    <w:rsid w:val="00A001E4"/>
    <w:rsid w:val="00A00335"/>
    <w:rsid w:val="00A004CC"/>
    <w:rsid w:val="00A00FCE"/>
    <w:rsid w:val="00A01B1E"/>
    <w:rsid w:val="00A02556"/>
    <w:rsid w:val="00A031AD"/>
    <w:rsid w:val="00A034BD"/>
    <w:rsid w:val="00A03930"/>
    <w:rsid w:val="00A03E42"/>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0DDB"/>
    <w:rsid w:val="00A41BDB"/>
    <w:rsid w:val="00A4215F"/>
    <w:rsid w:val="00A42197"/>
    <w:rsid w:val="00A42618"/>
    <w:rsid w:val="00A42A1F"/>
    <w:rsid w:val="00A435D9"/>
    <w:rsid w:val="00A43D67"/>
    <w:rsid w:val="00A440DA"/>
    <w:rsid w:val="00A4414E"/>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148"/>
    <w:rsid w:val="00A60692"/>
    <w:rsid w:val="00A606A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8EE"/>
    <w:rsid w:val="00A71D7E"/>
    <w:rsid w:val="00A7260D"/>
    <w:rsid w:val="00A72E55"/>
    <w:rsid w:val="00A731E1"/>
    <w:rsid w:val="00A737FC"/>
    <w:rsid w:val="00A744CC"/>
    <w:rsid w:val="00A751D8"/>
    <w:rsid w:val="00A75205"/>
    <w:rsid w:val="00A75327"/>
    <w:rsid w:val="00A75ACC"/>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D93"/>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7B"/>
    <w:rsid w:val="00AB5F90"/>
    <w:rsid w:val="00AB61AA"/>
    <w:rsid w:val="00AB626B"/>
    <w:rsid w:val="00AB674A"/>
    <w:rsid w:val="00AB6FC1"/>
    <w:rsid w:val="00AB713D"/>
    <w:rsid w:val="00AB7697"/>
    <w:rsid w:val="00AC0172"/>
    <w:rsid w:val="00AC0784"/>
    <w:rsid w:val="00AC0835"/>
    <w:rsid w:val="00AC0C4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15"/>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2F02"/>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1D7"/>
    <w:rsid w:val="00B32B16"/>
    <w:rsid w:val="00B332E5"/>
    <w:rsid w:val="00B335F3"/>
    <w:rsid w:val="00B33FC6"/>
    <w:rsid w:val="00B344F1"/>
    <w:rsid w:val="00B3457F"/>
    <w:rsid w:val="00B34C16"/>
    <w:rsid w:val="00B34D71"/>
    <w:rsid w:val="00B351E3"/>
    <w:rsid w:val="00B35542"/>
    <w:rsid w:val="00B35D34"/>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1FF"/>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AC4"/>
    <w:rsid w:val="00BA3C78"/>
    <w:rsid w:val="00BA405D"/>
    <w:rsid w:val="00BA41F4"/>
    <w:rsid w:val="00BA4311"/>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37C"/>
    <w:rsid w:val="00BC455D"/>
    <w:rsid w:val="00BC4B18"/>
    <w:rsid w:val="00BC4B65"/>
    <w:rsid w:val="00BC509A"/>
    <w:rsid w:val="00BC5574"/>
    <w:rsid w:val="00BC60E7"/>
    <w:rsid w:val="00BC615F"/>
    <w:rsid w:val="00BC6B4C"/>
    <w:rsid w:val="00BC6D0D"/>
    <w:rsid w:val="00BC73CC"/>
    <w:rsid w:val="00BD02D2"/>
    <w:rsid w:val="00BD1156"/>
    <w:rsid w:val="00BD244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89D"/>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27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39F"/>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8"/>
    <w:rsid w:val="00C72F39"/>
    <w:rsid w:val="00C7339C"/>
    <w:rsid w:val="00C73739"/>
    <w:rsid w:val="00C73FD9"/>
    <w:rsid w:val="00C74F72"/>
    <w:rsid w:val="00C753D3"/>
    <w:rsid w:val="00C7652B"/>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A3"/>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184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6CF3"/>
    <w:rsid w:val="00CD75C5"/>
    <w:rsid w:val="00CD7D55"/>
    <w:rsid w:val="00CD7F38"/>
    <w:rsid w:val="00CE0B11"/>
    <w:rsid w:val="00CE0BBA"/>
    <w:rsid w:val="00CE1295"/>
    <w:rsid w:val="00CE155F"/>
    <w:rsid w:val="00CE169B"/>
    <w:rsid w:val="00CE1BD1"/>
    <w:rsid w:val="00CE1C94"/>
    <w:rsid w:val="00CE1CA7"/>
    <w:rsid w:val="00CE1E25"/>
    <w:rsid w:val="00CE1ED2"/>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0C9E"/>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0BD"/>
    <w:rsid w:val="00CF5B93"/>
    <w:rsid w:val="00CF5DDA"/>
    <w:rsid w:val="00CF5E8A"/>
    <w:rsid w:val="00CF6394"/>
    <w:rsid w:val="00CF65AF"/>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870"/>
    <w:rsid w:val="00D22B54"/>
    <w:rsid w:val="00D2308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431"/>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AE8"/>
    <w:rsid w:val="00D62E50"/>
    <w:rsid w:val="00D63121"/>
    <w:rsid w:val="00D6323F"/>
    <w:rsid w:val="00D63867"/>
    <w:rsid w:val="00D63DEC"/>
    <w:rsid w:val="00D64210"/>
    <w:rsid w:val="00D6454F"/>
    <w:rsid w:val="00D645F9"/>
    <w:rsid w:val="00D6534F"/>
    <w:rsid w:val="00D6538B"/>
    <w:rsid w:val="00D657A7"/>
    <w:rsid w:val="00D6602A"/>
    <w:rsid w:val="00D6618E"/>
    <w:rsid w:val="00D6652E"/>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DC"/>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2E2"/>
    <w:rsid w:val="00D92545"/>
    <w:rsid w:val="00D92548"/>
    <w:rsid w:val="00D92AD4"/>
    <w:rsid w:val="00D92C1F"/>
    <w:rsid w:val="00D92EBC"/>
    <w:rsid w:val="00D93C25"/>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C7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2F28"/>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574F"/>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0AD"/>
    <w:rsid w:val="00E1466F"/>
    <w:rsid w:val="00E146DA"/>
    <w:rsid w:val="00E162A4"/>
    <w:rsid w:val="00E16719"/>
    <w:rsid w:val="00E16D56"/>
    <w:rsid w:val="00E16E4C"/>
    <w:rsid w:val="00E174E7"/>
    <w:rsid w:val="00E179BC"/>
    <w:rsid w:val="00E20512"/>
    <w:rsid w:val="00E2073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260A"/>
    <w:rsid w:val="00E32D0F"/>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5C3"/>
    <w:rsid w:val="00E47AA0"/>
    <w:rsid w:val="00E47DDF"/>
    <w:rsid w:val="00E50B81"/>
    <w:rsid w:val="00E50F3A"/>
    <w:rsid w:val="00E51147"/>
    <w:rsid w:val="00E51451"/>
    <w:rsid w:val="00E51494"/>
    <w:rsid w:val="00E51BB7"/>
    <w:rsid w:val="00E51D4C"/>
    <w:rsid w:val="00E51DC2"/>
    <w:rsid w:val="00E51F51"/>
    <w:rsid w:val="00E523A1"/>
    <w:rsid w:val="00E53166"/>
    <w:rsid w:val="00E5375F"/>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A7"/>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A5E"/>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C7CE7"/>
    <w:rsid w:val="00ED01D6"/>
    <w:rsid w:val="00ED0A6C"/>
    <w:rsid w:val="00ED0A7F"/>
    <w:rsid w:val="00ED0F19"/>
    <w:rsid w:val="00ED102C"/>
    <w:rsid w:val="00ED119C"/>
    <w:rsid w:val="00ED1688"/>
    <w:rsid w:val="00ED1A7B"/>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4FC"/>
    <w:rsid w:val="00ED7DA9"/>
    <w:rsid w:val="00EE0676"/>
    <w:rsid w:val="00EE0B9E"/>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A6F"/>
    <w:rsid w:val="00EF6B5A"/>
    <w:rsid w:val="00EF6DB5"/>
    <w:rsid w:val="00EF6FA7"/>
    <w:rsid w:val="00F001CB"/>
    <w:rsid w:val="00F00A74"/>
    <w:rsid w:val="00F00E09"/>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E44"/>
    <w:rsid w:val="00F75E5A"/>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4DCD"/>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744"/>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47E"/>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3056"/>
    <w:rsid w:val="00FE338D"/>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09E23"/>
  <w15:chartTrackingRefBased/>
  <w15:docId w15:val="{68295C81-5806-4F7B-A524-012EDB366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Lista1,列出段落1,中等深浅网格 1 - 着色 21,列表段落"/>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 ?? Char,????? Char,???? Char,Lista1 Char,列出段落1 Char,中等深浅网格 1 - 着色 21 Char,列表段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48230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617336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004380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6E912-4CC0-4258-803C-91571E14E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7189</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 changhwan.park</cp:lastModifiedBy>
  <cp:revision>3</cp:revision>
  <cp:lastPrinted>2010-11-09T05:20:00Z</cp:lastPrinted>
  <dcterms:created xsi:type="dcterms:W3CDTF">2019-03-28T11:46:00Z</dcterms:created>
  <dcterms:modified xsi:type="dcterms:W3CDTF">2019-03-28T11:46:00Z</dcterms:modified>
</cp:coreProperties>
</file>