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7A236787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6E6641">
        <w:rPr>
          <w:rFonts w:ascii="Arial" w:hAnsi="Arial" w:cs="Arial"/>
          <w:b/>
          <w:sz w:val="24"/>
          <w:szCs w:val="24"/>
        </w:rPr>
        <w:t>6</w:t>
      </w:r>
      <w:r w:rsidR="00456106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</w:t>
      </w:r>
      <w:r w:rsidR="00FF1D6F">
        <w:rPr>
          <w:rFonts w:ascii="Arial" w:hAnsi="Arial" w:cs="Arial"/>
          <w:b/>
          <w:sz w:val="24"/>
          <w:szCs w:val="24"/>
        </w:rPr>
        <w:t>90</w:t>
      </w:r>
      <w:r w:rsidR="005A3BF7">
        <w:rPr>
          <w:rFonts w:ascii="Arial" w:hAnsi="Arial" w:cs="Arial"/>
          <w:b/>
          <w:sz w:val="24"/>
          <w:szCs w:val="24"/>
        </w:rPr>
        <w:t>4529</w:t>
      </w:r>
    </w:p>
    <w:p w14:paraId="7B06AEC4" w14:textId="621B704A" w:rsidR="007F637A" w:rsidRDefault="00456106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F1D6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April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 w:rsidR="00FF1D6F">
        <w:rPr>
          <w:rFonts w:ascii="Arial" w:hAnsi="Arial" w:cs="Arial"/>
          <w:b/>
          <w:sz w:val="24"/>
          <w:szCs w:val="24"/>
        </w:rPr>
        <w:t>9</w:t>
      </w:r>
    </w:p>
    <w:p w14:paraId="4A6B87B1" w14:textId="319BEACD" w:rsidR="007F637A" w:rsidRPr="00FD021C" w:rsidRDefault="00456106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Xi’an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China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34CCA473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A21323">
        <w:rPr>
          <w:sz w:val="22"/>
          <w:szCs w:val="22"/>
          <w:lang w:val="sv-FI"/>
        </w:rPr>
        <w:t>2.4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46CE164A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FA0631" w:rsidRPr="00FA0631">
        <w:rPr>
          <w:sz w:val="22"/>
          <w:szCs w:val="22"/>
        </w:rPr>
        <w:t>Coexistence of NB-IoT with NR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2CB4F5" w14:textId="13393B9B" w:rsidR="004B621A" w:rsidRPr="00FA0631" w:rsidRDefault="00FA0631" w:rsidP="00FA063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In RAN#8</w:t>
      </w:r>
      <w:r w:rsidR="00456106">
        <w:rPr>
          <w:rFonts w:eastAsia="Batang"/>
          <w:snapToGrid w:val="0"/>
          <w:kern w:val="2"/>
          <w:sz w:val="22"/>
          <w:szCs w:val="22"/>
          <w:lang w:eastAsia="ko-KR"/>
        </w:rPr>
        <w:t>3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meeting, a </w:t>
      </w:r>
      <w:r w:rsid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revised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WID of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>Rel-16 enhancements for NB-IoT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[1] was approved with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the objective to study the coexistence of NB-IoT with NR.</w:t>
      </w:r>
    </w:p>
    <w:p w14:paraId="55C5A0E6" w14:textId="77777777" w:rsidR="00FA0631" w:rsidRPr="00FA0631" w:rsidRDefault="00FA0631" w:rsidP="00FA0631">
      <w:pPr>
        <w:spacing w:after="0"/>
        <w:rPr>
          <w:rFonts w:eastAsia="宋体"/>
          <w:b/>
          <w:bCs/>
          <w:u w:val="single"/>
          <w:lang w:eastAsia="en-US"/>
        </w:rPr>
      </w:pPr>
    </w:p>
    <w:p w14:paraId="19BA7D16" w14:textId="77777777" w:rsidR="00FA0631" w:rsidRPr="00FA0631" w:rsidRDefault="00FA0631" w:rsidP="00FA0631">
      <w:pPr>
        <w:spacing w:after="120"/>
        <w:rPr>
          <w:rFonts w:eastAsia="宋体"/>
          <w:b/>
          <w:bCs/>
          <w:u w:val="single"/>
          <w:lang w:val="en-US" w:eastAsia="en-US"/>
        </w:rPr>
      </w:pPr>
      <w:bookmarkStart w:id="1" w:name="_Hlk516692042"/>
      <w:r w:rsidRPr="00FA0631">
        <w:rPr>
          <w:rFonts w:eastAsia="宋体"/>
          <w:b/>
          <w:bCs/>
          <w:u w:val="single"/>
          <w:lang w:val="en-US" w:eastAsia="en-US"/>
        </w:rPr>
        <w:t>Coexistence with NR</w:t>
      </w:r>
    </w:p>
    <w:p w14:paraId="225D6D31" w14:textId="205E4E90" w:rsidR="00FA0631" w:rsidRPr="00FA0631" w:rsidRDefault="00456106" w:rsidP="00FA0631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56106">
        <w:rPr>
          <w:rFonts w:eastAsia="Batang"/>
          <w:snapToGrid w:val="0"/>
          <w:kern w:val="2"/>
          <w:sz w:val="22"/>
          <w:szCs w:val="22"/>
          <w:lang w:eastAsia="ko-KR"/>
        </w:rPr>
        <w:t>Study aspects of LTE-MTC coexistence with NR [RAN4, RAN1, RAN2]</w:t>
      </w:r>
    </w:p>
    <w:bookmarkEnd w:id="1"/>
    <w:p w14:paraId="463D44C9" w14:textId="77777777" w:rsidR="00F14E79" w:rsidRDefault="00F14E79" w:rsidP="00F14E7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94C1A53" w14:textId="1B73568B" w:rsidR="00C21214" w:rsidRDefault="00F14E79" w:rsidP="00CB5FCD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1B4262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RAN1#94, </w:t>
      </w:r>
      <w:r w:rsidR="00F10763" w:rsidRPr="001B4262">
        <w:rPr>
          <w:rFonts w:eastAsia="Batang"/>
          <w:snapToGrid w:val="0"/>
          <w:kern w:val="2"/>
          <w:sz w:val="22"/>
          <w:szCs w:val="22"/>
          <w:lang w:eastAsia="ko-KR"/>
        </w:rPr>
        <w:t>it was concluded that no issues were identified that would prevent the coexistence of NR and NB-IoT.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10763" w:rsidRPr="001B4262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RAN1#94bis, </w:t>
      </w:r>
      <w:r w:rsidR="00641D76" w:rsidRPr="001B4262">
        <w:rPr>
          <w:rFonts w:eastAsia="Batang"/>
          <w:snapToGrid w:val="0"/>
          <w:kern w:val="2"/>
          <w:sz w:val="22"/>
          <w:szCs w:val="22"/>
          <w:lang w:eastAsia="ko-KR"/>
        </w:rPr>
        <w:t>it was agreed to study potential specification enhancements for improving the performance of NB-IoT coexistence with NR</w:t>
      </w:r>
      <w:r w:rsidRPr="001B4262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2E0F0743" w14:textId="70FBE551" w:rsidR="00641D76" w:rsidRPr="00FF1D6F" w:rsidRDefault="00641D76" w:rsidP="00641D76">
      <w:pPr>
        <w:spacing w:after="0"/>
        <w:rPr>
          <w:rFonts w:eastAsia="宋体"/>
          <w:b/>
          <w:bCs/>
          <w:u w:val="single"/>
          <w:lang w:eastAsia="en-US"/>
        </w:rPr>
      </w:pPr>
    </w:p>
    <w:p w14:paraId="741DA866" w14:textId="381A7AC0" w:rsidR="00F10763" w:rsidRPr="001A46BD" w:rsidRDefault="00F10763" w:rsidP="00F10763">
      <w:pPr>
        <w:rPr>
          <w:b/>
          <w:sz w:val="22"/>
          <w:szCs w:val="22"/>
          <w:highlight w:val="green"/>
          <w:lang w:eastAsia="zh-CN"/>
        </w:rPr>
      </w:pPr>
      <w:r w:rsidRPr="001A46BD">
        <w:rPr>
          <w:b/>
          <w:sz w:val="22"/>
          <w:szCs w:val="22"/>
          <w:highlight w:val="green"/>
          <w:lang w:eastAsia="zh-CN"/>
        </w:rPr>
        <w:t>Agreement</w:t>
      </w:r>
    </w:p>
    <w:p w14:paraId="30D243C5" w14:textId="77777777" w:rsidR="00F10763" w:rsidRPr="00F10763" w:rsidRDefault="00F10763" w:rsidP="00CB5FCD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10763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The following aspects </w:t>
      </w: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>are</w:t>
      </w:r>
      <w:r w:rsidRPr="00F10763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studied to impr</w:t>
      </w: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>ove the performance of coexistence of NB-IoT with NR</w:t>
      </w:r>
    </w:p>
    <w:p w14:paraId="0D7EBA01" w14:textId="4731BE2E" w:rsidR="00F10763" w:rsidRPr="00F10763" w:rsidRDefault="00F10763" w:rsidP="00CB5FCD">
      <w:pPr>
        <w:numPr>
          <w:ilvl w:val="0"/>
          <w:numId w:val="33"/>
        </w:numPr>
        <w:spacing w:before="120" w:after="0"/>
        <w:ind w:left="714" w:hanging="357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</w:t>
      </w:r>
      <w:r w:rsidR="001A46BD" w:rsidRPr="00F10763">
        <w:rPr>
          <w:rFonts w:eastAsia="Batang"/>
          <w:snapToGrid w:val="0"/>
          <w:kern w:val="2"/>
          <w:sz w:val="22"/>
          <w:szCs w:val="22"/>
          <w:lang w:eastAsia="ko-KR"/>
        </w:rPr>
        <w:t>reservation</w:t>
      </w: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NB-IoT</w:t>
      </w:r>
    </w:p>
    <w:p w14:paraId="51B27F3F" w14:textId="77777777" w:rsidR="00F10763" w:rsidRPr="00F10763" w:rsidRDefault="00F10763" w:rsidP="00FF1D6F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10763">
        <w:rPr>
          <w:rFonts w:eastAsia="Batang"/>
          <w:snapToGrid w:val="0"/>
          <w:kern w:val="2"/>
          <w:sz w:val="22"/>
          <w:szCs w:val="22"/>
          <w:lang w:eastAsia="ko-KR"/>
        </w:rPr>
        <w:t>Overlap of NR SSB with NB-IoT</w:t>
      </w:r>
    </w:p>
    <w:p w14:paraId="5900BD41" w14:textId="77777777" w:rsidR="00FF1D6F" w:rsidRDefault="00FF1D6F" w:rsidP="00FF1D6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</w:p>
    <w:p w14:paraId="66C8CB6C" w14:textId="463046C7" w:rsidR="00FF1D6F" w:rsidRPr="00FF1D6F" w:rsidRDefault="00FF1D6F" w:rsidP="00FF1D6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>In RAN1#9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5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, it was agreed to </w:t>
      </w:r>
      <w:r w:rsidR="00CB5FCD">
        <w:rPr>
          <w:rFonts w:eastAsia="Batang"/>
          <w:snapToGrid w:val="0"/>
          <w:kern w:val="2"/>
          <w:sz w:val="22"/>
          <w:szCs w:val="22"/>
          <w:lang w:eastAsia="ko-KR"/>
        </w:rPr>
        <w:t xml:space="preserve">further study the techniques 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r w:rsidR="00CB5FCD">
        <w:rPr>
          <w:rFonts w:eastAsia="Batang"/>
          <w:snapToGrid w:val="0"/>
          <w:kern w:val="2"/>
          <w:sz w:val="22"/>
          <w:szCs w:val="22"/>
          <w:lang w:eastAsia="ko-KR"/>
        </w:rPr>
        <w:t xml:space="preserve">performance 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>improv</w:t>
      </w:r>
      <w:r w:rsidR="00CB5FCD">
        <w:rPr>
          <w:rFonts w:eastAsia="Batang"/>
          <w:snapToGrid w:val="0"/>
          <w:kern w:val="2"/>
          <w:sz w:val="22"/>
          <w:szCs w:val="22"/>
          <w:lang w:eastAsia="ko-KR"/>
        </w:rPr>
        <w:t xml:space="preserve">ements of 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</w:t>
      </w:r>
      <w:r w:rsidR="00CB5FCD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allocation for 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>coexistence with NR.</w:t>
      </w:r>
    </w:p>
    <w:p w14:paraId="0159A2D7" w14:textId="77777777" w:rsidR="00FF1D6F" w:rsidRDefault="00FF1D6F" w:rsidP="001A46BD">
      <w:pPr>
        <w:spacing w:after="0"/>
        <w:rPr>
          <w:rFonts w:eastAsia="Yu Mincho"/>
        </w:rPr>
      </w:pPr>
    </w:p>
    <w:p w14:paraId="7AD55811" w14:textId="77777777" w:rsidR="00FF1D6F" w:rsidRPr="00CB5FCD" w:rsidRDefault="00FF1D6F" w:rsidP="00FF1D6F">
      <w:pPr>
        <w:rPr>
          <w:b/>
          <w:sz w:val="22"/>
          <w:szCs w:val="22"/>
          <w:highlight w:val="green"/>
          <w:lang w:eastAsia="zh-CN"/>
        </w:rPr>
      </w:pPr>
      <w:r w:rsidRPr="00CB5FCD">
        <w:rPr>
          <w:b/>
          <w:sz w:val="22"/>
          <w:szCs w:val="22"/>
          <w:highlight w:val="green"/>
          <w:lang w:eastAsia="zh-CN"/>
        </w:rPr>
        <w:t>Agreement</w:t>
      </w:r>
    </w:p>
    <w:p w14:paraId="65A08739" w14:textId="77777777" w:rsidR="00FF1D6F" w:rsidRPr="00FF1D6F" w:rsidRDefault="00FF1D6F" w:rsidP="00FF1D6F">
      <w:pPr>
        <w:spacing w:after="12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>RAN1 continues to study the following techniques for performance improvements of NB-IoT resource allocation until the next meeting:</w:t>
      </w:r>
    </w:p>
    <w:p w14:paraId="5A708A12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Resource reservation at symbol level/slot level/subframe level/subcarrier level</w:t>
      </w:r>
    </w:p>
    <w:p w14:paraId="2A6DB1C0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Whether the resource reservation for NB-IoT is dynamic or semi-static (if supported)</w:t>
      </w:r>
    </w:p>
    <w:p w14:paraId="4D48EB17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Whether and how to support NB-IoT transmission in a portion of the subframe</w:t>
      </w:r>
    </w:p>
    <w:p w14:paraId="016FB11E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Impact of resource reservation to legacy UEs</w:t>
      </w:r>
    </w:p>
    <w:p w14:paraId="34EA849F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Whether NB-IoT transmission is postponed or dropped in reserved resources</w:t>
      </w:r>
    </w:p>
    <w:p w14:paraId="23EE8E7F" w14:textId="77777777" w:rsidR="00FF1D6F" w:rsidRPr="00CB5FCD" w:rsidRDefault="00FF1D6F" w:rsidP="00CB5FCD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CB5FCD">
        <w:rPr>
          <w:rFonts w:eastAsia="Batang"/>
          <w:snapToGrid w:val="0"/>
          <w:kern w:val="2"/>
          <w:sz w:val="22"/>
          <w:szCs w:val="22"/>
          <w:lang w:eastAsia="ko-KR"/>
        </w:rPr>
        <w:t>Whether resource reservation is used for anchor/non-anchors</w:t>
      </w:r>
    </w:p>
    <w:p w14:paraId="03CA16B2" w14:textId="3971C624" w:rsidR="00FF1D6F" w:rsidRDefault="00FF1D6F" w:rsidP="001A46BD">
      <w:pPr>
        <w:spacing w:after="0"/>
        <w:rPr>
          <w:rFonts w:eastAsia="Yu Mincho"/>
          <w:lang w:val="x-none"/>
        </w:rPr>
      </w:pPr>
    </w:p>
    <w:p w14:paraId="779A0B2F" w14:textId="5C33D4ED" w:rsidR="00456106" w:rsidRPr="00FF1D6F" w:rsidRDefault="00456106" w:rsidP="00456106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>In RAN1#9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6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the following conclusion was made</w:t>
      </w:r>
      <w:r w:rsidRPr="00FF1D6F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6BABF033" w14:textId="77777777" w:rsidR="00456106" w:rsidRDefault="00456106" w:rsidP="00456106">
      <w:pPr>
        <w:spacing w:after="0"/>
        <w:rPr>
          <w:rFonts w:eastAsia="Yu Mincho"/>
        </w:rPr>
      </w:pPr>
    </w:p>
    <w:p w14:paraId="4C75040F" w14:textId="77777777" w:rsidR="00456106" w:rsidRPr="005A3BF7" w:rsidRDefault="00456106" w:rsidP="00456106">
      <w:pPr>
        <w:rPr>
          <w:b/>
          <w:sz w:val="22"/>
          <w:szCs w:val="22"/>
          <w:lang w:eastAsia="zh-CN"/>
        </w:rPr>
      </w:pPr>
      <w:r w:rsidRPr="005A3BF7">
        <w:rPr>
          <w:b/>
          <w:sz w:val="22"/>
          <w:szCs w:val="22"/>
          <w:lang w:eastAsia="zh-CN"/>
        </w:rPr>
        <w:t>Conclusion</w:t>
      </w:r>
    </w:p>
    <w:p w14:paraId="2B034EB2" w14:textId="617BF7C0" w:rsidR="00456106" w:rsidRDefault="00456106" w:rsidP="00301B41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456106">
        <w:rPr>
          <w:rFonts w:eastAsia="Batang"/>
          <w:snapToGrid w:val="0"/>
          <w:kern w:val="2"/>
          <w:sz w:val="22"/>
          <w:szCs w:val="22"/>
          <w:lang w:eastAsia="ko-KR"/>
        </w:rPr>
        <w:t>From RAN1 perspective, no issues were identified that would prevent the coexistence of NR and FDD/TDD NB-IoT</w:t>
      </w:r>
    </w:p>
    <w:p w14:paraId="6BDC6022" w14:textId="77777777" w:rsidR="00456106" w:rsidRPr="00456106" w:rsidRDefault="00456106" w:rsidP="00456106">
      <w:p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262A0BE" w14:textId="4E15FA74" w:rsidR="00FA0631" w:rsidRPr="00FA0631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2" w:name="_Ref178064866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F14E79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continue to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facilitating </w:t>
      </w:r>
      <w:r w:rsidR="00641D76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close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coexistence with NR. </w:t>
      </w:r>
    </w:p>
    <w:p w14:paraId="2AAA8F83" w14:textId="3365C2EB" w:rsidR="00F14E79" w:rsidRPr="00EC7337" w:rsidRDefault="00230D18" w:rsidP="001A46BD">
      <w:pPr>
        <w:pStyle w:val="Heading1"/>
        <w:rPr>
          <w:sz w:val="28"/>
          <w:szCs w:val="28"/>
        </w:rPr>
      </w:pPr>
      <w:r>
        <w:lastRenderedPageBreak/>
        <w:t>2</w:t>
      </w:r>
      <w:r>
        <w:tab/>
      </w:r>
      <w:bookmarkEnd w:id="2"/>
      <w:r w:rsidR="00FA0631">
        <w:t>Discussion</w:t>
      </w:r>
    </w:p>
    <w:p w14:paraId="515D5095" w14:textId="2CC97DDA" w:rsidR="00CA01FF" w:rsidRDefault="00AE60EC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or </w:t>
      </w:r>
      <w:proofErr w:type="spellStart"/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deployment</w:t>
      </w:r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of NB-IoT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NR, </w:t>
      </w:r>
      <w:r w:rsidR="00FE4A97">
        <w:rPr>
          <w:rFonts w:eastAsia="Batang"/>
          <w:snapToGrid w:val="0"/>
          <w:kern w:val="2"/>
          <w:sz w:val="22"/>
          <w:szCs w:val="22"/>
          <w:lang w:eastAsia="ko-KR"/>
        </w:rPr>
        <w:t>a</w:t>
      </w:r>
      <w:r w:rsidR="00CA01F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E4A97">
        <w:rPr>
          <w:rFonts w:eastAsia="Batang"/>
          <w:snapToGrid w:val="0"/>
          <w:kern w:val="2"/>
          <w:sz w:val="22"/>
          <w:szCs w:val="22"/>
          <w:lang w:eastAsia="ko-KR"/>
        </w:rPr>
        <w:t xml:space="preserve">straightforward 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>way</w:t>
      </w:r>
      <w:r w:rsidR="00CA01F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to </w:t>
      </w:r>
      <w:r w:rsidR="00FE4A97">
        <w:rPr>
          <w:rFonts w:eastAsia="Batang"/>
          <w:snapToGrid w:val="0"/>
          <w:kern w:val="2"/>
          <w:sz w:val="22"/>
          <w:szCs w:val="22"/>
          <w:lang w:eastAsia="ko-KR"/>
        </w:rPr>
        <w:t>use</w:t>
      </w:r>
      <w:r w:rsidR="00CA01FF">
        <w:rPr>
          <w:rFonts w:eastAsia="Batang"/>
          <w:snapToGrid w:val="0"/>
          <w:kern w:val="2"/>
          <w:sz w:val="22"/>
          <w:szCs w:val="22"/>
          <w:lang w:eastAsia="ko-KR"/>
        </w:rPr>
        <w:t xml:space="preserve"> semi-static resource partition </w:t>
      </w:r>
      <w:r w:rsidR="00AF09D5">
        <w:rPr>
          <w:rFonts w:eastAsia="Batang"/>
          <w:snapToGrid w:val="0"/>
          <w:kern w:val="2"/>
          <w:sz w:val="22"/>
          <w:szCs w:val="22"/>
          <w:lang w:eastAsia="ko-KR"/>
        </w:rPr>
        <w:t xml:space="preserve">between NR and NB-IoT by configuring a set of time and frequency domain resources to NB-IoT. As a result, </w:t>
      </w:r>
      <w:r w:rsidR="004C3681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resources reserved for </w:t>
      </w:r>
      <w:r w:rsidR="00AF09D5">
        <w:rPr>
          <w:rFonts w:eastAsia="Batang"/>
          <w:snapToGrid w:val="0"/>
          <w:kern w:val="2"/>
          <w:sz w:val="22"/>
          <w:szCs w:val="22"/>
          <w:lang w:eastAsia="ko-KR"/>
        </w:rPr>
        <w:t>NB-IoT</w:t>
      </w:r>
      <w:r w:rsidR="004C368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are not used for 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 xml:space="preserve">any 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>NR transmission</w:t>
      </w:r>
      <w:r w:rsidR="004C3681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semi-static resource multiplexing 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>is usefu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>l for the common signals/channels of NB-IoT, such as NPSS, NSSS, NPBCH, SIB1-NB and NRS. According to [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>2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], the percentage of the semi-static resources reserved for NB-IoT is less than 1% for a 20MHz NR bandwidth with 106 RBs and 15kHz subcarrier spacing. However, the </w:t>
      </w:r>
      <w:proofErr w:type="spellStart"/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>bursty</w:t>
      </w:r>
      <w:proofErr w:type="spellEnd"/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 unicast traffic would 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>prefer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E46FE9">
        <w:rPr>
          <w:rFonts w:eastAsia="Batang"/>
          <w:snapToGrid w:val="0"/>
          <w:kern w:val="2"/>
          <w:sz w:val="22"/>
          <w:szCs w:val="22"/>
          <w:lang w:eastAsia="ko-KR"/>
        </w:rPr>
        <w:t xml:space="preserve">to </w:t>
      </w:r>
      <w:r w:rsidR="008A717C">
        <w:rPr>
          <w:rFonts w:eastAsia="Batang"/>
          <w:snapToGrid w:val="0"/>
          <w:kern w:val="2"/>
          <w:sz w:val="22"/>
          <w:szCs w:val="22"/>
          <w:lang w:eastAsia="ko-KR"/>
        </w:rPr>
        <w:t xml:space="preserve">dynamic resource multiplexing between NR and NB-IoT </w:t>
      </w:r>
      <w:r w:rsidR="002F2CAE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improving resource utilization. </w:t>
      </w:r>
    </w:p>
    <w:p w14:paraId="25152F1D" w14:textId="33B184D4" w:rsidR="00CA01FF" w:rsidRPr="002F2CAE" w:rsidRDefault="00CA01FF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3F3FA106" w14:textId="3A4DDEB3" w:rsidR="002F2CAE" w:rsidRDefault="002F2CAE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Rel-15, dynamic rate matching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>is supported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NR and 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DCI can signal up to two rate matching resource sets for 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PDSCH. The rate matching resource set is defined by a pair of RB/symbol level bitmap spanning over one or two NR slots. </w:t>
      </w:r>
      <w:r w:rsidR="00A1778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usage of dynamic rate matching resource sets allows NR to utilize the unused resources reserved for NB-IoT. However, there are some limitations that </w:t>
      </w:r>
      <w:r w:rsidR="00C51101">
        <w:rPr>
          <w:rFonts w:eastAsia="Batang"/>
          <w:snapToGrid w:val="0"/>
          <w:kern w:val="2"/>
          <w:sz w:val="22"/>
          <w:szCs w:val="22"/>
          <w:lang w:eastAsia="ko-KR"/>
        </w:rPr>
        <w:t>would</w:t>
      </w:r>
      <w:r w:rsidR="000F7C01">
        <w:rPr>
          <w:rFonts w:eastAsia="Batang"/>
          <w:snapToGrid w:val="0"/>
          <w:kern w:val="2"/>
          <w:sz w:val="22"/>
          <w:szCs w:val="22"/>
          <w:lang w:eastAsia="ko-KR"/>
        </w:rPr>
        <w:t xml:space="preserve"> affect</w:t>
      </w:r>
      <w:r w:rsidR="00A17782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0F7C01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A17782"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performance </w:t>
      </w:r>
      <w:r w:rsidR="000F7C01">
        <w:rPr>
          <w:rFonts w:eastAsia="Batang"/>
          <w:snapToGrid w:val="0"/>
          <w:kern w:val="2"/>
          <w:sz w:val="22"/>
          <w:szCs w:val="22"/>
          <w:lang w:eastAsia="ko-KR"/>
        </w:rPr>
        <w:t xml:space="preserve">of dynamic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>r</w:t>
      </w:r>
      <w:r w:rsidR="00A17782" w:rsidRPr="00FF1D6F">
        <w:rPr>
          <w:rFonts w:eastAsia="Batang"/>
          <w:snapToGrid w:val="0"/>
          <w:kern w:val="2"/>
          <w:sz w:val="22"/>
          <w:szCs w:val="22"/>
          <w:lang w:eastAsia="ko-KR"/>
        </w:rPr>
        <w:t xml:space="preserve">esource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>multiplexing</w:t>
      </w:r>
      <w:r w:rsidR="00A17782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3CDFE929" w14:textId="77777777" w:rsidR="002F2CAE" w:rsidRPr="000F7C01" w:rsidRDefault="002F2CAE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18FB72B" w14:textId="3F1DE35E" w:rsidR="00371CE9" w:rsidRDefault="00C51101" w:rsidP="00371CE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Firstly, NR supports flexible numerology with different subcarrier spacing. When NR uses a mixture of numerologies, i.e., 15kHz and 30kHz for supporting both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eMBB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URLLC, a NR slot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may consist of both DL and UL symbols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to enable fast HARQ-ACK feedback for URLLC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 as shown in Figure 1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However, NB-IoT can only be transmitted in a subframe with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either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full DL or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full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UL except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special subframe. Therefore,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subframes with a mixed DL and UL transmission cannot be reserved for NB-IoT. Similarly, if one subframe is reserved for NB-IoT then the subframe may not be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>configured with a mixed DL and UL transmission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>URLLC.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 When more subframes are reserved for NB-IoT then the performance of </w:t>
      </w:r>
      <w:r w:rsidR="0057651F">
        <w:rPr>
          <w:rFonts w:eastAsia="Batang"/>
          <w:snapToGrid w:val="0"/>
          <w:kern w:val="2"/>
          <w:sz w:val="22"/>
          <w:szCs w:val="22"/>
          <w:lang w:eastAsia="ko-KR"/>
        </w:rPr>
        <w:t xml:space="preserve">NR 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URLLC will be affected significantly.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>Therefore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 w:rsidR="005B2857">
        <w:rPr>
          <w:rFonts w:eastAsia="Batang"/>
          <w:snapToGrid w:val="0"/>
          <w:kern w:val="2"/>
          <w:sz w:val="22"/>
          <w:szCs w:val="22"/>
          <w:lang w:eastAsia="ko-KR"/>
        </w:rPr>
        <w:t>e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fficient support </w:t>
      </w:r>
      <w:r w:rsidR="005B2857">
        <w:rPr>
          <w:rFonts w:eastAsia="Batang"/>
          <w:snapToGrid w:val="0"/>
          <w:kern w:val="2"/>
          <w:sz w:val="22"/>
          <w:szCs w:val="22"/>
          <w:lang w:eastAsia="ko-KR"/>
        </w:rPr>
        <w:t xml:space="preserve">of </w:t>
      </w:r>
      <w:r w:rsidR="00371CE9">
        <w:rPr>
          <w:rFonts w:eastAsia="Batang"/>
          <w:snapToGrid w:val="0"/>
          <w:kern w:val="2"/>
          <w:sz w:val="22"/>
          <w:szCs w:val="22"/>
          <w:lang w:eastAsia="ko-KR"/>
        </w:rPr>
        <w:t xml:space="preserve">both NB-IoT and URLLC </w:t>
      </w:r>
      <w:r w:rsidR="005B2857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cannot be achieved when NB-IoT is deployed within a 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>NR</w:t>
      </w:r>
      <w:r w:rsidR="005B2857">
        <w:rPr>
          <w:rFonts w:eastAsia="Batang"/>
          <w:snapToGrid w:val="0"/>
          <w:kern w:val="2"/>
          <w:sz w:val="22"/>
          <w:szCs w:val="22"/>
          <w:lang w:eastAsia="ko-KR"/>
        </w:rPr>
        <w:t xml:space="preserve"> carrier</w:t>
      </w:r>
      <w:r w:rsidR="00C62929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6EF0010D" w14:textId="77777777" w:rsidR="00371CE9" w:rsidRDefault="00371CE9" w:rsidP="00C5110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3496C69B" w14:textId="77777777" w:rsidR="00371CE9" w:rsidRDefault="00371CE9" w:rsidP="00371CE9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3" w:name="_Hlk1058236"/>
      <w:r w:rsidRPr="00D70689">
        <w:rPr>
          <w:noProof/>
        </w:rPr>
        <w:drawing>
          <wp:inline distT="0" distB="0" distL="0" distR="0" wp14:anchorId="253CAE6C" wp14:editId="23FC1B09">
            <wp:extent cx="4882009" cy="1228971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060" cy="123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DF856" w14:textId="7F377E0F" w:rsidR="00371CE9" w:rsidRPr="00697A4E" w:rsidRDefault="00371CE9" w:rsidP="00371CE9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1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A NR slot with a mixed DL and UL for supporting URLCC</w:t>
      </w:r>
    </w:p>
    <w:p w14:paraId="238190C2" w14:textId="1732B58C" w:rsidR="00C62929" w:rsidRDefault="00C62929" w:rsidP="00C62929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Pr="00CB5FCD">
        <w:rPr>
          <w:snapToGrid/>
          <w:kern w:val="2"/>
          <w:sz w:val="22"/>
          <w:szCs w:val="22"/>
        </w:rPr>
        <w:t>Resource reservation at s</w:t>
      </w:r>
      <w:r>
        <w:rPr>
          <w:snapToGrid/>
          <w:kern w:val="2"/>
          <w:sz w:val="22"/>
          <w:szCs w:val="22"/>
        </w:rPr>
        <w:t xml:space="preserve">ubframe </w:t>
      </w:r>
      <w:r w:rsidRPr="00CB5FCD">
        <w:rPr>
          <w:snapToGrid/>
          <w:kern w:val="2"/>
          <w:sz w:val="22"/>
          <w:szCs w:val="22"/>
        </w:rPr>
        <w:t>level</w:t>
      </w:r>
      <w:r>
        <w:rPr>
          <w:snapToGrid/>
          <w:kern w:val="2"/>
          <w:sz w:val="22"/>
          <w:szCs w:val="22"/>
        </w:rPr>
        <w:t xml:space="preserve"> for NB-IoT may not efficiently support NR URLLC</w:t>
      </w:r>
      <w:r>
        <w:rPr>
          <w:sz w:val="22"/>
          <w:szCs w:val="22"/>
        </w:rPr>
        <w:t xml:space="preserve">. </w:t>
      </w:r>
    </w:p>
    <w:p w14:paraId="16816A1F" w14:textId="060511F6" w:rsidR="00D91312" w:rsidRDefault="00D91312" w:rsidP="00D91312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For TDD NB-IoT coexistence with NR, the slot or symbol level resource reservation shall be supported to allow NB-IoT transmission in a portion of the subframe.</w:t>
      </w:r>
    </w:p>
    <w:p w14:paraId="210E170B" w14:textId="240C3EE1" w:rsidR="00371CE9" w:rsidRDefault="00C62929" w:rsidP="00C5110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econdly, NR support both semi-static and dynamic TDD configuration. For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dynamic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>configuration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, the transmission direction of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 a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NR slot or </w:t>
      </w:r>
      <w:r w:rsidR="005B2857">
        <w:rPr>
          <w:rFonts w:eastAsia="Batang"/>
          <w:snapToGrid w:val="0"/>
          <w:kern w:val="2"/>
          <w:sz w:val="22"/>
          <w:szCs w:val="22"/>
          <w:lang w:eastAsia="ko-KR"/>
        </w:rPr>
        <w:t xml:space="preserve">a portion of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slot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(i.e. flexible 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>symbols in a NR slot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)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may be 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 xml:space="preserve">dynamically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configured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 by PDCCH. For example, 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group common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DCI format 2-0 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>can be used to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>indicate the slot format in a predefined periodicity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5A3BF7" w:rsidRPr="005A3BF7">
        <w:rPr>
          <w:rFonts w:eastAsia="Batang"/>
          <w:snapToGrid w:val="0"/>
          <w:kern w:val="2"/>
          <w:sz w:val="22"/>
          <w:szCs w:val="22"/>
          <w:lang w:eastAsia="ko-KR"/>
        </w:rPr>
        <w:t>Dynamic TDD is an important NR feature providing significant gains for traffic adaptation and latency reduction and shall be supported when the NR carrier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used also for deploying NB-IoT</w:t>
      </w:r>
      <w:r w:rsidR="00F45A85">
        <w:rPr>
          <w:rFonts w:eastAsia="Batang"/>
          <w:snapToGrid w:val="0"/>
          <w:kern w:val="2"/>
          <w:sz w:val="22"/>
          <w:szCs w:val="22"/>
          <w:lang w:eastAsia="ko-KR"/>
        </w:rPr>
        <w:t xml:space="preserve">. However, the current specification of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does not support dynamic TDD, </w:t>
      </w:r>
      <w:r w:rsidR="00F45A85">
        <w:rPr>
          <w:rFonts w:eastAsia="Batang"/>
          <w:snapToGrid w:val="0"/>
          <w:kern w:val="2"/>
          <w:sz w:val="22"/>
          <w:szCs w:val="22"/>
          <w:lang w:eastAsia="ko-KR"/>
        </w:rPr>
        <w:t xml:space="preserve">and 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resources </w:t>
      </w:r>
      <w:r w:rsidR="004A395B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reserved </w:t>
      </w:r>
      <w:r w:rsidR="00F45A85">
        <w:rPr>
          <w:rFonts w:eastAsia="Batang"/>
          <w:snapToGrid w:val="0"/>
          <w:kern w:val="2"/>
          <w:sz w:val="22"/>
          <w:szCs w:val="22"/>
          <w:lang w:eastAsia="ko-KR"/>
        </w:rPr>
        <w:t>for NB-IoT shall be fixed resources in NR</w:t>
      </w:r>
      <w:r w:rsidR="00CD1894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D91312">
        <w:rPr>
          <w:rFonts w:eastAsia="Batang"/>
          <w:snapToGrid w:val="0"/>
          <w:kern w:val="2"/>
          <w:sz w:val="22"/>
          <w:szCs w:val="22"/>
          <w:lang w:eastAsia="ko-KR"/>
        </w:rPr>
        <w:t xml:space="preserve">As discussed above, </w:t>
      </w:r>
      <w:r w:rsidR="004A395B">
        <w:rPr>
          <w:rFonts w:eastAsia="Batang"/>
          <w:snapToGrid w:val="0"/>
          <w:kern w:val="2"/>
          <w:sz w:val="22"/>
          <w:szCs w:val="22"/>
          <w:lang w:eastAsia="ko-KR"/>
        </w:rPr>
        <w:t xml:space="preserve">when more resources are reserved for NB-IoT, </w:t>
      </w:r>
      <w:r w:rsidR="005A3BF7" w:rsidRPr="005A3BF7">
        <w:rPr>
          <w:rFonts w:eastAsia="Batang"/>
          <w:snapToGrid w:val="0"/>
          <w:kern w:val="2"/>
          <w:sz w:val="22"/>
          <w:szCs w:val="22"/>
          <w:lang w:eastAsia="ko-KR"/>
        </w:rPr>
        <w:t>the performance of dynamic TDD in NR will be degraded due to less available flexible resources in NR</w:t>
      </w:r>
      <w:r w:rsidR="00D9131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795AE928" w14:textId="63F7D594" w:rsidR="00B91DEA" w:rsidRDefault="00F45A85" w:rsidP="00B91DEA">
      <w:pPr>
        <w:widowControl w:val="0"/>
        <w:spacing w:after="12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45A85">
        <w:rPr>
          <w:noProof/>
        </w:rPr>
        <w:lastRenderedPageBreak/>
        <w:drawing>
          <wp:inline distT="0" distB="0" distL="0" distR="0" wp14:anchorId="61A6FA57" wp14:editId="639B545B">
            <wp:extent cx="5914138" cy="82140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48" cy="825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CE007" w14:textId="01E30752" w:rsidR="00B91DEA" w:rsidRPr="00B91DEA" w:rsidRDefault="00B91DEA" w:rsidP="004A395B">
      <w:pPr>
        <w:pStyle w:val="LGTdoc1"/>
        <w:spacing w:beforeLines="0" w:before="120" w:after="220" w:afterAutospacing="0"/>
        <w:jc w:val="center"/>
        <w:rPr>
          <w:kern w:val="2"/>
          <w:sz w:val="22"/>
          <w:szCs w:val="22"/>
        </w:rPr>
      </w:pPr>
      <w:r w:rsidRPr="00083055">
        <w:rPr>
          <w:kern w:val="2"/>
          <w:sz w:val="22"/>
          <w:szCs w:val="22"/>
        </w:rPr>
        <w:t xml:space="preserve">Figure </w:t>
      </w:r>
      <w:r w:rsidR="00F45A85">
        <w:rPr>
          <w:kern w:val="2"/>
          <w:sz w:val="22"/>
          <w:szCs w:val="22"/>
        </w:rPr>
        <w:t>2</w:t>
      </w:r>
      <w:r w:rsidRPr="00080046">
        <w:rPr>
          <w:b w:val="0"/>
          <w:kern w:val="2"/>
          <w:sz w:val="22"/>
          <w:szCs w:val="22"/>
        </w:rPr>
        <w:t xml:space="preserve">: </w:t>
      </w:r>
      <w:r w:rsidR="00F45A85">
        <w:rPr>
          <w:b w:val="0"/>
          <w:kern w:val="2"/>
          <w:sz w:val="22"/>
          <w:szCs w:val="22"/>
        </w:rPr>
        <w:t xml:space="preserve">NB-IoT coexistence with </w:t>
      </w:r>
      <w:r>
        <w:rPr>
          <w:b w:val="0"/>
          <w:kern w:val="2"/>
          <w:sz w:val="22"/>
          <w:szCs w:val="22"/>
        </w:rPr>
        <w:t xml:space="preserve">NR </w:t>
      </w:r>
      <w:r w:rsidR="00F45A85">
        <w:rPr>
          <w:b w:val="0"/>
          <w:kern w:val="2"/>
          <w:sz w:val="22"/>
          <w:szCs w:val="22"/>
        </w:rPr>
        <w:t>with dynamic TDD configuration</w:t>
      </w:r>
    </w:p>
    <w:p w14:paraId="4E369E9E" w14:textId="2F0969F5" w:rsidR="00D91312" w:rsidRDefault="00D91312" w:rsidP="00D91312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B91DEA">
        <w:rPr>
          <w:sz w:val="22"/>
          <w:szCs w:val="22"/>
        </w:rPr>
        <w:t>Reserving fixed r</w:t>
      </w:r>
      <w:r w:rsidRPr="00CB5FCD">
        <w:rPr>
          <w:snapToGrid/>
          <w:kern w:val="2"/>
          <w:sz w:val="22"/>
          <w:szCs w:val="22"/>
        </w:rPr>
        <w:t>esource</w:t>
      </w:r>
      <w:r w:rsidR="00B91DEA">
        <w:rPr>
          <w:snapToGrid/>
          <w:kern w:val="2"/>
          <w:sz w:val="22"/>
          <w:szCs w:val="22"/>
        </w:rPr>
        <w:t>s</w:t>
      </w:r>
      <w:r w:rsidRPr="00CB5FCD">
        <w:rPr>
          <w:snapToGrid/>
          <w:kern w:val="2"/>
          <w:sz w:val="22"/>
          <w:szCs w:val="22"/>
        </w:rPr>
        <w:t xml:space="preserve"> </w:t>
      </w:r>
      <w:r>
        <w:rPr>
          <w:snapToGrid/>
          <w:kern w:val="2"/>
          <w:sz w:val="22"/>
          <w:szCs w:val="22"/>
        </w:rPr>
        <w:t xml:space="preserve">for NB-IoT may not efficiently support dynamic TDD </w:t>
      </w:r>
      <w:r w:rsidR="001E68EA">
        <w:rPr>
          <w:snapToGrid/>
          <w:kern w:val="2"/>
          <w:sz w:val="22"/>
          <w:szCs w:val="22"/>
        </w:rPr>
        <w:t>for</w:t>
      </w:r>
      <w:r>
        <w:rPr>
          <w:snapToGrid/>
          <w:kern w:val="2"/>
          <w:sz w:val="22"/>
          <w:szCs w:val="22"/>
        </w:rPr>
        <w:t xml:space="preserve"> NR</w:t>
      </w:r>
      <w:r>
        <w:rPr>
          <w:sz w:val="22"/>
          <w:szCs w:val="22"/>
        </w:rPr>
        <w:t xml:space="preserve">. </w:t>
      </w:r>
    </w:p>
    <w:p w14:paraId="69CAD7C5" w14:textId="5F65B8A9" w:rsidR="00D91312" w:rsidRDefault="00D91312" w:rsidP="00D91312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4A395B">
        <w:rPr>
          <w:sz w:val="22"/>
          <w:szCs w:val="22"/>
        </w:rPr>
        <w:t xml:space="preserve">Support </w:t>
      </w:r>
      <w:r>
        <w:rPr>
          <w:sz w:val="22"/>
          <w:szCs w:val="22"/>
        </w:rPr>
        <w:t xml:space="preserve">resource reservation for NB-IoT </w:t>
      </w:r>
      <w:r w:rsidR="001E68EA">
        <w:rPr>
          <w:sz w:val="22"/>
          <w:szCs w:val="22"/>
        </w:rPr>
        <w:t>using flexible NR resources</w:t>
      </w:r>
      <w:r>
        <w:rPr>
          <w:sz w:val="22"/>
          <w:szCs w:val="22"/>
        </w:rPr>
        <w:t>.</w:t>
      </w:r>
    </w:p>
    <w:p w14:paraId="628EBD19" w14:textId="69DDBB7E" w:rsidR="00761D20" w:rsidRDefault="001E68EA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It is noted that the above proposals on resource reservation for NB-IoT does not support legacy UEs. Therefore, for backward compatibility, the subframe level resource reservation shall be used for legacy NB-IoT UE, and the symbol or slot level resource reservation will be configured only for Rel-16 capable UEs. To support this, </w:t>
      </w:r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two sets of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valid DL and UL subframe configuration</w:t>
      </w:r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947337">
        <w:rPr>
          <w:rFonts w:eastAsia="Batang"/>
          <w:snapToGrid w:val="0"/>
          <w:kern w:val="2"/>
          <w:sz w:val="22"/>
          <w:szCs w:val="22"/>
          <w:lang w:eastAsia="ko-KR"/>
        </w:rPr>
        <w:t xml:space="preserve"> shall be configured</w:t>
      </w:r>
      <w:r w:rsidR="005A3BF7">
        <w:rPr>
          <w:rFonts w:eastAsia="Batang"/>
          <w:snapToGrid w:val="0"/>
          <w:kern w:val="2"/>
          <w:sz w:val="22"/>
          <w:szCs w:val="22"/>
          <w:lang w:eastAsia="ko-KR"/>
        </w:rPr>
        <w:t xml:space="preserve"> (e.g. currently valid UL subframe configuration only supported for TDD but not for FDD)</w:t>
      </w:r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, one for legacy UE and the other for Rel-16 UEs. The valid subframe configuration for the Rel-16 capable UE may have a different time domain granularity. For example, </w:t>
      </w:r>
      <w:r w:rsidR="00761D20" w:rsidRP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granularity </w:t>
      </w:r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>m</w:t>
      </w:r>
      <w:r w:rsidR="00761D20" w:rsidRPr="00761D20">
        <w:rPr>
          <w:rFonts w:eastAsia="Batang"/>
          <w:snapToGrid w:val="0"/>
          <w:kern w:val="2"/>
          <w:sz w:val="22"/>
          <w:szCs w:val="22"/>
          <w:lang w:eastAsia="ko-KR"/>
        </w:rPr>
        <w:t>ay also include 0.5ms, 0.25ms or 0.125ms dependent on the subcarrier spacing of NR</w:t>
      </w:r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. Alternatively, we could have FDM multiplexing by assigning different NB-IoT carriers to legacy and Rel-16 capable NB-IoT UEs. In such case, a single valid subframe configuration is needed for each NB-IoT carrier, and the </w:t>
      </w:r>
      <w:proofErr w:type="spellStart"/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>eNB</w:t>
      </w:r>
      <w:proofErr w:type="spellEnd"/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 may configure the time domain granularity of the valid subframe configuration based on UE capability and the subcarrier spacing of the </w:t>
      </w:r>
      <w:proofErr w:type="spellStart"/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761D20">
        <w:rPr>
          <w:rFonts w:eastAsia="Batang"/>
          <w:snapToGrid w:val="0"/>
          <w:kern w:val="2"/>
          <w:sz w:val="22"/>
          <w:szCs w:val="22"/>
          <w:lang w:eastAsia="ko-KR"/>
        </w:rPr>
        <w:t xml:space="preserve"> NR carrier.</w:t>
      </w:r>
    </w:p>
    <w:p w14:paraId="71258A3C" w14:textId="6B31C146" w:rsidR="00761D20" w:rsidRDefault="00761D20" w:rsidP="00761D20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5A3BF7">
        <w:rPr>
          <w:sz w:val="22"/>
          <w:szCs w:val="22"/>
          <w:u w:val="single"/>
        </w:rPr>
        <w:t>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5A3BF7">
        <w:rPr>
          <w:sz w:val="22"/>
          <w:szCs w:val="22"/>
        </w:rPr>
        <w:t xml:space="preserve">Valid UL subframe configuration </w:t>
      </w:r>
      <w:r w:rsidR="007B0E9B">
        <w:rPr>
          <w:sz w:val="22"/>
          <w:szCs w:val="22"/>
        </w:rPr>
        <w:t>can</w:t>
      </w:r>
      <w:r w:rsidR="005A3BF7">
        <w:rPr>
          <w:sz w:val="22"/>
          <w:szCs w:val="22"/>
        </w:rPr>
        <w:t xml:space="preserve"> be </w:t>
      </w:r>
      <w:r w:rsidR="007B0E9B">
        <w:rPr>
          <w:sz w:val="22"/>
          <w:szCs w:val="22"/>
        </w:rPr>
        <w:t xml:space="preserve">configured </w:t>
      </w:r>
      <w:r w:rsidR="005A3BF7">
        <w:rPr>
          <w:sz w:val="22"/>
          <w:szCs w:val="22"/>
        </w:rPr>
        <w:t>also for FDD NB-IoT for coexistence with NR</w:t>
      </w:r>
      <w:r>
        <w:rPr>
          <w:sz w:val="22"/>
          <w:szCs w:val="22"/>
        </w:rPr>
        <w:t>.</w:t>
      </w:r>
    </w:p>
    <w:p w14:paraId="50ADE054" w14:textId="3B0834A0" w:rsidR="005A3BF7" w:rsidRDefault="005A3BF7" w:rsidP="005A3BF7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>
        <w:rPr>
          <w:sz w:val="22"/>
          <w:szCs w:val="22"/>
          <w:u w:val="single"/>
        </w:rPr>
        <w:t>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The time domain granularity of the valid subframe configuration for Rel-16 NB-IoT UE can also include 0.5ms, 0.25ms or 0.125ms dependent on the subcarrier spacing of NR.</w:t>
      </w:r>
    </w:p>
    <w:bookmarkEnd w:id="3"/>
    <w:p w14:paraId="527BA53C" w14:textId="179867EF" w:rsidR="002037A4" w:rsidRDefault="00EB2F67" w:rsidP="002037A4">
      <w:pPr>
        <w:pStyle w:val="Heading1"/>
      </w:pPr>
      <w:r>
        <w:t>3</w:t>
      </w:r>
      <w:r w:rsidR="002037A4">
        <w:tab/>
        <w:t>Summary</w:t>
      </w:r>
    </w:p>
    <w:p w14:paraId="754C42DB" w14:textId="37B41693" w:rsidR="00822BE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>discuss the potential issues and solutions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efficient coexistence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of NB-IoT 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>with NR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  <w:r w:rsidR="001D52D8">
        <w:rPr>
          <w:rFonts w:eastAsia="Batang"/>
          <w:snapToGrid w:val="0"/>
          <w:kern w:val="2"/>
          <w:sz w:val="22"/>
          <w:szCs w:val="22"/>
          <w:lang w:eastAsia="ko-KR"/>
        </w:rPr>
        <w:t xml:space="preserve"> We have the following observations:</w:t>
      </w:r>
    </w:p>
    <w:p w14:paraId="6D8CC98B" w14:textId="77777777" w:rsidR="00990F37" w:rsidRDefault="00990F37" w:rsidP="00990F37">
      <w:pPr>
        <w:pStyle w:val="LGTdoc1"/>
        <w:spacing w:beforeLines="0" w:before="120" w:after="1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Pr="00CB5FCD">
        <w:rPr>
          <w:snapToGrid/>
          <w:kern w:val="2"/>
          <w:sz w:val="22"/>
          <w:szCs w:val="22"/>
        </w:rPr>
        <w:t>Resource reservation at s</w:t>
      </w:r>
      <w:r>
        <w:rPr>
          <w:snapToGrid/>
          <w:kern w:val="2"/>
          <w:sz w:val="22"/>
          <w:szCs w:val="22"/>
        </w:rPr>
        <w:t xml:space="preserve">ubframe </w:t>
      </w:r>
      <w:r w:rsidRPr="00CB5FCD">
        <w:rPr>
          <w:snapToGrid/>
          <w:kern w:val="2"/>
          <w:sz w:val="22"/>
          <w:szCs w:val="22"/>
        </w:rPr>
        <w:t>level</w:t>
      </w:r>
      <w:r>
        <w:rPr>
          <w:snapToGrid/>
          <w:kern w:val="2"/>
          <w:sz w:val="22"/>
          <w:szCs w:val="22"/>
        </w:rPr>
        <w:t xml:space="preserve"> for NB-IoT may not efficiently support NR URLLC</w:t>
      </w:r>
      <w:r>
        <w:rPr>
          <w:sz w:val="22"/>
          <w:szCs w:val="22"/>
        </w:rPr>
        <w:t xml:space="preserve">. </w:t>
      </w:r>
    </w:p>
    <w:p w14:paraId="2192F72C" w14:textId="77777777" w:rsidR="00990F37" w:rsidRDefault="00990F37" w:rsidP="00990F37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Reserving fixed r</w:t>
      </w:r>
      <w:r w:rsidRPr="00CB5FCD">
        <w:rPr>
          <w:snapToGrid/>
          <w:kern w:val="2"/>
          <w:sz w:val="22"/>
          <w:szCs w:val="22"/>
        </w:rPr>
        <w:t>esource</w:t>
      </w:r>
      <w:r>
        <w:rPr>
          <w:snapToGrid/>
          <w:kern w:val="2"/>
          <w:sz w:val="22"/>
          <w:szCs w:val="22"/>
        </w:rPr>
        <w:t>s</w:t>
      </w:r>
      <w:r w:rsidRPr="00CB5FCD">
        <w:rPr>
          <w:snapToGrid/>
          <w:kern w:val="2"/>
          <w:sz w:val="22"/>
          <w:szCs w:val="22"/>
        </w:rPr>
        <w:t xml:space="preserve"> </w:t>
      </w:r>
      <w:r>
        <w:rPr>
          <w:snapToGrid/>
          <w:kern w:val="2"/>
          <w:sz w:val="22"/>
          <w:szCs w:val="22"/>
        </w:rPr>
        <w:t>for NB-IoT may not efficiently support dynamic TDD for NR</w:t>
      </w:r>
      <w:r>
        <w:rPr>
          <w:sz w:val="22"/>
          <w:szCs w:val="22"/>
        </w:rPr>
        <w:t xml:space="preserve">. </w:t>
      </w:r>
    </w:p>
    <w:p w14:paraId="4ADA3184" w14:textId="3FA4FE58" w:rsidR="002037A4" w:rsidRDefault="001D52D8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And w</w:t>
      </w:r>
      <w:r w:rsidR="00EB2F67">
        <w:rPr>
          <w:rFonts w:eastAsia="Batang"/>
          <w:snapToGrid w:val="0"/>
          <w:kern w:val="2"/>
          <w:sz w:val="22"/>
          <w:szCs w:val="22"/>
          <w:lang w:eastAsia="ko-KR"/>
        </w:rPr>
        <w:t xml:space="preserve">e </w:t>
      </w:r>
      <w:r w:rsidR="002037A4">
        <w:rPr>
          <w:rFonts w:eastAsia="Batang" w:hint="eastAsia"/>
          <w:snapToGrid w:val="0"/>
          <w:kern w:val="2"/>
          <w:sz w:val="22"/>
          <w:szCs w:val="22"/>
          <w:lang w:eastAsia="ko-KR"/>
        </w:rPr>
        <w:t>made the following proposals.</w:t>
      </w:r>
    </w:p>
    <w:p w14:paraId="665CDF42" w14:textId="77777777" w:rsidR="00990F37" w:rsidRDefault="00990F37" w:rsidP="00990F37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For TDD NB-IoT coexistence with NR, the slot or symbol level resource reservation shall be supported to allow NB-IoT transmission in a portion of the subframe.</w:t>
      </w:r>
    </w:p>
    <w:p w14:paraId="2688DB61" w14:textId="5372CE7A" w:rsidR="00990F37" w:rsidRDefault="00990F37" w:rsidP="00990F37">
      <w:pPr>
        <w:pStyle w:val="LGTdoc1"/>
        <w:spacing w:beforeLines="0" w:before="120" w:after="120" w:afterAutospacing="0"/>
        <w:rPr>
          <w:sz w:val="22"/>
          <w:szCs w:val="22"/>
        </w:rPr>
      </w:pPr>
      <w:bookmarkStart w:id="4" w:name="_In-sequence_SDU_delivery"/>
      <w:bookmarkEnd w:id="4"/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Support resource reservation for NB-IoT using flexible NR resources.</w:t>
      </w:r>
    </w:p>
    <w:p w14:paraId="0FECB472" w14:textId="77777777" w:rsidR="007B0E9B" w:rsidRDefault="007B0E9B" w:rsidP="007B0E9B">
      <w:pPr>
        <w:pStyle w:val="LGTdoc1"/>
        <w:spacing w:beforeLines="0" w:before="120" w:after="1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Valid UL subframe configuration can be configured also for FDD NB-IoT for coexistence with NR.</w:t>
      </w:r>
    </w:p>
    <w:p w14:paraId="73DF3017" w14:textId="7017655B" w:rsidR="00990F37" w:rsidRDefault="00990F37" w:rsidP="00990F37">
      <w:pPr>
        <w:pStyle w:val="LGTdoc1"/>
        <w:spacing w:beforeLines="0" w:before="120" w:after="1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7B0E9B">
        <w:rPr>
          <w:sz w:val="22"/>
          <w:szCs w:val="22"/>
          <w:u w:val="single"/>
        </w:rPr>
        <w:t>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The time domain granularity of the valid subframe configuration for Rel-16 NB-IoT can also include 0.5ms, 0.25ms or 0.125ms dependent on the subcarrier spacing of NR.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003956DE" w14:textId="0E44DABB" w:rsidR="003A7EF3" w:rsidRDefault="00FA0631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bookmarkStart w:id="5" w:name="_Ref174151459"/>
      <w:bookmarkStart w:id="6" w:name="_Ref189809556"/>
      <w:r w:rsidRPr="00504EAE">
        <w:rPr>
          <w:rFonts w:ascii="Times New Roman" w:hAnsi="Times New Roman"/>
          <w:snapToGrid w:val="0"/>
          <w:sz w:val="22"/>
          <w:szCs w:val="22"/>
        </w:rPr>
        <w:t>[1]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  <w:t>RP-1</w:t>
      </w:r>
      <w:r w:rsidR="00FF1D6F">
        <w:rPr>
          <w:rFonts w:ascii="Times New Roman" w:hAnsi="Times New Roman"/>
          <w:snapToGrid w:val="0"/>
          <w:sz w:val="22"/>
          <w:szCs w:val="22"/>
        </w:rPr>
        <w:t>90</w:t>
      </w:r>
      <w:r w:rsidR="00456106">
        <w:rPr>
          <w:rFonts w:ascii="Times New Roman" w:hAnsi="Times New Roman"/>
          <w:snapToGrid w:val="0"/>
          <w:sz w:val="22"/>
          <w:szCs w:val="22"/>
        </w:rPr>
        <w:t>770</w:t>
      </w:r>
      <w:r w:rsidRPr="00504EAE">
        <w:rPr>
          <w:rFonts w:ascii="Times New Roman" w:hAnsi="Times New Roman"/>
          <w:snapToGrid w:val="0"/>
          <w:sz w:val="22"/>
          <w:szCs w:val="22"/>
        </w:rPr>
        <w:t>, “</w:t>
      </w:r>
      <w:r w:rsidR="00FF1D6F">
        <w:rPr>
          <w:rFonts w:ascii="Times New Roman" w:hAnsi="Times New Roman"/>
          <w:snapToGrid w:val="0"/>
          <w:sz w:val="22"/>
          <w:szCs w:val="22"/>
        </w:rPr>
        <w:t>Revised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 WID</w:t>
      </w:r>
      <w:r w:rsidR="00FF1D6F">
        <w:rPr>
          <w:rFonts w:ascii="Times New Roman" w:hAnsi="Times New Roman"/>
          <w:snapToGrid w:val="0"/>
          <w:sz w:val="22"/>
          <w:szCs w:val="22"/>
        </w:rPr>
        <w:t>: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 </w:t>
      </w:r>
      <w:r w:rsidR="00FF1D6F">
        <w:rPr>
          <w:rFonts w:ascii="Times New Roman" w:hAnsi="Times New Roman"/>
          <w:snapToGrid w:val="0"/>
          <w:sz w:val="22"/>
          <w:szCs w:val="22"/>
        </w:rPr>
        <w:t xml:space="preserve">Additional </w:t>
      </w:r>
      <w:r w:rsidRPr="00504EAE">
        <w:rPr>
          <w:rFonts w:ascii="Times New Roman" w:hAnsi="Times New Roman"/>
          <w:snapToGrid w:val="0"/>
          <w:sz w:val="22"/>
          <w:szCs w:val="22"/>
        </w:rPr>
        <w:t>enhancements for NB-IoT”, 3GPP RAN#8</w:t>
      </w:r>
      <w:r w:rsidR="00456106">
        <w:rPr>
          <w:rFonts w:ascii="Times New Roman" w:hAnsi="Times New Roman"/>
          <w:snapToGrid w:val="0"/>
          <w:sz w:val="22"/>
          <w:szCs w:val="22"/>
        </w:rPr>
        <w:t>3</w:t>
      </w:r>
      <w:r w:rsidR="00FF1D6F">
        <w:rPr>
          <w:rFonts w:ascii="Times New Roman" w:hAnsi="Times New Roman"/>
          <w:snapToGrid w:val="0"/>
          <w:sz w:val="22"/>
          <w:szCs w:val="22"/>
        </w:rPr>
        <w:t xml:space="preserve">, </w:t>
      </w:r>
      <w:r w:rsidR="00456106">
        <w:rPr>
          <w:rFonts w:ascii="Times New Roman" w:hAnsi="Times New Roman"/>
          <w:snapToGrid w:val="0"/>
          <w:sz w:val="22"/>
          <w:szCs w:val="22"/>
        </w:rPr>
        <w:t>March</w:t>
      </w:r>
      <w:r w:rsidRPr="00504EAE">
        <w:rPr>
          <w:rFonts w:ascii="Times New Roman" w:hAnsi="Times New Roman"/>
          <w:snapToGrid w:val="0"/>
          <w:sz w:val="22"/>
          <w:szCs w:val="22"/>
        </w:rPr>
        <w:t xml:space="preserve"> 201</w:t>
      </w:r>
      <w:bookmarkEnd w:id="5"/>
      <w:bookmarkEnd w:id="6"/>
      <w:r w:rsidR="00456106">
        <w:rPr>
          <w:rFonts w:ascii="Times New Roman" w:hAnsi="Times New Roman"/>
          <w:snapToGrid w:val="0"/>
          <w:sz w:val="22"/>
          <w:szCs w:val="22"/>
        </w:rPr>
        <w:t>9</w:t>
      </w:r>
    </w:p>
    <w:p w14:paraId="4A665610" w14:textId="569287C8" w:rsidR="00DB6F43" w:rsidRPr="00EB2F67" w:rsidRDefault="00DB6F43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</w:t>
      </w:r>
      <w:r w:rsidR="00990F37">
        <w:rPr>
          <w:rFonts w:ascii="Times New Roman" w:hAnsi="Times New Roman"/>
          <w:snapToGrid w:val="0"/>
          <w:sz w:val="22"/>
          <w:szCs w:val="22"/>
        </w:rPr>
        <w:t>2</w:t>
      </w:r>
      <w:r>
        <w:rPr>
          <w:rFonts w:ascii="Times New Roman" w:hAnsi="Times New Roman"/>
          <w:snapToGrid w:val="0"/>
          <w:sz w:val="22"/>
          <w:szCs w:val="22"/>
        </w:rPr>
        <w:t>]</w:t>
      </w:r>
      <w:r>
        <w:rPr>
          <w:rFonts w:ascii="Times New Roman" w:hAnsi="Times New Roman"/>
          <w:snapToGrid w:val="0"/>
          <w:sz w:val="22"/>
          <w:szCs w:val="22"/>
        </w:rPr>
        <w:tab/>
        <w:t>R1-18101</w:t>
      </w:r>
      <w:r w:rsidR="00C54079">
        <w:rPr>
          <w:rFonts w:ascii="Times New Roman" w:hAnsi="Times New Roman"/>
          <w:snapToGrid w:val="0"/>
          <w:sz w:val="22"/>
          <w:szCs w:val="22"/>
        </w:rPr>
        <w:t>9</w:t>
      </w:r>
      <w:r>
        <w:rPr>
          <w:rFonts w:ascii="Times New Roman" w:hAnsi="Times New Roman"/>
          <w:snapToGrid w:val="0"/>
          <w:sz w:val="22"/>
          <w:szCs w:val="22"/>
        </w:rPr>
        <w:t>7, “</w:t>
      </w:r>
      <w:r w:rsidR="00C54079">
        <w:rPr>
          <w:rFonts w:ascii="Times New Roman" w:hAnsi="Times New Roman"/>
          <w:snapToGrid w:val="0"/>
          <w:sz w:val="22"/>
          <w:szCs w:val="22"/>
        </w:rPr>
        <w:t xml:space="preserve">NR and NB-IoT </w:t>
      </w:r>
      <w:r>
        <w:rPr>
          <w:rFonts w:ascii="Times New Roman" w:hAnsi="Times New Roman"/>
          <w:snapToGrid w:val="0"/>
          <w:sz w:val="22"/>
          <w:szCs w:val="22"/>
        </w:rPr>
        <w:t xml:space="preserve">Coexistence”, </w:t>
      </w:r>
      <w:bookmarkStart w:id="7" w:name="_Ref522214218"/>
      <w:r w:rsidR="00C54079">
        <w:rPr>
          <w:rFonts w:ascii="Times New Roman" w:hAnsi="Times New Roman"/>
          <w:snapToGrid w:val="0"/>
          <w:sz w:val="22"/>
          <w:szCs w:val="22"/>
        </w:rPr>
        <w:t>Ericsson</w:t>
      </w:r>
      <w:bookmarkEnd w:id="7"/>
    </w:p>
    <w:sectPr w:rsidR="00DB6F43" w:rsidRPr="00EB2F67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44430" w14:textId="77777777" w:rsidR="00E279BD" w:rsidRDefault="00E279BD">
      <w:r>
        <w:separator/>
      </w:r>
    </w:p>
  </w:endnote>
  <w:endnote w:type="continuationSeparator" w:id="0">
    <w:p w14:paraId="384FB01E" w14:textId="77777777" w:rsidR="00E279BD" w:rsidRDefault="00E2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A57AFE" w:rsidRDefault="00A57A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423E" w14:textId="77777777" w:rsidR="00E279BD" w:rsidRDefault="00E279BD">
      <w:r>
        <w:separator/>
      </w:r>
    </w:p>
  </w:footnote>
  <w:footnote w:type="continuationSeparator" w:id="0">
    <w:p w14:paraId="29867381" w14:textId="77777777" w:rsidR="00E279BD" w:rsidRDefault="00E27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A57AFE" w:rsidRDefault="00A57A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80A1DAE"/>
    <w:multiLevelType w:val="hybridMultilevel"/>
    <w:tmpl w:val="B3BEF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z w:val="21"/>
        <w:szCs w:val="22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0"/>
  </w:num>
  <w:num w:numId="4">
    <w:abstractNumId w:val="21"/>
  </w:num>
  <w:num w:numId="5">
    <w:abstractNumId w:val="17"/>
  </w:num>
  <w:num w:numId="6">
    <w:abstractNumId w:val="25"/>
  </w:num>
  <w:num w:numId="7">
    <w:abstractNumId w:val="30"/>
  </w:num>
  <w:num w:numId="8">
    <w:abstractNumId w:val="18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9"/>
  </w:num>
  <w:num w:numId="15">
    <w:abstractNumId w:val="22"/>
  </w:num>
  <w:num w:numId="16">
    <w:abstractNumId w:val="32"/>
  </w:num>
  <w:num w:numId="17">
    <w:abstractNumId w:val="12"/>
  </w:num>
  <w:num w:numId="18">
    <w:abstractNumId w:val="14"/>
  </w:num>
  <w:num w:numId="19">
    <w:abstractNumId w:val="8"/>
  </w:num>
  <w:num w:numId="20">
    <w:abstractNumId w:val="35"/>
  </w:num>
  <w:num w:numId="21">
    <w:abstractNumId w:val="19"/>
  </w:num>
  <w:num w:numId="22">
    <w:abstractNumId w:val="34"/>
  </w:num>
  <w:num w:numId="23">
    <w:abstractNumId w:val="13"/>
  </w:num>
  <w:num w:numId="24">
    <w:abstractNumId w:val="23"/>
  </w:num>
  <w:num w:numId="25">
    <w:abstractNumId w:val="36"/>
  </w:num>
  <w:num w:numId="26">
    <w:abstractNumId w:val="3"/>
  </w:num>
  <w:num w:numId="27">
    <w:abstractNumId w:val="11"/>
  </w:num>
  <w:num w:numId="28">
    <w:abstractNumId w:val="31"/>
  </w:num>
  <w:num w:numId="29">
    <w:abstractNumId w:val="5"/>
  </w:num>
  <w:num w:numId="30">
    <w:abstractNumId w:val="7"/>
  </w:num>
  <w:num w:numId="31">
    <w:abstractNumId w:val="28"/>
  </w:num>
  <w:num w:numId="32">
    <w:abstractNumId w:val="10"/>
  </w:num>
  <w:num w:numId="33">
    <w:abstractNumId w:val="24"/>
  </w:num>
  <w:num w:numId="34">
    <w:abstractNumId w:val="15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6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5078"/>
    <w:rsid w:val="00047A9F"/>
    <w:rsid w:val="00052A07"/>
    <w:rsid w:val="000534E3"/>
    <w:rsid w:val="0005606A"/>
    <w:rsid w:val="00057117"/>
    <w:rsid w:val="000616E7"/>
    <w:rsid w:val="00063467"/>
    <w:rsid w:val="0006487E"/>
    <w:rsid w:val="00065E1A"/>
    <w:rsid w:val="00076617"/>
    <w:rsid w:val="00077E5F"/>
    <w:rsid w:val="0008036A"/>
    <w:rsid w:val="00081AE6"/>
    <w:rsid w:val="0008305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2E4E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E25B7"/>
    <w:rsid w:val="000F06D6"/>
    <w:rsid w:val="000F0EB1"/>
    <w:rsid w:val="000F1106"/>
    <w:rsid w:val="000F360A"/>
    <w:rsid w:val="000F3BE9"/>
    <w:rsid w:val="000F3F6C"/>
    <w:rsid w:val="000F6DF3"/>
    <w:rsid w:val="000F7C01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57E81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46BD"/>
    <w:rsid w:val="001A6173"/>
    <w:rsid w:val="001A6CBA"/>
    <w:rsid w:val="001B0D97"/>
    <w:rsid w:val="001B4262"/>
    <w:rsid w:val="001B5A5D"/>
    <w:rsid w:val="001C0423"/>
    <w:rsid w:val="001C1CE5"/>
    <w:rsid w:val="001C3D2A"/>
    <w:rsid w:val="001C70A1"/>
    <w:rsid w:val="001D51BA"/>
    <w:rsid w:val="001D5298"/>
    <w:rsid w:val="001D52D8"/>
    <w:rsid w:val="001D53E7"/>
    <w:rsid w:val="001D6342"/>
    <w:rsid w:val="001D6CFA"/>
    <w:rsid w:val="001D6D53"/>
    <w:rsid w:val="001E58E2"/>
    <w:rsid w:val="001E68EA"/>
    <w:rsid w:val="001E7AED"/>
    <w:rsid w:val="001F3916"/>
    <w:rsid w:val="001F54C5"/>
    <w:rsid w:val="001F662C"/>
    <w:rsid w:val="001F7074"/>
    <w:rsid w:val="00200490"/>
    <w:rsid w:val="00201F3A"/>
    <w:rsid w:val="002037A4"/>
    <w:rsid w:val="00203F96"/>
    <w:rsid w:val="002069B2"/>
    <w:rsid w:val="00207FA3"/>
    <w:rsid w:val="0021272D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30765"/>
    <w:rsid w:val="00230D18"/>
    <w:rsid w:val="002319E4"/>
    <w:rsid w:val="00235632"/>
    <w:rsid w:val="00235872"/>
    <w:rsid w:val="0024103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176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978CF"/>
    <w:rsid w:val="002A055E"/>
    <w:rsid w:val="002A1D4E"/>
    <w:rsid w:val="002A2869"/>
    <w:rsid w:val="002B24D6"/>
    <w:rsid w:val="002C14BD"/>
    <w:rsid w:val="002C41E6"/>
    <w:rsid w:val="002D071A"/>
    <w:rsid w:val="002D34B2"/>
    <w:rsid w:val="002D4118"/>
    <w:rsid w:val="002D48B0"/>
    <w:rsid w:val="002D5B37"/>
    <w:rsid w:val="002D7637"/>
    <w:rsid w:val="002E1349"/>
    <w:rsid w:val="002E17F2"/>
    <w:rsid w:val="002E7CAE"/>
    <w:rsid w:val="002F2771"/>
    <w:rsid w:val="002F2CAE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3646"/>
    <w:rsid w:val="003448C6"/>
    <w:rsid w:val="00346DB5"/>
    <w:rsid w:val="003477B1"/>
    <w:rsid w:val="00357380"/>
    <w:rsid w:val="003602D9"/>
    <w:rsid w:val="003604CE"/>
    <w:rsid w:val="003623B1"/>
    <w:rsid w:val="00370E47"/>
    <w:rsid w:val="00371CE9"/>
    <w:rsid w:val="00373CA2"/>
    <w:rsid w:val="003742AC"/>
    <w:rsid w:val="003752FC"/>
    <w:rsid w:val="00377CE1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B33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5AB8"/>
    <w:rsid w:val="00446488"/>
    <w:rsid w:val="00450020"/>
    <w:rsid w:val="004517AA"/>
    <w:rsid w:val="00452CAC"/>
    <w:rsid w:val="00456106"/>
    <w:rsid w:val="00457565"/>
    <w:rsid w:val="00457B71"/>
    <w:rsid w:val="00461EA1"/>
    <w:rsid w:val="00463323"/>
    <w:rsid w:val="00464F10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A395B"/>
    <w:rsid w:val="004A7CA7"/>
    <w:rsid w:val="004B621A"/>
    <w:rsid w:val="004B6F6A"/>
    <w:rsid w:val="004B7C0C"/>
    <w:rsid w:val="004C341E"/>
    <w:rsid w:val="004C3681"/>
    <w:rsid w:val="004C3898"/>
    <w:rsid w:val="004D2F1F"/>
    <w:rsid w:val="004D36B1"/>
    <w:rsid w:val="004D52EB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400A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6759"/>
    <w:rsid w:val="00536D8D"/>
    <w:rsid w:val="00537C62"/>
    <w:rsid w:val="005416DD"/>
    <w:rsid w:val="00546970"/>
    <w:rsid w:val="00554E19"/>
    <w:rsid w:val="0056121F"/>
    <w:rsid w:val="00564BC3"/>
    <w:rsid w:val="00572505"/>
    <w:rsid w:val="0057651F"/>
    <w:rsid w:val="00582809"/>
    <w:rsid w:val="0058798C"/>
    <w:rsid w:val="005900FA"/>
    <w:rsid w:val="00590847"/>
    <w:rsid w:val="00590924"/>
    <w:rsid w:val="00593081"/>
    <w:rsid w:val="005935A4"/>
    <w:rsid w:val="005948C2"/>
    <w:rsid w:val="00595DCA"/>
    <w:rsid w:val="0059779B"/>
    <w:rsid w:val="005A209A"/>
    <w:rsid w:val="005A3BF7"/>
    <w:rsid w:val="005A662D"/>
    <w:rsid w:val="005B1409"/>
    <w:rsid w:val="005B2857"/>
    <w:rsid w:val="005B35D7"/>
    <w:rsid w:val="005B392A"/>
    <w:rsid w:val="005B3AA3"/>
    <w:rsid w:val="005B41F1"/>
    <w:rsid w:val="005B6F83"/>
    <w:rsid w:val="005C74FB"/>
    <w:rsid w:val="005C7B25"/>
    <w:rsid w:val="005D1602"/>
    <w:rsid w:val="005D1933"/>
    <w:rsid w:val="005D5650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1975"/>
    <w:rsid w:val="0063284C"/>
    <w:rsid w:val="00636398"/>
    <w:rsid w:val="006368D3"/>
    <w:rsid w:val="006377EC"/>
    <w:rsid w:val="0064151F"/>
    <w:rsid w:val="00641533"/>
    <w:rsid w:val="00641D76"/>
    <w:rsid w:val="0064208D"/>
    <w:rsid w:val="00643475"/>
    <w:rsid w:val="0064396A"/>
    <w:rsid w:val="0064624E"/>
    <w:rsid w:val="006466A5"/>
    <w:rsid w:val="00650AB9"/>
    <w:rsid w:val="00653AAB"/>
    <w:rsid w:val="00655733"/>
    <w:rsid w:val="00655ACD"/>
    <w:rsid w:val="00656A92"/>
    <w:rsid w:val="00656DDE"/>
    <w:rsid w:val="0066011D"/>
    <w:rsid w:val="006607C0"/>
    <w:rsid w:val="006613A6"/>
    <w:rsid w:val="006627A2"/>
    <w:rsid w:val="006633E1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E0D"/>
    <w:rsid w:val="00694A9F"/>
    <w:rsid w:val="0069500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EC9"/>
    <w:rsid w:val="006C6059"/>
    <w:rsid w:val="006C6F9A"/>
    <w:rsid w:val="006C7522"/>
    <w:rsid w:val="006D0F2A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641"/>
    <w:rsid w:val="006E673D"/>
    <w:rsid w:val="006E7D3B"/>
    <w:rsid w:val="006F1B70"/>
    <w:rsid w:val="006F20C2"/>
    <w:rsid w:val="006F2CD5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000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D20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9CE"/>
    <w:rsid w:val="007A58A6"/>
    <w:rsid w:val="007A6B63"/>
    <w:rsid w:val="007B0E9B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200"/>
    <w:rsid w:val="007F637A"/>
    <w:rsid w:val="00803FAE"/>
    <w:rsid w:val="0080605F"/>
    <w:rsid w:val="00807786"/>
    <w:rsid w:val="00811FCB"/>
    <w:rsid w:val="008158D6"/>
    <w:rsid w:val="00817196"/>
    <w:rsid w:val="00822BE4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17C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337"/>
    <w:rsid w:val="00947713"/>
    <w:rsid w:val="009503DB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2DD"/>
    <w:rsid w:val="0098459E"/>
    <w:rsid w:val="00985253"/>
    <w:rsid w:val="009853B3"/>
    <w:rsid w:val="00990630"/>
    <w:rsid w:val="00990F37"/>
    <w:rsid w:val="00991761"/>
    <w:rsid w:val="00994DCA"/>
    <w:rsid w:val="00995BCE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640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98E"/>
    <w:rsid w:val="009F0779"/>
    <w:rsid w:val="009F08F3"/>
    <w:rsid w:val="009F344F"/>
    <w:rsid w:val="009F45A2"/>
    <w:rsid w:val="00A031D8"/>
    <w:rsid w:val="00A048A8"/>
    <w:rsid w:val="00A04F49"/>
    <w:rsid w:val="00A13E54"/>
    <w:rsid w:val="00A158D5"/>
    <w:rsid w:val="00A17782"/>
    <w:rsid w:val="00A17F63"/>
    <w:rsid w:val="00A2132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AFE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E60EC"/>
    <w:rsid w:val="00AF09D5"/>
    <w:rsid w:val="00AF1C5D"/>
    <w:rsid w:val="00AF42D7"/>
    <w:rsid w:val="00B006FE"/>
    <w:rsid w:val="00B007CB"/>
    <w:rsid w:val="00B02AA9"/>
    <w:rsid w:val="00B02FA3"/>
    <w:rsid w:val="00B041DD"/>
    <w:rsid w:val="00B05084"/>
    <w:rsid w:val="00B12997"/>
    <w:rsid w:val="00B157F9"/>
    <w:rsid w:val="00B20256"/>
    <w:rsid w:val="00B20D09"/>
    <w:rsid w:val="00B2763F"/>
    <w:rsid w:val="00B27AAC"/>
    <w:rsid w:val="00B30929"/>
    <w:rsid w:val="00B31FB2"/>
    <w:rsid w:val="00B32CBC"/>
    <w:rsid w:val="00B342D0"/>
    <w:rsid w:val="00B372AA"/>
    <w:rsid w:val="00B40081"/>
    <w:rsid w:val="00B40445"/>
    <w:rsid w:val="00B409E0"/>
    <w:rsid w:val="00B40B7D"/>
    <w:rsid w:val="00B412EB"/>
    <w:rsid w:val="00B41888"/>
    <w:rsid w:val="00B42B58"/>
    <w:rsid w:val="00B43958"/>
    <w:rsid w:val="00B45A52"/>
    <w:rsid w:val="00B46175"/>
    <w:rsid w:val="00B509B4"/>
    <w:rsid w:val="00B548B7"/>
    <w:rsid w:val="00B61DD3"/>
    <w:rsid w:val="00B664C7"/>
    <w:rsid w:val="00B67CFD"/>
    <w:rsid w:val="00B739F6"/>
    <w:rsid w:val="00B74EBA"/>
    <w:rsid w:val="00B81A6C"/>
    <w:rsid w:val="00B85DE5"/>
    <w:rsid w:val="00B8750A"/>
    <w:rsid w:val="00B90F73"/>
    <w:rsid w:val="00B91DEA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1214"/>
    <w:rsid w:val="00C2682C"/>
    <w:rsid w:val="00C279B5"/>
    <w:rsid w:val="00C27C45"/>
    <w:rsid w:val="00C3719D"/>
    <w:rsid w:val="00C37CB2"/>
    <w:rsid w:val="00C405AB"/>
    <w:rsid w:val="00C417E1"/>
    <w:rsid w:val="00C464AA"/>
    <w:rsid w:val="00C473A5"/>
    <w:rsid w:val="00C51101"/>
    <w:rsid w:val="00C54079"/>
    <w:rsid w:val="00C54995"/>
    <w:rsid w:val="00C54D41"/>
    <w:rsid w:val="00C60783"/>
    <w:rsid w:val="00C6277B"/>
    <w:rsid w:val="00C62929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77318"/>
    <w:rsid w:val="00C81568"/>
    <w:rsid w:val="00C873A7"/>
    <w:rsid w:val="00C87BEE"/>
    <w:rsid w:val="00C9027A"/>
    <w:rsid w:val="00C9068E"/>
    <w:rsid w:val="00C93814"/>
    <w:rsid w:val="00C93C4B"/>
    <w:rsid w:val="00C944AB"/>
    <w:rsid w:val="00C95B40"/>
    <w:rsid w:val="00CA01FF"/>
    <w:rsid w:val="00CA03EB"/>
    <w:rsid w:val="00CA1A04"/>
    <w:rsid w:val="00CA1ED8"/>
    <w:rsid w:val="00CA512D"/>
    <w:rsid w:val="00CB1F63"/>
    <w:rsid w:val="00CB5FCD"/>
    <w:rsid w:val="00CB7170"/>
    <w:rsid w:val="00CC040E"/>
    <w:rsid w:val="00CC111F"/>
    <w:rsid w:val="00CC2011"/>
    <w:rsid w:val="00CC3EA0"/>
    <w:rsid w:val="00CC6F7D"/>
    <w:rsid w:val="00CC7B45"/>
    <w:rsid w:val="00CD1188"/>
    <w:rsid w:val="00CD1894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00D4"/>
    <w:rsid w:val="00D00165"/>
    <w:rsid w:val="00D0349B"/>
    <w:rsid w:val="00D10249"/>
    <w:rsid w:val="00D115C3"/>
    <w:rsid w:val="00D11897"/>
    <w:rsid w:val="00D13135"/>
    <w:rsid w:val="00D13E4E"/>
    <w:rsid w:val="00D165E7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312"/>
    <w:rsid w:val="00D9196D"/>
    <w:rsid w:val="00D928F5"/>
    <w:rsid w:val="00D92982"/>
    <w:rsid w:val="00DA1183"/>
    <w:rsid w:val="00DA305E"/>
    <w:rsid w:val="00DA3F01"/>
    <w:rsid w:val="00DA5417"/>
    <w:rsid w:val="00DA56E8"/>
    <w:rsid w:val="00DA69F4"/>
    <w:rsid w:val="00DB0A9F"/>
    <w:rsid w:val="00DB377D"/>
    <w:rsid w:val="00DB6F43"/>
    <w:rsid w:val="00DC2D36"/>
    <w:rsid w:val="00DC53EF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0871"/>
    <w:rsid w:val="00E029CE"/>
    <w:rsid w:val="00E110E7"/>
    <w:rsid w:val="00E11B20"/>
    <w:rsid w:val="00E17FA2"/>
    <w:rsid w:val="00E22330"/>
    <w:rsid w:val="00E279B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6FE9"/>
    <w:rsid w:val="00E47AEF"/>
    <w:rsid w:val="00E53B75"/>
    <w:rsid w:val="00E54E3B"/>
    <w:rsid w:val="00E57565"/>
    <w:rsid w:val="00E63838"/>
    <w:rsid w:val="00E64434"/>
    <w:rsid w:val="00E67C51"/>
    <w:rsid w:val="00E7291D"/>
    <w:rsid w:val="00E72EFC"/>
    <w:rsid w:val="00E758EC"/>
    <w:rsid w:val="00E8234C"/>
    <w:rsid w:val="00E83AA9"/>
    <w:rsid w:val="00E8580E"/>
    <w:rsid w:val="00E85928"/>
    <w:rsid w:val="00E87822"/>
    <w:rsid w:val="00E90395"/>
    <w:rsid w:val="00E90E49"/>
    <w:rsid w:val="00E917F9"/>
    <w:rsid w:val="00E9291C"/>
    <w:rsid w:val="00E930B3"/>
    <w:rsid w:val="00E93FFE"/>
    <w:rsid w:val="00E94F8A"/>
    <w:rsid w:val="00EA4561"/>
    <w:rsid w:val="00EA7A41"/>
    <w:rsid w:val="00EB077B"/>
    <w:rsid w:val="00EB2F67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1E2"/>
    <w:rsid w:val="00F0528D"/>
    <w:rsid w:val="00F06C67"/>
    <w:rsid w:val="00F06DFD"/>
    <w:rsid w:val="00F071D1"/>
    <w:rsid w:val="00F07533"/>
    <w:rsid w:val="00F10629"/>
    <w:rsid w:val="00F10763"/>
    <w:rsid w:val="00F14E79"/>
    <w:rsid w:val="00F15FA5"/>
    <w:rsid w:val="00F209B7"/>
    <w:rsid w:val="00F2376F"/>
    <w:rsid w:val="00F243D8"/>
    <w:rsid w:val="00F27C4E"/>
    <w:rsid w:val="00F30828"/>
    <w:rsid w:val="00F30DD6"/>
    <w:rsid w:val="00F313D6"/>
    <w:rsid w:val="00F40F0C"/>
    <w:rsid w:val="00F45A85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BD"/>
    <w:rsid w:val="00F804BE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761F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A97"/>
    <w:rsid w:val="00FE4C7B"/>
    <w:rsid w:val="00FE7336"/>
    <w:rsid w:val="00FE787C"/>
    <w:rsid w:val="00FF1D6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44FBE-0AB0-40B5-A35C-2B596181A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522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7866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15</cp:revision>
  <cp:lastPrinted>2008-01-31T07:09:00Z</cp:lastPrinted>
  <dcterms:created xsi:type="dcterms:W3CDTF">2018-11-02T04:55:00Z</dcterms:created>
  <dcterms:modified xsi:type="dcterms:W3CDTF">2019-03-29T06:03:00Z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