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0A24C5A0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#96</w:t>
          </w:r>
          <w:r w:rsidR="000E10E3">
            <w:rPr>
              <w:rFonts w:ascii="Arial" w:hAnsi="Arial" w:cs="Arial"/>
              <w:b/>
              <w:sz w:val="24"/>
            </w:rPr>
            <w:t>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D6361D" w:rsidRPr="00D6361D">
            <w:rPr>
              <w:rFonts w:ascii="Arial" w:hAnsi="Arial" w:cs="Arial"/>
              <w:b/>
              <w:sz w:val="24"/>
            </w:rPr>
            <w:t>R1-1904264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675629B7" w:rsidR="00425159" w:rsidRPr="00425159" w:rsidRDefault="000E10E3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Xi’an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China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8</w:t>
          </w:r>
          <w:r w:rsidR="00B61A64">
            <w:rPr>
              <w:rFonts w:ascii="Arial" w:hAnsi="Arial" w:cs="Arial"/>
              <w:b/>
              <w:sz w:val="24"/>
            </w:rPr>
            <w:t xml:space="preserve">th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 w:rsidR="00B61A64">
            <w:rPr>
              <w:rFonts w:ascii="Arial" w:hAnsi="Arial" w:cs="Arial"/>
              <w:b/>
              <w:sz w:val="24"/>
            </w:rPr>
            <w:t>1</w:t>
          </w:r>
          <w:r>
            <w:rPr>
              <w:rFonts w:ascii="Arial" w:hAnsi="Arial" w:cs="Arial"/>
              <w:b/>
              <w:sz w:val="24"/>
            </w:rPr>
            <w:t>2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>
            <w:rPr>
              <w:rFonts w:ascii="Arial" w:hAnsi="Arial" w:cs="Arial"/>
              <w:b/>
              <w:sz w:val="24"/>
            </w:rPr>
            <w:t>h</w:t>
          </w:r>
          <w:r w:rsidR="00B61A64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April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B972FC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7BB3F75A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2F2E66">
        <w:t>6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B972FC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2F2E66" w14:paraId="22D6B82F" w14:textId="77777777" w:rsidTr="00A52C12">
        <w:tc>
          <w:tcPr>
            <w:tcW w:w="10065" w:type="dxa"/>
          </w:tcPr>
          <w:p w14:paraId="704C8554" w14:textId="77777777" w:rsidR="002F2E66" w:rsidRPr="002F2E66" w:rsidRDefault="002F2E66" w:rsidP="002F2E66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42A3E0AD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  <w:r w:rsidRPr="002F2E66">
              <w:rPr>
                <w:sz w:val="20"/>
                <w:lang w:eastAsia="x-none"/>
              </w:rPr>
              <w:t>UE-group MWUS sequence is same as UE-group NWUS per RB and the same sequence is repeated in two PRBs.</w:t>
            </w:r>
          </w:p>
          <w:p w14:paraId="23EF1BC0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2708527E" w14:textId="77777777" w:rsidR="002F2E66" w:rsidRPr="002F2E66" w:rsidRDefault="002F2E66" w:rsidP="002F2E66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05517907" w14:textId="77777777" w:rsidR="002F2E66" w:rsidRPr="002F2E66" w:rsidRDefault="002F2E66" w:rsidP="002F2E6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2F2E66">
              <w:rPr>
                <w:rFonts w:eastAsia="Times New Roman"/>
                <w:sz w:val="20"/>
                <w:szCs w:val="20"/>
                <w:lang w:val="en-US" w:eastAsia="x-none"/>
              </w:rPr>
              <w:t>A UE is required to monitor WUS(s) in only one WUS (time/frequency) resource location.</w:t>
            </w:r>
          </w:p>
          <w:p w14:paraId="219CBF70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1568E084" w14:textId="77777777" w:rsidR="002F2E66" w:rsidRPr="002F2E66" w:rsidRDefault="002F2E66" w:rsidP="002F2E66">
            <w:pPr>
              <w:spacing w:after="0"/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379DD99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rFonts w:eastAsia="Times New Roman"/>
                <w:sz w:val="20"/>
                <w:szCs w:val="20"/>
                <w:lang w:eastAsia="x-none"/>
              </w:rPr>
              <w:t xml:space="preserve">Single-sequence CDM is used in the same WUS resource if more than one UE group </w:t>
            </w:r>
            <w:r w:rsidRPr="002F2E66">
              <w:rPr>
                <w:rFonts w:eastAsia="Times New Roman"/>
                <w:sz w:val="20"/>
                <w:szCs w:val="20"/>
                <w:lang w:val="en-US" w:eastAsia="x-none"/>
              </w:rPr>
              <w:t>is configured to monitor</w:t>
            </w:r>
            <w:r w:rsidRPr="002F2E66">
              <w:rPr>
                <w:rFonts w:eastAsia="Times New Roman"/>
                <w:sz w:val="20"/>
                <w:szCs w:val="20"/>
                <w:lang w:eastAsia="x-none"/>
              </w:rPr>
              <w:t xml:space="preserve"> the WUS resource.</w:t>
            </w:r>
          </w:p>
          <w:p w14:paraId="253738E2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Select one among the following:</w:t>
            </w:r>
          </w:p>
          <w:p w14:paraId="528E0B25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 xml:space="preserve">Up to 2 orthogonal WUS resources may be configured in time domain </w:t>
            </w:r>
          </w:p>
          <w:p w14:paraId="2E4E6A80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 xml:space="preserve">Up to 2 orthogonal WUS resources may be configured in frequency domain </w:t>
            </w:r>
          </w:p>
          <w:p w14:paraId="11588519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Up to 2 orthogonal WUS resources may be configured per dimension (up to 4 orthogonal WUS resources in total)</w:t>
            </w:r>
          </w:p>
          <w:p w14:paraId="0BF6C655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Up to 2 orthogonal WUS resources may be configured either in time or frequency domain (only one of the two can be configured)</w:t>
            </w:r>
          </w:p>
          <w:p w14:paraId="152371D7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FFS: whether one of the WUS resources is configured to be shared with legacy WUS</w:t>
            </w:r>
          </w:p>
          <w:p w14:paraId="0BD2F91C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37AB5CE5" w14:textId="77777777" w:rsidR="002F2E66" w:rsidRPr="002F2E66" w:rsidRDefault="002F2E66" w:rsidP="002F2E66">
            <w:pPr>
              <w:spacing w:after="0"/>
              <w:rPr>
                <w:rFonts w:eastAsia="Times New Roman"/>
                <w:b/>
                <w:sz w:val="20"/>
                <w:szCs w:val="20"/>
                <w:highlight w:val="green"/>
              </w:rPr>
            </w:pPr>
            <w:r w:rsidRPr="002F2E66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4417A019" w14:textId="77777777" w:rsidR="002F2E66" w:rsidRPr="002F2E66" w:rsidRDefault="002F2E66" w:rsidP="002F2E66">
            <w:pPr>
              <w:spacing w:after="0"/>
              <w:rPr>
                <w:sz w:val="20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If configured, a common WUS is used to wake up all group WUS UEs monitoring the same WUS (time-frequency) resource if more than one UE group occupies the WUS resource.</w:t>
            </w:r>
          </w:p>
          <w:p w14:paraId="5965AFEE" w14:textId="77777777" w:rsidR="002F2E66" w:rsidRPr="002F2E66" w:rsidRDefault="002F2E66" w:rsidP="002F2E6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FFS: Whether the above is also applicable for Rel-15 WUS UEs</w:t>
            </w:r>
          </w:p>
          <w:p w14:paraId="0DEEF26B" w14:textId="2D1B16ED" w:rsidR="00FB1DB5" w:rsidRPr="002F2E66" w:rsidRDefault="002F2E66" w:rsidP="002F2E66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sz w:val="20"/>
                <w:lang w:val="en-US" w:eastAsia="x-none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FFS: Whether to additionally support the feature of waking up a subset of all WUS UE groups</w:t>
            </w:r>
          </w:p>
        </w:tc>
      </w:tr>
    </w:tbl>
    <w:p w14:paraId="65BC3CC1" w14:textId="3B5903F2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A35853" w:rsidRPr="00366D26">
        <w:t>UE-group WUS 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203F9D26" w14:textId="2B719B39" w:rsidR="008C2BF3" w:rsidRPr="006969BE" w:rsidRDefault="008C2BF3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Multiplexing </w:t>
      </w:r>
      <w:r w:rsidR="00C61275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>onsiderations</w:t>
      </w:r>
    </w:p>
    <w:p w14:paraId="2504DE90" w14:textId="3575319F" w:rsidR="004361E8" w:rsidRDefault="00FE2024" w:rsidP="008C2BF3">
      <w:pPr>
        <w:pStyle w:val="TdocText"/>
      </w:pPr>
      <w:r>
        <w:t xml:space="preserve">There are two factors which should be taken into account while </w:t>
      </w:r>
      <w:r w:rsidR="000024F9">
        <w:t xml:space="preserve">choosing among WUS multiplexing options: network </w:t>
      </w:r>
      <w:r w:rsidR="00384FEE">
        <w:t xml:space="preserve">(NW) </w:t>
      </w:r>
      <w:r w:rsidR="000024F9">
        <w:t>flexibility and UE complexity.</w:t>
      </w:r>
    </w:p>
    <w:p w14:paraId="0084CF47" w14:textId="0831B44D" w:rsidR="001A6294" w:rsidRDefault="0076477A" w:rsidP="008C2BF3">
      <w:pPr>
        <w:pStyle w:val="TdocText"/>
      </w:pPr>
      <w:r>
        <w:t xml:space="preserve">From the network flexibility perspective, </w:t>
      </w:r>
      <w:r w:rsidR="004C1FA9">
        <w:t>the option with up to 2 orthogonal WUS resources per dimension</w:t>
      </w:r>
      <w:r w:rsidR="004361E8">
        <w:t xml:space="preserve"> </w:t>
      </w:r>
      <w:r w:rsidR="004361E8" w:rsidRPr="004361E8">
        <w:t>(time/frequency)</w:t>
      </w:r>
      <w:r w:rsidR="004C1FA9">
        <w:t>, which results in up to 4 orthogonal WUS resources total, seems</w:t>
      </w:r>
      <w:r w:rsidR="004361E8">
        <w:t xml:space="preserve"> to be</w:t>
      </w:r>
      <w:r w:rsidR="004C1FA9">
        <w:t xml:space="preserve"> the most preferable</w:t>
      </w:r>
      <w:r w:rsidR="00384FEE">
        <w:t xml:space="preserve"> one</w:t>
      </w:r>
      <w:r w:rsidR="004C1FA9">
        <w:t>.</w:t>
      </w:r>
      <w:r w:rsidR="00384FEE">
        <w:t xml:space="preserve"> It potentially allows the NW to do TDM between the WUS resources, e.g., to provide additional </w:t>
      </w:r>
      <w:r w:rsidR="006B4C40">
        <w:t xml:space="preserve">power </w:t>
      </w:r>
      <w:r w:rsidR="00384FEE">
        <w:t>boosting</w:t>
      </w:r>
      <w:r w:rsidR="006B4C40">
        <w:t xml:space="preserve"> </w:t>
      </w:r>
      <w:r w:rsidR="006B4C40">
        <w:lastRenderedPageBreak/>
        <w:t>to the WUS</w:t>
      </w:r>
      <w:r w:rsidR="00384FEE">
        <w:t xml:space="preserve">. </w:t>
      </w:r>
      <w:r w:rsidR="00A076B7">
        <w:t xml:space="preserve">On other hand, it does not preclude FDM </w:t>
      </w:r>
      <w:r w:rsidR="00600FDA">
        <w:t>in deployments where the boosting is not needed, and the NW just prefer</w:t>
      </w:r>
      <w:r w:rsidR="00055234">
        <w:t>s</w:t>
      </w:r>
      <w:r w:rsidR="00600FDA">
        <w:t xml:space="preserve"> to increase the number of available WUS</w:t>
      </w:r>
      <w:r w:rsidR="00055234">
        <w:t xml:space="preserve"> resource</w:t>
      </w:r>
      <w:r w:rsidR="002B5814">
        <w:t>s</w:t>
      </w:r>
      <w:r w:rsidR="00055234">
        <w:t xml:space="preserve"> to serve a larger number of UE groups.</w:t>
      </w:r>
      <w:r w:rsidR="002B5814">
        <w:t xml:space="preserve"> From the same perspective, it should be up to the NW configuration to share </w:t>
      </w:r>
      <w:r w:rsidR="00CA042E">
        <w:t xml:space="preserve">or not </w:t>
      </w:r>
      <w:r w:rsidR="002B5814">
        <w:t>one of the WUS resources between UE-group WUS and the legacy WUS.</w:t>
      </w:r>
      <w:r w:rsidR="0023019F">
        <w:t xml:space="preserve"> For example, in deployments with limited number of WUS resources it would be beneficial to share a resource between UE-group and legacy WUS</w:t>
      </w:r>
      <w:r w:rsidR="00530B66">
        <w:t>es</w:t>
      </w:r>
      <w:r w:rsidR="00B2552A">
        <w:t xml:space="preserve"> especially when the relative number of legacy UEs is not high</w:t>
      </w:r>
      <w:r w:rsidR="0023019F">
        <w:t>.</w:t>
      </w:r>
      <w:r w:rsidR="00391819">
        <w:t xml:space="preserve"> However, it is still beneficial to </w:t>
      </w:r>
      <w:r w:rsidR="006F5BE5">
        <w:t xml:space="preserve">configure </w:t>
      </w:r>
      <w:r w:rsidR="00391819">
        <w:t xml:space="preserve">a WUS resource </w:t>
      </w:r>
      <w:r w:rsidR="00F45678">
        <w:t xml:space="preserve">only </w:t>
      </w:r>
      <w:r w:rsidR="00391819">
        <w:t xml:space="preserve">to legacy UEs </w:t>
      </w:r>
      <w:r w:rsidR="00F45678">
        <w:t>and not</w:t>
      </w:r>
      <w:r w:rsidR="00EF6F80">
        <w:t xml:space="preserve"> to</w:t>
      </w:r>
      <w:r w:rsidR="00F45678">
        <w:t xml:space="preserve"> configure it to Rel-16 UEs </w:t>
      </w:r>
      <w:r w:rsidR="003B22C2">
        <w:t>when the relative number of legacy UEs is large</w:t>
      </w:r>
      <w:r w:rsidR="00D6554E">
        <w:t xml:space="preserve"> </w:t>
      </w:r>
      <w:r w:rsidR="008427AD">
        <w:fldChar w:fldCharType="begin"/>
      </w:r>
      <w:r w:rsidR="008427AD">
        <w:instrText xml:space="preserve"> REF _Ref528750284 \r \h </w:instrText>
      </w:r>
      <w:r w:rsidR="008427AD">
        <w:fldChar w:fldCharType="separate"/>
      </w:r>
      <w:r w:rsidR="00B972FC">
        <w:t>[3]</w:t>
      </w:r>
      <w:r w:rsidR="008427AD">
        <w:fldChar w:fldCharType="end"/>
      </w:r>
      <w:r w:rsidR="003B22C2">
        <w:t>.</w:t>
      </w:r>
      <w:r w:rsidR="00174DA9">
        <w:t xml:space="preserve"> Because </w:t>
      </w:r>
      <w:r w:rsidR="00AC6EB9">
        <w:t xml:space="preserve">the </w:t>
      </w:r>
      <w:r w:rsidR="00174DA9">
        <w:t>legacy WUS and new UE-group WUS may share the same WUS resource</w:t>
      </w:r>
      <w:r w:rsidR="00391B09">
        <w:t>,</w:t>
      </w:r>
      <w:r w:rsidR="00174DA9">
        <w:t xml:space="preserve"> it’s proposed </w:t>
      </w:r>
      <w:r w:rsidR="00500B98">
        <w:t xml:space="preserve">to use </w:t>
      </w:r>
      <w:r w:rsidR="00174DA9">
        <w:t xml:space="preserve">the legacy WUS </w:t>
      </w:r>
      <w:r w:rsidR="00500B98">
        <w:t xml:space="preserve">as </w:t>
      </w:r>
      <w:r w:rsidR="00174DA9">
        <w:t xml:space="preserve">a common WUS </w:t>
      </w:r>
      <w:r w:rsidR="00500B98">
        <w:t>for Rel-16 UEs</w:t>
      </w:r>
      <w:r w:rsidR="00174DA9">
        <w:t>.</w:t>
      </w:r>
    </w:p>
    <w:p w14:paraId="19A5EA3A" w14:textId="77777777" w:rsidR="000024F9" w:rsidRDefault="000024F9" w:rsidP="00E11E89">
      <w:pPr>
        <w:rPr>
          <w:lang w:eastAsia="zh-CN"/>
        </w:rPr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0FC33406" w14:textId="759BE15D" w:rsidR="00785163" w:rsidRDefault="00AB140E" w:rsidP="00E55CC6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</w:t>
      </w:r>
      <w:r w:rsidR="00AB28D4">
        <w:t>igured.</w:t>
      </w:r>
    </w:p>
    <w:p w14:paraId="5A2DECDD" w14:textId="2A816925" w:rsidR="005E739B" w:rsidRDefault="005E739B" w:rsidP="00E11E89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74DE5C33" w14:textId="77777777" w:rsidR="009229E5" w:rsidRDefault="00785163" w:rsidP="00785163">
      <w:pPr>
        <w:pStyle w:val="TdocProposalText"/>
      </w:pPr>
      <w:r>
        <w:t>O</w:t>
      </w:r>
      <w:r w:rsidRPr="002F2E66">
        <w:t xml:space="preserve">ne of the WUS resources </w:t>
      </w:r>
      <w:r>
        <w:t xml:space="preserve">can be </w:t>
      </w:r>
      <w:r w:rsidRPr="002F2E66">
        <w:t>configured to be shared with legacy WUS</w:t>
      </w:r>
    </w:p>
    <w:p w14:paraId="43D9C3A9" w14:textId="23B74424" w:rsidR="00F1797E" w:rsidRDefault="009229E5" w:rsidP="00E11E89">
      <w:pPr>
        <w:pStyle w:val="TdocProposalText"/>
        <w:numPr>
          <w:ilvl w:val="1"/>
          <w:numId w:val="6"/>
        </w:numPr>
      </w:pPr>
      <w:r>
        <w:t xml:space="preserve">If not configured, the WUS resource is used </w:t>
      </w:r>
      <w:r w:rsidR="00F61041">
        <w:t>only for legacy WUS transmission</w:t>
      </w:r>
    </w:p>
    <w:p w14:paraId="278F947C" w14:textId="4690B000" w:rsidR="007D692B" w:rsidRDefault="001D5303" w:rsidP="00E11E89">
      <w:pPr>
        <w:pStyle w:val="TdocProposalText"/>
      </w:pPr>
      <w:r>
        <w:t>Legacy WUS is used as a</w:t>
      </w:r>
      <w:r w:rsidR="007D692B" w:rsidRPr="00E42140">
        <w:t xml:space="preserve"> common WUS </w:t>
      </w:r>
      <w:r w:rsidR="006D59DB">
        <w:t xml:space="preserve">to </w:t>
      </w:r>
      <w:r w:rsidR="006D59DB" w:rsidRPr="006D59DB">
        <w:t>wake up all UEs monitoring the same WUS resource</w:t>
      </w:r>
      <w:r w:rsidR="007D692B" w:rsidRPr="00E42140">
        <w:t>.</w:t>
      </w:r>
    </w:p>
    <w:p w14:paraId="2359D181" w14:textId="77777777" w:rsidR="00EF6F80" w:rsidRDefault="00EF6F80" w:rsidP="008C2BF3"/>
    <w:p w14:paraId="47C71A21" w14:textId="770FA912" w:rsidR="00EF6F80" w:rsidRDefault="00D92B62" w:rsidP="00E11E89">
      <w:pPr>
        <w:pStyle w:val="TdocText"/>
      </w:pPr>
      <w:r>
        <w:t xml:space="preserve">From the UE complexity perspective, the number of WUS sequences </w:t>
      </w:r>
      <w:r w:rsidR="00C35A54">
        <w:t xml:space="preserve">the </w:t>
      </w:r>
      <w:r>
        <w:t>UE detect</w:t>
      </w:r>
      <w:r w:rsidR="002F4843">
        <w:t>s</w:t>
      </w:r>
      <w:r>
        <w:t xml:space="preserve"> within </w:t>
      </w:r>
      <w:r w:rsidR="00D00B68">
        <w:t xml:space="preserve">the monitored </w:t>
      </w:r>
      <w:r>
        <w:t xml:space="preserve">WUS </w:t>
      </w:r>
      <w:r w:rsidR="00C35A54">
        <w:t xml:space="preserve">resources </w:t>
      </w:r>
      <w:r>
        <w:t>should be minimized.</w:t>
      </w:r>
      <w:r w:rsidR="002F4843">
        <w:t xml:space="preserve"> </w:t>
      </w:r>
      <w:r w:rsidR="00E52D9D">
        <w:t xml:space="preserve">However, in order to distinguish a particular WUS, the UE should </w:t>
      </w:r>
      <w:r w:rsidR="00C35A54">
        <w:t xml:space="preserve">be able </w:t>
      </w:r>
      <w:r w:rsidR="00D00B68">
        <w:t xml:space="preserve">to </w:t>
      </w:r>
      <w:r w:rsidR="00E52D9D">
        <w:t>detect all WUSes</w:t>
      </w:r>
      <w:r w:rsidR="00C35A54">
        <w:t xml:space="preserve"> which potentially can be transmitted within the WUS resource.</w:t>
      </w:r>
      <w:r w:rsidR="000C5D84">
        <w:t xml:space="preserve"> In this case,</w:t>
      </w:r>
      <w:r w:rsidR="00C44DE5">
        <w:t xml:space="preserve"> a minimal</w:t>
      </w:r>
      <w:r w:rsidR="000C5D84">
        <w:t xml:space="preserve"> number of UE groups </w:t>
      </w:r>
      <w:r w:rsidR="004928EB">
        <w:t xml:space="preserve">sharing the same WUS resource </w:t>
      </w:r>
      <w:r w:rsidR="00C44DE5">
        <w:t xml:space="preserve">is equal to 3: UE group-0, UE group-1 and </w:t>
      </w:r>
      <w:r w:rsidR="00FD396C">
        <w:t xml:space="preserve">the </w:t>
      </w:r>
      <w:r w:rsidR="00C44DE5">
        <w:t xml:space="preserve">common </w:t>
      </w:r>
      <w:r w:rsidR="00FD396C">
        <w:t xml:space="preserve">UE </w:t>
      </w:r>
      <w:r w:rsidR="00C44DE5">
        <w:t>group.</w:t>
      </w:r>
      <w:r w:rsidR="00591A47">
        <w:t xml:space="preserve"> Obviously, the single sequence (SS) CDM is used to multiplex theses sequences.</w:t>
      </w:r>
    </w:p>
    <w:p w14:paraId="1D70BBC1" w14:textId="77777777" w:rsidR="00034A21" w:rsidRDefault="00034A21" w:rsidP="00E11E89">
      <w:pPr>
        <w:rPr>
          <w:lang w:eastAsia="zh-CN"/>
        </w:rPr>
      </w:pPr>
    </w:p>
    <w:p w14:paraId="72C93BCB" w14:textId="1041905B" w:rsidR="00034A21" w:rsidRDefault="00FF6148" w:rsidP="00034A21">
      <w:pPr>
        <w:pStyle w:val="TdocProposal"/>
      </w:pPr>
      <w:r>
        <w:t>Proposal 2</w:t>
      </w:r>
      <w:r w:rsidR="00034A21" w:rsidRPr="00A57355">
        <w:t>:</w:t>
      </w:r>
    </w:p>
    <w:p w14:paraId="2D07C080" w14:textId="3D2A4FEB" w:rsidR="00034A21" w:rsidRDefault="005E5C0D" w:rsidP="00034A21">
      <w:pPr>
        <w:pStyle w:val="TdocProposalText"/>
      </w:pPr>
      <w:r>
        <w:t>For SS-CDM, t</w:t>
      </w:r>
      <w:r w:rsidR="001E55D5">
        <w:t xml:space="preserve">he </w:t>
      </w:r>
      <w:r>
        <w:t xml:space="preserve">max </w:t>
      </w:r>
      <w:r w:rsidR="001E55D5">
        <w:t>number of WUS</w:t>
      </w:r>
      <w:r>
        <w:t xml:space="preserve"> sequences within the same WUS resource is equal to 3</w:t>
      </w:r>
      <w:r w:rsidR="00034A21">
        <w:t>.</w:t>
      </w:r>
    </w:p>
    <w:p w14:paraId="1B48B0CE" w14:textId="32864F95" w:rsidR="005E5C0D" w:rsidRDefault="005E5C0D" w:rsidP="00E11E89">
      <w:pPr>
        <w:pStyle w:val="TdocProposalText"/>
        <w:numPr>
          <w:ilvl w:val="1"/>
          <w:numId w:val="6"/>
        </w:numPr>
      </w:pPr>
      <w:r>
        <w:t>This correspond</w:t>
      </w:r>
      <w:r w:rsidR="00490003">
        <w:t>s</w:t>
      </w:r>
      <w:r>
        <w:t xml:space="preserve"> to UE group-0, UE-group-1 and the common UE group.</w:t>
      </w:r>
    </w:p>
    <w:p w14:paraId="7A272D76" w14:textId="77777777" w:rsidR="00E2657A" w:rsidRDefault="00E2657A" w:rsidP="00B972FC"/>
    <w:p w14:paraId="2ED60396" w14:textId="4F7FBD42" w:rsidR="00591A47" w:rsidRDefault="00FB08D5" w:rsidP="00E11E89">
      <w:pPr>
        <w:pStyle w:val="TdocText"/>
      </w:pPr>
      <w:r>
        <w:t>An illustration of WUS multiplexing concept described above can be found in Figure 1.</w:t>
      </w:r>
    </w:p>
    <w:p w14:paraId="728C6A42" w14:textId="77C5CBC5" w:rsidR="00FB08D5" w:rsidRDefault="00E2657A" w:rsidP="00E11E89">
      <w:pPr>
        <w:pStyle w:val="TdocFigure"/>
        <w:keepNext/>
      </w:pPr>
      <w:r>
        <w:object w:dxaOrig="11870" w:dyaOrig="6911" w14:anchorId="40102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5pt;height:187.85pt" o:ole="">
            <v:imagedata r:id="rId12" o:title=""/>
          </v:shape>
          <o:OLEObject Type="Embed" ProgID="Visio.Drawing.15" ShapeID="_x0000_i1025" DrawAspect="Content" ObjectID="_1615404559" r:id="rId13"/>
        </w:object>
      </w:r>
    </w:p>
    <w:p w14:paraId="2D743A5E" w14:textId="41D10ED0" w:rsidR="00412AC3" w:rsidRDefault="00412AC3" w:rsidP="00412AC3">
      <w:pPr>
        <w:pStyle w:val="TdocFigure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972FC">
        <w:rPr>
          <w:noProof/>
        </w:rPr>
        <w:t>1</w:t>
      </w:r>
      <w:r>
        <w:rPr>
          <w:noProof/>
        </w:rPr>
        <w:fldChar w:fldCharType="end"/>
      </w:r>
      <w:r>
        <w:t>. Multiplexing</w:t>
      </w:r>
      <w:r w:rsidRPr="002D6CE4">
        <w:t xml:space="preserve"> of WUS </w:t>
      </w:r>
      <w:r>
        <w:t>resources</w:t>
      </w:r>
      <w:r w:rsidRPr="002D6CE4">
        <w:t xml:space="preserve"> in Rel-16.</w:t>
      </w:r>
    </w:p>
    <w:p w14:paraId="25644856" w14:textId="77777777" w:rsidR="008C2BF3" w:rsidRDefault="008C2BF3" w:rsidP="008C2BF3">
      <w:pPr>
        <w:rPr>
          <w:lang w:eastAsia="zh-CN"/>
        </w:rPr>
      </w:pPr>
    </w:p>
    <w:p w14:paraId="101A6AF9" w14:textId="77D70C18" w:rsidR="00BF183C" w:rsidRDefault="00BF183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UE-group WUS </w:t>
      </w:r>
      <w:r w:rsidR="00EB2217">
        <w:rPr>
          <w:rFonts w:cs="Arial"/>
          <w:sz w:val="32"/>
          <w:szCs w:val="32"/>
          <w:lang w:val="en-US"/>
        </w:rPr>
        <w:t xml:space="preserve">Sequence </w:t>
      </w:r>
      <w:r>
        <w:rPr>
          <w:rFonts w:cs="Arial"/>
          <w:sz w:val="32"/>
          <w:szCs w:val="32"/>
          <w:lang w:val="en-US"/>
        </w:rPr>
        <w:t>Generation Considerations</w:t>
      </w:r>
    </w:p>
    <w:p w14:paraId="5D099929" w14:textId="0DD70D34" w:rsidR="00397D96" w:rsidRDefault="00EB2217" w:rsidP="00582921">
      <w:pPr>
        <w:pStyle w:val="TdocText"/>
      </w:pPr>
      <w:r>
        <w:t xml:space="preserve">The WUS sequence generation for LTE eMTC is defined in Section </w:t>
      </w:r>
      <w:r w:rsidRPr="00EB2217">
        <w:t>6.11B.1</w:t>
      </w:r>
      <w:r>
        <w:t xml:space="preserve"> of </w:t>
      </w:r>
      <w:r w:rsidR="00360253">
        <w:rPr>
          <w:highlight w:val="yellow"/>
        </w:rPr>
        <w:fldChar w:fldCharType="begin"/>
      </w:r>
      <w:r w:rsidR="00360253">
        <w:instrText xml:space="preserve"> REF _Ref525558335 \r \h </w:instrText>
      </w:r>
      <w:r w:rsidR="00360253">
        <w:rPr>
          <w:highlight w:val="yellow"/>
        </w:rPr>
      </w:r>
      <w:r w:rsidR="00360253">
        <w:rPr>
          <w:highlight w:val="yellow"/>
        </w:rPr>
        <w:fldChar w:fldCharType="separate"/>
      </w:r>
      <w:r w:rsidR="00B972FC">
        <w:t>[4]</w:t>
      </w:r>
      <w:r w:rsidR="00360253">
        <w:rPr>
          <w:highlight w:val="yellow"/>
        </w:rPr>
        <w:fldChar w:fldCharType="end"/>
      </w:r>
      <w:r>
        <w:t xml:space="preserve">. In order to keep backwards compatibility with Rel-15 and, at the same time, minimize the impact on the </w:t>
      </w:r>
      <w:r w:rsidR="00BB5C45">
        <w:t xml:space="preserve">existing </w:t>
      </w:r>
      <w:r>
        <w:t>RAN1 specification, the following procedure for WUS sequence generation is proposed for Rel-16.</w:t>
      </w:r>
      <w:r w:rsidR="005A5313">
        <w:t xml:space="preserve"> The Gold RE-level scrambling sequence </w:t>
      </w:r>
      <w:r w:rsidR="005A5313" w:rsidRPr="00FD7E66">
        <w:rPr>
          <w:position w:val="-14"/>
        </w:rPr>
        <w:object w:dxaOrig="760" w:dyaOrig="380" w14:anchorId="21E7C5F0">
          <v:shape id="_x0000_i1026" type="#_x0000_t75" style="width:38.35pt;height:18.8pt" o:ole="">
            <v:imagedata r:id="rId14" o:title=""/>
          </v:shape>
          <o:OLEObject Type="Embed" ProgID="Equation.DSMT4" ShapeID="_x0000_i1026" DrawAspect="Content" ObjectID="_1615404560" r:id="rId15"/>
        </w:object>
      </w:r>
      <w:r w:rsidR="005A5313">
        <w:t xml:space="preserve"> is extended </w:t>
      </w:r>
      <w:r w:rsidR="005A5313" w:rsidRPr="00FD7E66">
        <w:rPr>
          <w:position w:val="-14"/>
        </w:rPr>
        <w:object w:dxaOrig="499" w:dyaOrig="400" w14:anchorId="42A2CDBE">
          <v:shape id="_x0000_i1027" type="#_x0000_t75" style="width:25.05pt;height:20.35pt" o:ole="">
            <v:imagedata r:id="rId16" o:title=""/>
          </v:shape>
          <o:OLEObject Type="Embed" ProgID="Equation.DSMT4" ShapeID="_x0000_i1027" DrawAspect="Content" ObjectID="_1615404561" r:id="rId17"/>
        </w:object>
      </w:r>
      <w:r w:rsidR="005A5313">
        <w:t xml:space="preserve"> times</w:t>
      </w:r>
      <w:r w:rsidR="00582921">
        <w:t xml:space="preserve">, </w:t>
      </w:r>
      <w:r w:rsidR="00582921" w:rsidRPr="00FD7E66">
        <w:rPr>
          <w:position w:val="-14"/>
        </w:rPr>
        <w:object w:dxaOrig="2720" w:dyaOrig="400" w14:anchorId="42239481">
          <v:shape id="_x0000_i1028" type="#_x0000_t75" style="width:136.15pt;height:20.35pt" o:ole="">
            <v:imagedata r:id="rId18" o:title=""/>
          </v:shape>
          <o:OLEObject Type="Embed" ProgID="Equation.DSMT4" ShapeID="_x0000_i1028" DrawAspect="Content" ObjectID="_1615404562" r:id="rId19"/>
        </w:object>
      </w:r>
      <w:r w:rsidR="00582921">
        <w:t>,</w:t>
      </w:r>
      <w:r w:rsidR="005A5313">
        <w:t xml:space="preserve"> where </w:t>
      </w:r>
      <w:r w:rsidR="005A5313" w:rsidRPr="008F379D">
        <w:rPr>
          <w:position w:val="-14"/>
        </w:rPr>
        <w:object w:dxaOrig="499" w:dyaOrig="400" w14:anchorId="4D13F9CB">
          <v:shape id="_x0000_i1029" type="#_x0000_t75" style="width:25.05pt;height:20.35pt" o:ole="">
            <v:imagedata r:id="rId16" o:title=""/>
          </v:shape>
          <o:OLEObject Type="Embed" ProgID="Equation.DSMT4" ShapeID="_x0000_i1029" DrawAspect="Content" ObjectID="_1615404563" r:id="rId20"/>
        </w:object>
      </w:r>
      <w:r w:rsidR="005A5313">
        <w:t xml:space="preserve"> is the total number of UE groups using the same initialization value </w:t>
      </w:r>
      <w:r w:rsidR="005A5313" w:rsidRPr="00FD7E66">
        <w:rPr>
          <w:position w:val="-14"/>
        </w:rPr>
        <w:object w:dxaOrig="740" w:dyaOrig="380" w14:anchorId="3BC557AF">
          <v:shape id="_x0000_i1030" type="#_x0000_t75" style="width:36.8pt;height:18.8pt" o:ole="">
            <v:imagedata r:id="rId21" o:title=""/>
          </v:shape>
          <o:OLEObject Type="Embed" ProgID="Equation.DSMT4" ShapeID="_x0000_i1030" DrawAspect="Content" ObjectID="_1615404564" r:id="rId22"/>
        </w:object>
      </w:r>
      <w:r w:rsidR="005A5313">
        <w:t xml:space="preserve"> as defined in Section </w:t>
      </w:r>
      <w:r w:rsidR="005A5313" w:rsidRPr="00EB2217">
        <w:t>6.11B.1</w:t>
      </w:r>
      <w:r w:rsidR="005A5313">
        <w:t xml:space="preserve"> </w:t>
      </w:r>
      <w:r w:rsidR="005A5313">
        <w:rPr>
          <w:highlight w:val="yellow"/>
        </w:rPr>
        <w:fldChar w:fldCharType="begin"/>
      </w:r>
      <w:r w:rsidR="005A5313">
        <w:instrText xml:space="preserve"> REF _Ref525558335 \r \h </w:instrText>
      </w:r>
      <w:r w:rsidR="005A5313">
        <w:rPr>
          <w:highlight w:val="yellow"/>
        </w:rPr>
      </w:r>
      <w:r w:rsidR="005A5313">
        <w:rPr>
          <w:highlight w:val="yellow"/>
        </w:rPr>
        <w:fldChar w:fldCharType="separate"/>
      </w:r>
      <w:r w:rsidR="00B972FC">
        <w:t>[4]</w:t>
      </w:r>
      <w:r w:rsidR="005A5313">
        <w:rPr>
          <w:highlight w:val="yellow"/>
        </w:rPr>
        <w:fldChar w:fldCharType="end"/>
      </w:r>
      <w:r w:rsidR="005A5313">
        <w:t>.</w:t>
      </w:r>
      <w:r w:rsidR="00BB5C45">
        <w:t xml:space="preserve"> </w:t>
      </w:r>
      <w:r w:rsidR="0012560A">
        <w:t>For WUS scrambling</w:t>
      </w:r>
      <w:r w:rsidR="00166F17">
        <w:t>, a</w:t>
      </w:r>
      <w:r w:rsidR="00BB5C45">
        <w:t xml:space="preserve"> </w:t>
      </w:r>
      <w:r w:rsidR="00397D96">
        <w:t xml:space="preserve">shorter </w:t>
      </w:r>
      <w:r w:rsidR="00BB5C45">
        <w:t xml:space="preserve">subsequence </w:t>
      </w:r>
      <w:r w:rsidR="00582921" w:rsidRPr="00C85655">
        <w:rPr>
          <w:position w:val="-14"/>
        </w:rPr>
        <w:object w:dxaOrig="920" w:dyaOrig="380" w14:anchorId="59C552C9">
          <v:shape id="_x0000_i1031" type="#_x0000_t75" style="width:46.95pt;height:18.8pt" o:ole="">
            <v:imagedata r:id="rId23" o:title=""/>
          </v:shape>
          <o:OLEObject Type="Embed" ProgID="Equation.DSMT4" ShapeID="_x0000_i1031" DrawAspect="Content" ObjectID="_1615404565" r:id="rId24"/>
        </w:object>
      </w:r>
      <w:r w:rsidR="00582921">
        <w:t xml:space="preserve">, </w:t>
      </w:r>
      <w:r w:rsidR="00582921" w:rsidRPr="00C85655">
        <w:object w:dxaOrig="2220" w:dyaOrig="320" w14:anchorId="76FB8A1A">
          <v:shape id="_x0000_i1032" type="#_x0000_t75" style="width:111.15pt;height:15.65pt" o:ole="">
            <v:imagedata r:id="rId25" o:title=""/>
          </v:shape>
          <o:OLEObject Type="Embed" ProgID="Equation.DSMT4" ShapeID="_x0000_i1032" DrawAspect="Content" ObjectID="_1615404566" r:id="rId26"/>
        </w:object>
      </w:r>
      <w:r w:rsidR="00582921">
        <w:t xml:space="preserve">, </w:t>
      </w:r>
      <w:r w:rsidR="00BB5C45">
        <w:t xml:space="preserve">from the new long Gold sequence </w:t>
      </w:r>
      <w:r w:rsidR="00BB5C45" w:rsidRPr="008F379D">
        <w:rPr>
          <w:position w:val="-14"/>
        </w:rPr>
        <w:object w:dxaOrig="760" w:dyaOrig="380" w14:anchorId="5E06CE8E">
          <v:shape id="_x0000_i1033" type="#_x0000_t75" style="width:38.35pt;height:18.8pt" o:ole="">
            <v:imagedata r:id="rId14" o:title=""/>
          </v:shape>
          <o:OLEObject Type="Embed" ProgID="Equation.DSMT4" ShapeID="_x0000_i1033" DrawAspect="Content" ObjectID="_1615404567" r:id="rId27"/>
        </w:object>
      </w:r>
      <w:r w:rsidR="00BB5C45">
        <w:t xml:space="preserve"> is selected according to the UE group index </w:t>
      </w:r>
      <w:r w:rsidR="00397D96" w:rsidRPr="00FD7E66">
        <w:rPr>
          <w:position w:val="-6"/>
        </w:rPr>
        <w:object w:dxaOrig="180" w:dyaOrig="220" w14:anchorId="0FB6BD24">
          <v:shape id="_x0000_i1034" type="#_x0000_t75" style="width:9.4pt;height:11.75pt" o:ole="">
            <v:imagedata r:id="rId28" o:title=""/>
          </v:shape>
          <o:OLEObject Type="Embed" ProgID="Equation.DSMT4" ShapeID="_x0000_i1034" DrawAspect="Content" ObjectID="_1615404568" r:id="rId29"/>
        </w:object>
      </w:r>
      <w:r w:rsidR="00397D96">
        <w:t xml:space="preserve">, </w:t>
      </w:r>
      <w:r w:rsidR="002D3DF4" w:rsidRPr="00FD7E66">
        <w:rPr>
          <w:position w:val="-14"/>
        </w:rPr>
        <w:object w:dxaOrig="1840" w:dyaOrig="400" w14:anchorId="4F399A80">
          <v:shape id="_x0000_i1035" type="#_x0000_t75" style="width:92.35pt;height:20.35pt" o:ole="">
            <v:imagedata r:id="rId30" o:title=""/>
          </v:shape>
          <o:OLEObject Type="Embed" ProgID="Equation.DSMT4" ShapeID="_x0000_i1035" DrawAspect="Content" ObjectID="_1615404569" r:id="rId31"/>
        </w:object>
      </w:r>
      <w:r w:rsidR="00397D96">
        <w:t xml:space="preserve">, </w:t>
      </w:r>
      <w:r w:rsidR="00BB5C45">
        <w:t>as follows:</w:t>
      </w:r>
    </w:p>
    <w:p w14:paraId="0A2C37BB" w14:textId="5C7697EE" w:rsidR="005A2ED3" w:rsidRDefault="005E2E84" w:rsidP="005B0B95">
      <w:pPr>
        <w:pStyle w:val="TdocEquation"/>
      </w:pPr>
      <w:r w:rsidRPr="005E2E84">
        <w:tab/>
      </w:r>
      <w:r w:rsidR="00397D96" w:rsidRPr="005B0B95">
        <w:object w:dxaOrig="3140" w:dyaOrig="380" w14:anchorId="7B9FCB55">
          <v:shape id="_x0000_i1036" type="#_x0000_t75" style="width:156.5pt;height:18.8pt" o:ole="">
            <v:imagedata r:id="rId32" o:title=""/>
          </v:shape>
          <o:OLEObject Type="Embed" ProgID="Equation.DSMT4" ShapeID="_x0000_i1036" DrawAspect="Content" ObjectID="_1615404570" r:id="rId33"/>
        </w:object>
      </w:r>
      <w:r w:rsidR="00397D96" w:rsidRPr="005B0B95">
        <w:t>,</w:t>
      </w:r>
      <w:r w:rsidRPr="005B0B95">
        <w:tab/>
      </w:r>
      <w:r w:rsidR="005B0B95">
        <w:fldChar w:fldCharType="begin"/>
      </w:r>
      <w:r w:rsidR="005B0B95">
        <w:instrText xml:space="preserve"> MACROBUTTON MTPlaceRef \* MERGEFORMAT </w:instrText>
      </w:r>
      <w:r w:rsidR="005B0B95">
        <w:fldChar w:fldCharType="begin"/>
      </w:r>
      <w:r w:rsidR="005B0B95">
        <w:instrText xml:space="preserve"> SEQ MTEqn \h \* MERGEFORMAT </w:instrText>
      </w:r>
      <w:r w:rsidR="005B0B95">
        <w:fldChar w:fldCharType="end"/>
      </w:r>
      <w:r w:rsidR="005B0B95">
        <w:instrText>(</w:instrText>
      </w:r>
      <w:r w:rsidR="00643976">
        <w:rPr>
          <w:noProof/>
        </w:rPr>
        <w:fldChar w:fldCharType="begin"/>
      </w:r>
      <w:r w:rsidR="00643976">
        <w:rPr>
          <w:noProof/>
        </w:rPr>
        <w:instrText xml:space="preserve"> SEQ MTEqn \c \* Arabic \* MERGEFORMAT </w:instrText>
      </w:r>
      <w:r w:rsidR="00643976">
        <w:rPr>
          <w:noProof/>
        </w:rPr>
        <w:fldChar w:fldCharType="separate"/>
      </w:r>
      <w:r w:rsidR="00B972FC">
        <w:rPr>
          <w:noProof/>
        </w:rPr>
        <w:instrText>1</w:instrText>
      </w:r>
      <w:r w:rsidR="00643976">
        <w:rPr>
          <w:noProof/>
        </w:rPr>
        <w:fldChar w:fldCharType="end"/>
      </w:r>
      <w:r w:rsidR="005B0B95">
        <w:instrText>)</w:instrText>
      </w:r>
      <w:r w:rsidR="005B0B95">
        <w:fldChar w:fldCharType="end"/>
      </w:r>
    </w:p>
    <w:p w14:paraId="0050DA37" w14:textId="2F66B5C5" w:rsidR="001C3A5F" w:rsidRDefault="00A2440A" w:rsidP="00C85655">
      <w:pPr>
        <w:pStyle w:val="TdocText"/>
      </w:pPr>
      <w:r>
        <w:t xml:space="preserve">where an example correspondence between </w:t>
      </w:r>
      <w:r w:rsidR="0009763B">
        <w:t xml:space="preserve">the index </w:t>
      </w:r>
      <w:r w:rsidR="0009763B" w:rsidRPr="00FD7E66">
        <w:rPr>
          <w:position w:val="-6"/>
        </w:rPr>
        <w:object w:dxaOrig="180" w:dyaOrig="220" w14:anchorId="599473B4">
          <v:shape id="_x0000_i1037" type="#_x0000_t75" style="width:9.4pt;height:11.75pt" o:ole="">
            <v:imagedata r:id="rId28" o:title=""/>
          </v:shape>
          <o:OLEObject Type="Embed" ProgID="Equation.DSMT4" ShapeID="_x0000_i1037" DrawAspect="Content" ObjectID="_1615404571" r:id="rId34"/>
        </w:object>
      </w:r>
      <w:r w:rsidR="0009763B">
        <w:t xml:space="preserve"> and UE groups is given in </w:t>
      </w:r>
      <w:r w:rsidR="00C85655">
        <w:fldChar w:fldCharType="begin"/>
      </w:r>
      <w:r w:rsidR="00C85655">
        <w:instrText xml:space="preserve"> REF _Ref525564325 \h </w:instrText>
      </w:r>
      <w:r w:rsidR="00C85655">
        <w:fldChar w:fldCharType="separate"/>
      </w:r>
      <w:r w:rsidR="00B972FC">
        <w:t xml:space="preserve">Table </w:t>
      </w:r>
      <w:r w:rsidR="00B972FC">
        <w:rPr>
          <w:noProof/>
        </w:rPr>
        <w:t>1</w:t>
      </w:r>
      <w:r w:rsidR="00C85655">
        <w:fldChar w:fldCharType="end"/>
      </w:r>
      <w:r w:rsidR="0009763B">
        <w:t>.</w:t>
      </w:r>
    </w:p>
    <w:p w14:paraId="068EBFB5" w14:textId="4ECFFFA1" w:rsidR="00210956" w:rsidRDefault="00210956" w:rsidP="00C85655">
      <w:pPr>
        <w:pStyle w:val="TdocTableCaption"/>
      </w:pPr>
      <w:bookmarkStart w:id="0" w:name="_Ref525564325"/>
      <w:r>
        <w:t xml:space="preserve">Table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Table \* ARABIC </w:instrText>
      </w:r>
      <w:r w:rsidR="00712333">
        <w:rPr>
          <w:noProof/>
        </w:rPr>
        <w:fldChar w:fldCharType="separate"/>
      </w:r>
      <w:r w:rsidR="00B972FC">
        <w:rPr>
          <w:noProof/>
        </w:rPr>
        <w:t>1</w:t>
      </w:r>
      <w:r w:rsidR="00712333">
        <w:rPr>
          <w:noProof/>
        </w:rPr>
        <w:fldChar w:fldCharType="end"/>
      </w:r>
      <w:bookmarkEnd w:id="0"/>
      <w:r>
        <w:t>.</w:t>
      </w:r>
    </w:p>
    <w:tbl>
      <w:tblPr>
        <w:tblStyle w:val="TableGrid"/>
        <w:tblW w:w="0" w:type="auto"/>
        <w:tblInd w:w="3256" w:type="dxa"/>
        <w:tblLook w:val="04A0" w:firstRow="1" w:lastRow="0" w:firstColumn="1" w:lastColumn="0" w:noHBand="0" w:noVBand="1"/>
      </w:tblPr>
      <w:tblGrid>
        <w:gridCol w:w="1901"/>
        <w:gridCol w:w="1902"/>
      </w:tblGrid>
      <w:tr w:rsidR="00205039" w14:paraId="2212E672" w14:textId="77777777" w:rsidTr="00C85655">
        <w:tc>
          <w:tcPr>
            <w:tcW w:w="1901" w:type="dxa"/>
            <w:shd w:val="clear" w:color="auto" w:fill="D0CECE" w:themeFill="background2" w:themeFillShade="E6"/>
          </w:tcPr>
          <w:p w14:paraId="3FDEC4F3" w14:textId="30F24DDA" w:rsidR="00205039" w:rsidRDefault="00205039" w:rsidP="00C85655">
            <w:pPr>
              <w:pStyle w:val="TdocTableCap"/>
              <w:jc w:val="center"/>
            </w:pPr>
            <w:r>
              <w:t xml:space="preserve">UE group index, </w:t>
            </w:r>
            <w:r w:rsidRPr="00FD7E66">
              <w:rPr>
                <w:position w:val="-6"/>
              </w:rPr>
              <w:object w:dxaOrig="180" w:dyaOrig="220" w14:anchorId="0FE3CB13">
                <v:shape id="_x0000_i1038" type="#_x0000_t75" style="width:9.4pt;height:11.75pt" o:ole="">
                  <v:imagedata r:id="rId28" o:title=""/>
                </v:shape>
                <o:OLEObject Type="Embed" ProgID="Equation.DSMT4" ShapeID="_x0000_i1038" DrawAspect="Content" ObjectID="_1615404572" r:id="rId35"/>
              </w:object>
            </w:r>
          </w:p>
        </w:tc>
        <w:tc>
          <w:tcPr>
            <w:tcW w:w="1902" w:type="dxa"/>
            <w:shd w:val="clear" w:color="auto" w:fill="D0CECE" w:themeFill="background2" w:themeFillShade="E6"/>
          </w:tcPr>
          <w:p w14:paraId="603666CE" w14:textId="7F2AFF6C" w:rsidR="00205039" w:rsidRDefault="00205039" w:rsidP="00C85655">
            <w:pPr>
              <w:pStyle w:val="TdocTableCap"/>
              <w:jc w:val="center"/>
            </w:pPr>
            <w:r>
              <w:t>UE group</w:t>
            </w:r>
          </w:p>
        </w:tc>
      </w:tr>
      <w:tr w:rsidR="00205039" w14:paraId="7EBE1AF3" w14:textId="77777777" w:rsidTr="00C85655">
        <w:tc>
          <w:tcPr>
            <w:tcW w:w="1901" w:type="dxa"/>
          </w:tcPr>
          <w:p w14:paraId="4A1F75AF" w14:textId="6F92055B" w:rsidR="00205039" w:rsidRDefault="00205039" w:rsidP="00C85655">
            <w:pPr>
              <w:pStyle w:val="TdocTableContent"/>
              <w:jc w:val="center"/>
            </w:pPr>
            <w:r>
              <w:t>0</w:t>
            </w:r>
          </w:p>
        </w:tc>
        <w:tc>
          <w:tcPr>
            <w:tcW w:w="1902" w:type="dxa"/>
          </w:tcPr>
          <w:p w14:paraId="33F2A559" w14:textId="64139D6C" w:rsidR="00205039" w:rsidRDefault="00205039" w:rsidP="00C85655">
            <w:pPr>
              <w:pStyle w:val="TdocTableContent"/>
              <w:jc w:val="center"/>
            </w:pPr>
            <w:r>
              <w:t>Legacy Rel-15</w:t>
            </w:r>
            <w:r w:rsidR="00654E7C">
              <w:t>/</w:t>
            </w:r>
            <w:r w:rsidR="00B972FC">
              <w:t xml:space="preserve"> </w:t>
            </w:r>
            <w:r w:rsidR="00654E7C">
              <w:t>common group</w:t>
            </w:r>
          </w:p>
        </w:tc>
      </w:tr>
      <w:tr w:rsidR="00EC2C21" w14:paraId="721A9017" w14:textId="77777777" w:rsidTr="00C85655">
        <w:tc>
          <w:tcPr>
            <w:tcW w:w="1901" w:type="dxa"/>
          </w:tcPr>
          <w:p w14:paraId="3C86ADE2" w14:textId="04F9F5A6" w:rsidR="00EC2C21" w:rsidRDefault="00654E7C" w:rsidP="00EC2C21">
            <w:pPr>
              <w:pStyle w:val="TdocTableContent"/>
              <w:jc w:val="center"/>
            </w:pPr>
            <w:r>
              <w:t>1</w:t>
            </w:r>
          </w:p>
        </w:tc>
        <w:tc>
          <w:tcPr>
            <w:tcW w:w="1902" w:type="dxa"/>
          </w:tcPr>
          <w:p w14:paraId="15C999B6" w14:textId="441B994D" w:rsidR="00EC2C21" w:rsidRDefault="00EC2C21" w:rsidP="00EC2C21">
            <w:pPr>
              <w:pStyle w:val="TdocTableContent"/>
              <w:jc w:val="center"/>
            </w:pPr>
            <w:r>
              <w:t>UE group-0</w:t>
            </w:r>
          </w:p>
        </w:tc>
      </w:tr>
      <w:tr w:rsidR="00EC2C21" w14:paraId="395CC85E" w14:textId="77777777" w:rsidTr="00C85655">
        <w:tc>
          <w:tcPr>
            <w:tcW w:w="1901" w:type="dxa"/>
          </w:tcPr>
          <w:p w14:paraId="0016AC4F" w14:textId="0451A651" w:rsidR="00EC2C21" w:rsidRDefault="00654E7C" w:rsidP="00EC2C21">
            <w:pPr>
              <w:pStyle w:val="TdocTableContent"/>
              <w:jc w:val="center"/>
            </w:pPr>
            <w:r>
              <w:t>2</w:t>
            </w:r>
          </w:p>
        </w:tc>
        <w:tc>
          <w:tcPr>
            <w:tcW w:w="1902" w:type="dxa"/>
          </w:tcPr>
          <w:p w14:paraId="00DD002F" w14:textId="71D4EDA5" w:rsidR="00EC2C21" w:rsidRDefault="00EC2C21" w:rsidP="00EC2C21">
            <w:pPr>
              <w:pStyle w:val="TdocTableContent"/>
              <w:jc w:val="center"/>
            </w:pPr>
            <w:r>
              <w:t>UE group-1</w:t>
            </w:r>
          </w:p>
        </w:tc>
      </w:tr>
    </w:tbl>
    <w:p w14:paraId="2204B053" w14:textId="2A4ED052" w:rsidR="00D557AF" w:rsidRDefault="00996C95" w:rsidP="00C85655">
      <w:pPr>
        <w:pStyle w:val="TdocText"/>
      </w:pPr>
      <w:r>
        <w:t xml:space="preserve">The procedure is illustrated in </w:t>
      </w:r>
      <w:r w:rsidR="00302992">
        <w:fldChar w:fldCharType="begin"/>
      </w:r>
      <w:r w:rsidR="00302992">
        <w:instrText xml:space="preserve"> REF _Ref525566939 \h </w:instrText>
      </w:r>
      <w:r w:rsidR="00302992">
        <w:fldChar w:fldCharType="separate"/>
      </w:r>
      <w:r w:rsidR="00B972FC">
        <w:t xml:space="preserve">Figure </w:t>
      </w:r>
      <w:r w:rsidR="00B972FC">
        <w:rPr>
          <w:noProof/>
        </w:rPr>
        <w:t>2</w:t>
      </w:r>
      <w:r w:rsidR="00302992">
        <w:fldChar w:fldCharType="end"/>
      </w:r>
      <w:r>
        <w:t>.</w:t>
      </w:r>
    </w:p>
    <w:p w14:paraId="07E3D49B" w14:textId="2C9AB2F5" w:rsidR="00740E55" w:rsidRDefault="00412AC3" w:rsidP="0017253C">
      <w:pPr>
        <w:pStyle w:val="TdocFigure"/>
        <w:keepNext/>
      </w:pPr>
      <w:r w:rsidRPr="00412AC3">
        <w:lastRenderedPageBreak/>
        <w:t xml:space="preserve"> </w:t>
      </w:r>
      <w:r>
        <w:object w:dxaOrig="4200" w:dyaOrig="4340" w14:anchorId="56310EE0">
          <v:shape id="_x0000_i1039" type="#_x0000_t75" style="width:190.95pt;height:197.2pt;mso-position-horizontal:absolute;mso-position-vertical:absolute" o:ole="">
            <v:imagedata r:id="rId36" o:title=""/>
          </v:shape>
          <o:OLEObject Type="Embed" ProgID="Visio.Drawing.15" ShapeID="_x0000_i1039" DrawAspect="Content" ObjectID="_1615404573" r:id="rId37"/>
        </w:object>
      </w:r>
    </w:p>
    <w:p w14:paraId="38077F6C" w14:textId="45D01A53" w:rsidR="00302992" w:rsidRDefault="00302992" w:rsidP="0017253C">
      <w:pPr>
        <w:pStyle w:val="TdocFigureCaption"/>
      </w:pPr>
      <w:bookmarkStart w:id="1" w:name="_Ref525566939"/>
      <w:r>
        <w:t xml:space="preserve">Figure </w:t>
      </w:r>
      <w:r w:rsidR="00712333">
        <w:rPr>
          <w:noProof/>
        </w:rPr>
        <w:fldChar w:fldCharType="begin"/>
      </w:r>
      <w:r w:rsidR="00712333">
        <w:rPr>
          <w:noProof/>
        </w:rPr>
        <w:instrText xml:space="preserve"> SEQ Figure \* ARABIC </w:instrText>
      </w:r>
      <w:r w:rsidR="00712333">
        <w:rPr>
          <w:noProof/>
        </w:rPr>
        <w:fldChar w:fldCharType="separate"/>
      </w:r>
      <w:r w:rsidR="00B972FC">
        <w:rPr>
          <w:noProof/>
        </w:rPr>
        <w:t>2</w:t>
      </w:r>
      <w:r w:rsidR="00712333">
        <w:rPr>
          <w:noProof/>
        </w:rPr>
        <w:fldChar w:fldCharType="end"/>
      </w:r>
      <w:bookmarkEnd w:id="1"/>
      <w:r>
        <w:t xml:space="preserve">. </w:t>
      </w:r>
      <w:r w:rsidRPr="002D6CE4">
        <w:t>Illustration of WUS sequence generation in Rel-16.</w:t>
      </w:r>
    </w:p>
    <w:p w14:paraId="7B6C3E9F" w14:textId="48BBF034" w:rsidR="007127AB" w:rsidRDefault="007127AB" w:rsidP="0017253C">
      <w:pPr>
        <w:pStyle w:val="TdocText"/>
      </w:pPr>
      <w:r>
        <w:t xml:space="preserve">It can be easily </w:t>
      </w:r>
      <w:r w:rsidR="0025417E">
        <w:t xml:space="preserve">seen </w:t>
      </w:r>
      <w:r>
        <w:t>that for the group of legacy Rel-15 UEs</w:t>
      </w:r>
      <w:r w:rsidR="00197DA8">
        <w:t xml:space="preserve"> </w:t>
      </w:r>
      <w:r w:rsidR="008578A7">
        <w:t>(</w:t>
      </w:r>
      <w:r w:rsidR="008578A7" w:rsidRPr="0017253C">
        <w:rPr>
          <w:position w:val="-6"/>
        </w:rPr>
        <w:object w:dxaOrig="540" w:dyaOrig="279" w14:anchorId="0ADDE6A5">
          <v:shape id="_x0000_i1040" type="#_x0000_t75" style="width:28.15pt;height:14.85pt" o:ole="">
            <v:imagedata r:id="rId38" o:title=""/>
          </v:shape>
          <o:OLEObject Type="Embed" ProgID="Equation.DSMT4" ShapeID="_x0000_i1040" DrawAspect="Content" ObjectID="_1615404574" r:id="rId39"/>
        </w:object>
      </w:r>
      <w:r w:rsidR="008578A7">
        <w:t>)</w:t>
      </w:r>
      <w:r w:rsidR="00197DA8">
        <w:t xml:space="preserve">, the proposed procedure produces the same WUS as </w:t>
      </w:r>
      <w:r w:rsidR="008578A7">
        <w:t xml:space="preserve">in Rel-15, </w:t>
      </w:r>
      <w:r w:rsidR="00197DA8">
        <w:t>thus</w:t>
      </w:r>
      <w:r w:rsidR="008578A7">
        <w:t xml:space="preserve">, </w:t>
      </w:r>
      <w:r w:rsidR="00197DA8">
        <w:t xml:space="preserve">providing </w:t>
      </w:r>
      <w:r w:rsidR="008578A7">
        <w:t xml:space="preserve">the required </w:t>
      </w:r>
      <w:r w:rsidR="00197DA8">
        <w:t>backwards compatibility</w:t>
      </w:r>
      <w:r w:rsidR="008578A7">
        <w:t>.</w:t>
      </w:r>
    </w:p>
    <w:p w14:paraId="26774037" w14:textId="3602844E" w:rsidR="00C93746" w:rsidRDefault="002F6C80" w:rsidP="0017253C">
      <w:pPr>
        <w:pStyle w:val="TdocText"/>
      </w:pPr>
      <w:r>
        <w:t>There are other ways to generate multiple WUS</w:t>
      </w:r>
      <w:r w:rsidR="0014588C">
        <w:t>es</w:t>
      </w:r>
      <w:r>
        <w:t xml:space="preserve"> for different UE groups based on the legacy WUS generation such as scrambling initialization, Zadoff-Chu phase shift</w:t>
      </w:r>
      <w:r w:rsidR="00D43D09">
        <w:t>,</w:t>
      </w:r>
      <w:r>
        <w:t xml:space="preserve"> </w:t>
      </w:r>
      <w:r w:rsidR="004F6EFC">
        <w:t xml:space="preserve">and </w:t>
      </w:r>
      <w:r>
        <w:t xml:space="preserve">orthogonal cover codes (OCCs) in the frequency domain. According to </w:t>
      </w:r>
      <w:r w:rsidR="00544071">
        <w:rPr>
          <w:highlight w:val="yellow"/>
        </w:rPr>
        <w:fldChar w:fldCharType="begin"/>
      </w:r>
      <w:r w:rsidR="00544071">
        <w:instrText xml:space="preserve"> REF _Ref1039307 \r \h </w:instrText>
      </w:r>
      <w:r w:rsidR="00544071">
        <w:rPr>
          <w:highlight w:val="yellow"/>
        </w:rPr>
      </w:r>
      <w:r w:rsidR="00544071">
        <w:rPr>
          <w:highlight w:val="yellow"/>
        </w:rPr>
        <w:fldChar w:fldCharType="separate"/>
      </w:r>
      <w:r w:rsidR="00B972FC">
        <w:t>[5]</w:t>
      </w:r>
      <w:r w:rsidR="00544071">
        <w:rPr>
          <w:highlight w:val="yellow"/>
        </w:rPr>
        <w:fldChar w:fldCharType="end"/>
      </w:r>
      <w:r>
        <w:t>, the most promising approach is OCC in the frequency domain. Below the cross-correlation result analysis is provided for the proposed UE-group WUS sequence generation (also referred as phase shifted scrambling code, i.e., PSSC) and OCC</w:t>
      </w:r>
      <w:r w:rsidR="000C79A0">
        <w:t xml:space="preserve"> (</w:t>
      </w:r>
      <w:r w:rsidR="00DE4076">
        <w:rPr>
          <w:highlight w:val="yellow"/>
        </w:rPr>
        <w:fldChar w:fldCharType="begin"/>
      </w:r>
      <w:r w:rsidR="00DE4076">
        <w:instrText xml:space="preserve"> REF _Ref1039188 \h </w:instrText>
      </w:r>
      <w:r w:rsidR="00DE4076">
        <w:rPr>
          <w:highlight w:val="yellow"/>
        </w:rPr>
      </w:r>
      <w:r w:rsidR="00DE4076">
        <w:rPr>
          <w:highlight w:val="yellow"/>
        </w:rPr>
        <w:fldChar w:fldCharType="separate"/>
      </w:r>
      <w:r w:rsidR="00B972FC">
        <w:t xml:space="preserve">Figure </w:t>
      </w:r>
      <w:r w:rsidR="00B972FC">
        <w:rPr>
          <w:noProof/>
        </w:rPr>
        <w:t>3</w:t>
      </w:r>
      <w:r w:rsidR="00DE4076">
        <w:rPr>
          <w:highlight w:val="yellow"/>
        </w:rPr>
        <w:fldChar w:fldCharType="end"/>
      </w:r>
      <w:r w:rsidR="000C79A0">
        <w:t>)</w:t>
      </w:r>
      <w:r>
        <w:t>.</w:t>
      </w:r>
      <w:r w:rsidR="0014588C">
        <w:t xml:space="preserve"> The </w:t>
      </w:r>
      <w:r w:rsidR="0013596E">
        <w:t xml:space="preserve">ratio of the </w:t>
      </w:r>
      <w:r w:rsidR="0014588C">
        <w:t xml:space="preserve">max cross-correlation value </w:t>
      </w:r>
      <w:r w:rsidR="00B10EB3">
        <w:t xml:space="preserve">in the time domain </w:t>
      </w:r>
      <w:r w:rsidR="0014588C">
        <w:t xml:space="preserve">within a timing window </w:t>
      </w:r>
      <w:r w:rsidR="0014588C" w:rsidRPr="00A71FB5">
        <w:rPr>
          <w:rFonts w:ascii="Symbol" w:hAnsi="Symbol"/>
        </w:rPr>
        <w:t></w:t>
      </w:r>
      <w:r w:rsidR="0014588C">
        <w:t xml:space="preserve">t </w:t>
      </w:r>
      <w:r w:rsidR="0013596E">
        <w:t xml:space="preserve">to the max autocorrelation peak at zero timing offset </w:t>
      </w:r>
      <w:r w:rsidR="0014588C">
        <w:t>is considered.</w:t>
      </w:r>
      <w:r w:rsidR="00DB1203">
        <w:t xml:space="preserve"> Although we confirm that </w:t>
      </w:r>
      <w:r w:rsidR="00D9175F">
        <w:t xml:space="preserve">the </w:t>
      </w:r>
      <w:r w:rsidR="00DB1203">
        <w:t>max cross-correlation value is better (i.e., lower) in OCC case,</w:t>
      </w:r>
      <w:r w:rsidR="00154C90">
        <w:t xml:space="preserve"> it only corresponds to a very small portion of cases, while</w:t>
      </w:r>
      <w:r w:rsidR="00DB1203">
        <w:t xml:space="preserve"> the rest part of CDF curves </w:t>
      </w:r>
      <w:r w:rsidR="00154C90">
        <w:t xml:space="preserve">corresponding to most cases </w:t>
      </w:r>
      <w:r w:rsidR="00DB1203">
        <w:t xml:space="preserve">demonstrates lower cross-correlations for </w:t>
      </w:r>
      <w:r w:rsidR="00D9175F">
        <w:t>the proposed design.</w:t>
      </w:r>
    </w:p>
    <w:p w14:paraId="23BE4A45" w14:textId="0712722A" w:rsidR="00E54627" w:rsidRDefault="005743F8" w:rsidP="00E54627">
      <w:pPr>
        <w:pStyle w:val="TdocFigure"/>
        <w:keepNext/>
      </w:pPr>
      <w:r w:rsidRPr="005743F8">
        <w:rPr>
          <w:noProof/>
          <w:lang w:eastAsia="zh-CN"/>
        </w:rPr>
        <w:drawing>
          <wp:inline distT="0" distB="0" distL="0" distR="0" wp14:anchorId="21190B36" wp14:editId="69B277DE">
            <wp:extent cx="4100400" cy="307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0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3FD40" w14:textId="199A8080" w:rsidR="00E54627" w:rsidRDefault="00E54627" w:rsidP="00E54627">
      <w:pPr>
        <w:pStyle w:val="TdocFigureCaption"/>
      </w:pPr>
      <w:bookmarkStart w:id="2" w:name="_Ref103918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972FC">
        <w:rPr>
          <w:noProof/>
        </w:rPr>
        <w:t>3</w:t>
      </w:r>
      <w:r>
        <w:rPr>
          <w:noProof/>
        </w:rPr>
        <w:fldChar w:fldCharType="end"/>
      </w:r>
      <w:bookmarkEnd w:id="2"/>
      <w:r>
        <w:t xml:space="preserve">. </w:t>
      </w:r>
      <w:r w:rsidR="009A44E7">
        <w:t xml:space="preserve">Cross-correlation results analysis for different timing windows </w:t>
      </w:r>
      <w:r w:rsidR="009A44E7" w:rsidRPr="00A71FB5">
        <w:rPr>
          <w:rFonts w:ascii="Symbol" w:hAnsi="Symbol"/>
        </w:rPr>
        <w:t></w:t>
      </w:r>
      <w:r w:rsidR="009A44E7">
        <w:t>t (samples @ 1.92MHz sampling rate), no frequency offset</w:t>
      </w:r>
      <w:r w:rsidRPr="002D6CE4">
        <w:t>.</w:t>
      </w:r>
    </w:p>
    <w:p w14:paraId="68E8F6D1" w14:textId="41F9B45C" w:rsidR="00197DA8" w:rsidRDefault="00C92FA6" w:rsidP="0017253C">
      <w:pPr>
        <w:pStyle w:val="TdocText"/>
      </w:pPr>
      <w:r>
        <w:lastRenderedPageBreak/>
        <w:t>Based on that, the following proposal can be made:</w:t>
      </w:r>
    </w:p>
    <w:p w14:paraId="69634AEE" w14:textId="7A03EAC3" w:rsidR="00167EDB" w:rsidRDefault="00167EDB" w:rsidP="0017253C">
      <w:pPr>
        <w:pStyle w:val="TdocProposal"/>
      </w:pPr>
      <w:r>
        <w:t xml:space="preserve">Proposal </w:t>
      </w:r>
      <w:r w:rsidR="00227DBE">
        <w:t>3</w:t>
      </w:r>
      <w:r w:rsidR="001403B5">
        <w:t>:</w:t>
      </w:r>
    </w:p>
    <w:p w14:paraId="44525F25" w14:textId="46C8514A" w:rsidR="001403B5" w:rsidRDefault="00F11399" w:rsidP="0017253C">
      <w:pPr>
        <w:pStyle w:val="TdocProposalText"/>
      </w:pPr>
      <w:r>
        <w:t>UE</w:t>
      </w:r>
      <w:r w:rsidR="006F1E9E">
        <w:t xml:space="preserve">-group WUS sequence generation in Rel-16 is based on </w:t>
      </w:r>
      <w:r w:rsidR="006F1E9E" w:rsidRPr="00FD7E66">
        <w:rPr>
          <w:position w:val="-14"/>
        </w:rPr>
        <w:object w:dxaOrig="499" w:dyaOrig="400" w14:anchorId="502A4D76">
          <v:shape id="_x0000_i1041" type="#_x0000_t75" style="width:25.05pt;height:20.35pt" o:ole="">
            <v:imagedata r:id="rId16" o:title=""/>
          </v:shape>
          <o:OLEObject Type="Embed" ProgID="Equation.DSMT4" ShapeID="_x0000_i1041" DrawAspect="Content" ObjectID="_1615404575" r:id="rId41"/>
        </w:object>
      </w:r>
      <w:r w:rsidR="006F1E9E">
        <w:t xml:space="preserve"> times longer RE-level scrambling Gold sequence, where </w:t>
      </w:r>
      <w:r w:rsidR="006F1E9E" w:rsidRPr="008F379D">
        <w:rPr>
          <w:position w:val="-14"/>
        </w:rPr>
        <w:object w:dxaOrig="499" w:dyaOrig="400" w14:anchorId="2AD7D843">
          <v:shape id="_x0000_i1042" type="#_x0000_t75" style="width:25.05pt;height:20.35pt" o:ole="">
            <v:imagedata r:id="rId16" o:title=""/>
          </v:shape>
          <o:OLEObject Type="Embed" ProgID="Equation.DSMT4" ShapeID="_x0000_i1042" DrawAspect="Content" ObjectID="_1615404576" r:id="rId42"/>
        </w:object>
      </w:r>
      <w:r w:rsidR="006F1E9E">
        <w:t xml:space="preserve"> is the total number of UE groups (including legacy Rel-15 UEs).</w:t>
      </w:r>
    </w:p>
    <w:p w14:paraId="0E146518" w14:textId="354881F0" w:rsidR="008610ED" w:rsidRDefault="008610ED" w:rsidP="0017253C">
      <w:pPr>
        <w:pStyle w:val="TdocProposalText"/>
      </w:pPr>
      <w:r>
        <w:t>The initialization value for the long Gold scrambling sequence is reused from Rel-15.</w:t>
      </w:r>
    </w:p>
    <w:p w14:paraId="39AD9753" w14:textId="78FA212E" w:rsidR="008610ED" w:rsidRPr="001C3A5F" w:rsidRDefault="005A0057" w:rsidP="0017253C">
      <w:pPr>
        <w:pStyle w:val="TdocProposalText"/>
      </w:pPr>
      <w:r>
        <w:t xml:space="preserve">The UE-group WUS sequence is a shorter subsequence from the long Gold scrambling sequence defined by the UE group index </w:t>
      </w:r>
      <w:r w:rsidRPr="00FD7E66">
        <w:rPr>
          <w:position w:val="-6"/>
        </w:rPr>
        <w:object w:dxaOrig="180" w:dyaOrig="220" w14:anchorId="5EACBEC8">
          <v:shape id="_x0000_i1043" type="#_x0000_t75" style="width:9.4pt;height:11.75pt" o:ole="">
            <v:imagedata r:id="rId28" o:title=""/>
          </v:shape>
          <o:OLEObject Type="Embed" ProgID="Equation.DSMT4" ShapeID="_x0000_i1043" DrawAspect="Content" ObjectID="_1615404577" r:id="rId43"/>
        </w:object>
      </w:r>
      <w:r>
        <w:t>.</w:t>
      </w:r>
    </w:p>
    <w:p w14:paraId="529BB75A" w14:textId="77777777" w:rsidR="003069A3" w:rsidRPr="004021A6" w:rsidRDefault="003069A3" w:rsidP="004021A6"/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1AF68E59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5904FA">
        <w:rPr>
          <w:lang w:eastAsia="zh-CN"/>
        </w:rPr>
        <w:t xml:space="preserve">different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  <w:bookmarkStart w:id="3" w:name="_GoBack"/>
      <w:bookmarkEnd w:id="3"/>
    </w:p>
    <w:p w14:paraId="6D7210A7" w14:textId="77777777" w:rsidR="00227DBE" w:rsidRDefault="00227DBE" w:rsidP="00227DBE">
      <w:pPr>
        <w:pStyle w:val="TdocProposal"/>
      </w:pPr>
      <w:r>
        <w:t>Proposal 1</w:t>
      </w:r>
      <w:r w:rsidRPr="00A57355">
        <w:t>:</w:t>
      </w:r>
    </w:p>
    <w:p w14:paraId="4BF5DA18" w14:textId="77777777" w:rsidR="00227DBE" w:rsidRDefault="00227DBE" w:rsidP="00227DBE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configured.</w:t>
      </w:r>
    </w:p>
    <w:p w14:paraId="31BC9546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2AB76E01" w14:textId="77777777" w:rsidR="00227DBE" w:rsidRDefault="00227DBE" w:rsidP="00227DBE">
      <w:pPr>
        <w:pStyle w:val="TdocProposalText"/>
      </w:pPr>
      <w:r>
        <w:t>O</w:t>
      </w:r>
      <w:r w:rsidRPr="002F2E66">
        <w:t xml:space="preserve">ne of the WUS resources </w:t>
      </w:r>
      <w:r>
        <w:t xml:space="preserve">can be </w:t>
      </w:r>
      <w:r w:rsidRPr="002F2E66">
        <w:t>configured to be shared with legacy WUS</w:t>
      </w:r>
    </w:p>
    <w:p w14:paraId="5A03F274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If not configured, the WUS resource is used only for legacy WUS transmission</w:t>
      </w:r>
    </w:p>
    <w:p w14:paraId="64794107" w14:textId="77777777" w:rsidR="00227DBE" w:rsidRDefault="00227DBE" w:rsidP="00227DBE">
      <w:pPr>
        <w:pStyle w:val="TdocProposalText"/>
      </w:pPr>
      <w:r>
        <w:t>Legacy WUS is used as a</w:t>
      </w:r>
      <w:r w:rsidRPr="00E42140">
        <w:t xml:space="preserve"> common WUS </w:t>
      </w:r>
      <w:r>
        <w:t xml:space="preserve">to </w:t>
      </w:r>
      <w:r w:rsidRPr="006D59DB">
        <w:t>wake up all UEs monitoring the same WUS resource</w:t>
      </w:r>
      <w:r w:rsidRPr="00E42140">
        <w:t>.</w:t>
      </w:r>
    </w:p>
    <w:p w14:paraId="033401D4" w14:textId="77777777" w:rsidR="00227DBE" w:rsidRDefault="00227DBE" w:rsidP="00124C67"/>
    <w:p w14:paraId="3A2DA585" w14:textId="77777777" w:rsidR="00227DBE" w:rsidRDefault="00227DBE" w:rsidP="00227DBE">
      <w:pPr>
        <w:pStyle w:val="TdocProposal"/>
      </w:pPr>
      <w:r>
        <w:t>Proposal 2</w:t>
      </w:r>
      <w:r w:rsidRPr="00A57355">
        <w:t>:</w:t>
      </w:r>
    </w:p>
    <w:p w14:paraId="0433B051" w14:textId="77777777" w:rsidR="00227DBE" w:rsidRDefault="00227DBE" w:rsidP="00227DBE">
      <w:pPr>
        <w:pStyle w:val="TdocProposalText"/>
      </w:pPr>
      <w:r>
        <w:t>For SS-CDM, the max number of WUS sequences within the same WUS resource is equal to 3.</w:t>
      </w:r>
    </w:p>
    <w:p w14:paraId="4DFFD477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corresponds to UE group-0, UE-group-1 and the common UE group.</w:t>
      </w:r>
    </w:p>
    <w:p w14:paraId="0F250062" w14:textId="77777777" w:rsidR="00124C67" w:rsidRDefault="00124C67" w:rsidP="00124C67"/>
    <w:p w14:paraId="6D4CCE5F" w14:textId="272726D5" w:rsidR="0017253C" w:rsidRDefault="0017253C" w:rsidP="0017253C">
      <w:pPr>
        <w:pStyle w:val="TdocProposal"/>
      </w:pPr>
      <w:r>
        <w:t xml:space="preserve">Proposal </w:t>
      </w:r>
      <w:r w:rsidR="00227DBE">
        <w:t>3</w:t>
      </w:r>
      <w:r>
        <w:t>:</w:t>
      </w:r>
    </w:p>
    <w:p w14:paraId="36961470" w14:textId="77777777" w:rsidR="0017253C" w:rsidRDefault="0017253C" w:rsidP="0017253C">
      <w:pPr>
        <w:pStyle w:val="TdocProposalText"/>
      </w:pPr>
      <w:r>
        <w:t xml:space="preserve">UE-group WUS sequence generation in Rel-16 is based on </w:t>
      </w:r>
      <w:r w:rsidRPr="00FD7E66">
        <w:rPr>
          <w:position w:val="-14"/>
        </w:rPr>
        <w:object w:dxaOrig="499" w:dyaOrig="400" w14:anchorId="4FCFADB2">
          <v:shape id="_x0000_i1044" type="#_x0000_t75" style="width:25.05pt;height:20.35pt" o:ole="">
            <v:imagedata r:id="rId16" o:title=""/>
          </v:shape>
          <o:OLEObject Type="Embed" ProgID="Equation.DSMT4" ShapeID="_x0000_i1044" DrawAspect="Content" ObjectID="_1615404578" r:id="rId44"/>
        </w:object>
      </w:r>
      <w:r>
        <w:t xml:space="preserve"> times longer RE-level scrambling Gold sequence, where </w:t>
      </w:r>
      <w:r w:rsidRPr="008F379D">
        <w:rPr>
          <w:position w:val="-14"/>
        </w:rPr>
        <w:object w:dxaOrig="499" w:dyaOrig="400" w14:anchorId="6D4760C6">
          <v:shape id="_x0000_i1045" type="#_x0000_t75" style="width:25.05pt;height:20.35pt" o:ole="">
            <v:imagedata r:id="rId16" o:title=""/>
          </v:shape>
          <o:OLEObject Type="Embed" ProgID="Equation.DSMT4" ShapeID="_x0000_i1045" DrawAspect="Content" ObjectID="_1615404579" r:id="rId45"/>
        </w:object>
      </w:r>
      <w:r>
        <w:t xml:space="preserve"> is the total number of UE groups (including legacy Rel-15 UEs).</w:t>
      </w:r>
    </w:p>
    <w:p w14:paraId="369AE554" w14:textId="77777777" w:rsidR="0017253C" w:rsidRDefault="0017253C" w:rsidP="0017253C">
      <w:pPr>
        <w:pStyle w:val="TdocProposalText"/>
      </w:pPr>
      <w:r>
        <w:t>The initialization value for the long Gold scrambling sequence is reused from Rel-15.</w:t>
      </w:r>
    </w:p>
    <w:p w14:paraId="6F5C9CC8" w14:textId="77777777" w:rsidR="0017253C" w:rsidRPr="001C3A5F" w:rsidRDefault="0017253C" w:rsidP="0017253C">
      <w:pPr>
        <w:pStyle w:val="TdocProposalText"/>
      </w:pPr>
      <w:r>
        <w:t xml:space="preserve">The UE-group WUS sequence is a shorter subsequence from the long Gold scrambling sequence defined by the UE group index </w:t>
      </w:r>
      <w:r w:rsidRPr="00FD7E66">
        <w:rPr>
          <w:position w:val="-6"/>
        </w:rPr>
        <w:object w:dxaOrig="180" w:dyaOrig="220" w14:anchorId="66588756">
          <v:shape id="_x0000_i1046" type="#_x0000_t75" style="width:9.4pt;height:11.75pt" o:ole="">
            <v:imagedata r:id="rId28" o:title=""/>
          </v:shape>
          <o:OLEObject Type="Embed" ProgID="Equation.DSMT4" ShapeID="_x0000_i1046" DrawAspect="Content" ObjectID="_1615404580" r:id="rId46"/>
        </w:object>
      </w:r>
      <w:r>
        <w:t>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4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4"/>
    </w:p>
    <w:p w14:paraId="16B06919" w14:textId="3C7DB14A" w:rsidR="006178BC" w:rsidRDefault="006178BC" w:rsidP="00A03440">
      <w:pPr>
        <w:pStyle w:val="TdocReference"/>
      </w:pPr>
      <w:bookmarkStart w:id="5" w:name="_Ref525477075"/>
      <w:r w:rsidRPr="00BF183C">
        <w:lastRenderedPageBreak/>
        <w:t>RAN1 Chairman’s Notes. 3GPP TSG RAN WG1 Meeting #</w:t>
      </w:r>
      <w:r w:rsidR="00A03440" w:rsidRPr="00A03440">
        <w:t>96, Athens, Greece, February 25th – March 1st, 2019</w:t>
      </w:r>
      <w:r w:rsidRPr="00BF183C">
        <w:t>.</w:t>
      </w:r>
      <w:bookmarkEnd w:id="5"/>
    </w:p>
    <w:p w14:paraId="7397A74E" w14:textId="49EE590F" w:rsidR="00314889" w:rsidRDefault="00883F4D" w:rsidP="00D6554E">
      <w:pPr>
        <w:pStyle w:val="TdocReference"/>
      </w:pPr>
      <w:bookmarkStart w:id="6" w:name="_Ref528750284"/>
      <w:r w:rsidRPr="00883F4D">
        <w:t>R1-</w:t>
      </w:r>
      <w:r w:rsidR="00D6554E" w:rsidRPr="00D6554E">
        <w:t>1902366</w:t>
      </w:r>
      <w:r w:rsidR="00493E1A">
        <w:t>, “</w:t>
      </w:r>
      <w:r w:rsidR="0055691B" w:rsidRPr="0055691B">
        <w:t>UE-group wake-up signal for MTC</w:t>
      </w:r>
      <w:r w:rsidR="00493E1A">
        <w:t xml:space="preserve">”, </w:t>
      </w:r>
      <w:r w:rsidR="0055691B">
        <w:t>Qualcomm Inc.</w:t>
      </w:r>
      <w:r w:rsidR="00493E1A">
        <w:t xml:space="preserve">, </w:t>
      </w:r>
      <w:r w:rsidR="00314889" w:rsidRPr="00BF183C">
        <w:t>3GPP TSG RAN WG1 Meeting #</w:t>
      </w:r>
      <w:r w:rsidR="00D6554E" w:rsidRPr="00A03440">
        <w:t>96, Athens, Greece, February 25th – March 1st, 2019</w:t>
      </w:r>
      <w:r w:rsidR="00314889" w:rsidRPr="00BF183C">
        <w:t>.</w:t>
      </w:r>
      <w:bookmarkEnd w:id="6"/>
    </w:p>
    <w:p w14:paraId="4B71526B" w14:textId="008572CA" w:rsidR="00360253" w:rsidRDefault="00360253" w:rsidP="00360253">
      <w:pPr>
        <w:pStyle w:val="TdocReference"/>
      </w:pPr>
      <w:bookmarkStart w:id="7" w:name="_Ref525558335"/>
      <w:r w:rsidRPr="00360253">
        <w:t>3GPP TS 36.211</w:t>
      </w:r>
      <w:r>
        <w:t xml:space="preserve">. </w:t>
      </w:r>
      <w:r w:rsidRPr="00360253">
        <w:t>V15.2.0</w:t>
      </w:r>
      <w:r>
        <w:t xml:space="preserve">. Evolved Universal Terrestrial Radio Access (E-UTRA); Physical channels and modulation (Release 15). </w:t>
      </w:r>
      <w:r w:rsidRPr="00360253">
        <w:t>2018-06</w:t>
      </w:r>
      <w:r>
        <w:t>.</w:t>
      </w:r>
      <w:bookmarkEnd w:id="7"/>
    </w:p>
    <w:p w14:paraId="04C3BFE6" w14:textId="295E690E" w:rsidR="00ED07E1" w:rsidRPr="00BF183C" w:rsidRDefault="00ED07E1" w:rsidP="00D6554E">
      <w:pPr>
        <w:pStyle w:val="TdocReference"/>
      </w:pPr>
      <w:bookmarkStart w:id="8" w:name="_Ref1039307"/>
      <w:r w:rsidRPr="00883F4D">
        <w:t>R1-</w:t>
      </w:r>
      <w:r w:rsidR="006B029B" w:rsidRPr="006B029B">
        <w:t>1812119</w:t>
      </w:r>
      <w:r>
        <w:t>, “</w:t>
      </w:r>
      <w:r w:rsidR="006B029B" w:rsidRPr="006B029B">
        <w:t>UE-group wake-up signal in LTE-MTC</w:t>
      </w:r>
      <w:r w:rsidRPr="0055691B" w:rsidDel="0055691B">
        <w:t xml:space="preserve"> </w:t>
      </w:r>
      <w:r>
        <w:t xml:space="preserve">”, </w:t>
      </w:r>
      <w:r w:rsidR="006B029B">
        <w:t>Ericsson</w:t>
      </w:r>
      <w:r>
        <w:t xml:space="preserve">, </w:t>
      </w:r>
      <w:r w:rsidRPr="00BF183C">
        <w:t>3GPP TSG RAN WG1 Meeting #9</w:t>
      </w:r>
      <w:r>
        <w:t>5</w:t>
      </w:r>
      <w:r w:rsidRPr="00BF183C">
        <w:t xml:space="preserve">, </w:t>
      </w:r>
      <w:r>
        <w:t>Spokane</w:t>
      </w:r>
      <w:r w:rsidRPr="00BF183C">
        <w:t xml:space="preserve">, </w:t>
      </w:r>
      <w:r>
        <w:t>USA</w:t>
      </w:r>
      <w:r w:rsidRPr="00BF183C">
        <w:t xml:space="preserve">, </w:t>
      </w:r>
      <w:r>
        <w:t>November</w:t>
      </w:r>
      <w:r w:rsidRPr="00BF183C">
        <w:t xml:space="preserve"> </w:t>
      </w:r>
      <w:r>
        <w:t>12</w:t>
      </w:r>
      <w:r w:rsidRPr="00EE7EEE">
        <w:rPr>
          <w:vertAlign w:val="superscript"/>
        </w:rPr>
        <w:t>th</w:t>
      </w:r>
      <w:r>
        <w:t>-16th</w:t>
      </w:r>
      <w:r w:rsidRPr="00BF183C">
        <w:t>, 2018.</w:t>
      </w:r>
      <w:bookmarkEnd w:id="8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47"/>
      <w:footerReference w:type="even" r:id="rId48"/>
      <w:footerReference w:type="default" r:id="rId4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780A3" w14:textId="77777777" w:rsidR="003C1B39" w:rsidRDefault="003C1B39">
      <w:r>
        <w:separator/>
      </w:r>
    </w:p>
  </w:endnote>
  <w:endnote w:type="continuationSeparator" w:id="0">
    <w:p w14:paraId="15DFA9DD" w14:textId="77777777" w:rsidR="003C1B39" w:rsidRDefault="003C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D5303" w:rsidRDefault="001D53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1D5303" w:rsidRDefault="001D530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D5303" w:rsidRDefault="001D530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014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014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5CA5E" w14:textId="77777777" w:rsidR="003C1B39" w:rsidRDefault="003C1B39">
      <w:r>
        <w:separator/>
      </w:r>
    </w:p>
  </w:footnote>
  <w:footnote w:type="continuationSeparator" w:id="0">
    <w:p w14:paraId="1DF87840" w14:textId="77777777" w:rsidR="003C1B39" w:rsidRDefault="003C1B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D5303" w:rsidRDefault="001D5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934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BFF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6C1C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EFC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6B6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757"/>
    <w:rsid w:val="00743867"/>
    <w:rsid w:val="00744055"/>
    <w:rsid w:val="0074415C"/>
    <w:rsid w:val="007446EE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98E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81C"/>
    <w:rsid w:val="009C2F4A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FE7"/>
    <w:rsid w:val="00CA51A0"/>
    <w:rsid w:val="00CA5F22"/>
    <w:rsid w:val="00CA6164"/>
    <w:rsid w:val="00CA73B2"/>
    <w:rsid w:val="00CA74E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C73"/>
    <w:rsid w:val="00D02369"/>
    <w:rsid w:val="00D02C36"/>
    <w:rsid w:val="00D02E1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954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4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oleObject" Target="embeddings/oleObject20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package" Target="embeddings/Microsoft_Visio_Drawing2.vsdx"/><Relationship Id="rId40" Type="http://schemas.openxmlformats.org/officeDocument/2006/relationships/image" Target="media/image13.emf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1.emf"/><Relationship Id="rId49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32BA2"/>
    <w:rsid w:val="001824B7"/>
    <w:rsid w:val="001D19B9"/>
    <w:rsid w:val="001F5992"/>
    <w:rsid w:val="00203D1F"/>
    <w:rsid w:val="0025221E"/>
    <w:rsid w:val="00276A45"/>
    <w:rsid w:val="002A6228"/>
    <w:rsid w:val="002D1023"/>
    <w:rsid w:val="002D53E2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62C2"/>
    <w:rsid w:val="00C26E16"/>
    <w:rsid w:val="00C50E74"/>
    <w:rsid w:val="00CA564B"/>
    <w:rsid w:val="00D04714"/>
    <w:rsid w:val="00D5690D"/>
    <w:rsid w:val="00DE6291"/>
    <w:rsid w:val="00E01672"/>
    <w:rsid w:val="00E37983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4C7BB4-E06C-4600-9FEE-06A5DF644A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889C12-E5B5-4DFD-BE72-74B3FB63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</TotalTime>
  <Pages>6</Pages>
  <Words>1480</Words>
  <Characters>7393</Characters>
  <Application>Microsoft Office Word</Application>
  <DocSecurity>0</DocSecurity>
  <Lines>153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R1-1904264</dc:subject>
  <dc:creator>Morozov, Gregory</dc:creator>
  <cp:keywords>CTPClassification=CTP_PUBLIC:VisualMarkings=, CTPClassification=CTP_NT</cp:keywords>
  <dc:description>Xi’an, China, 8th – 12th April, 2019</dc:description>
  <cp:lastModifiedBy>Intel</cp:lastModifiedBy>
  <cp:revision>3</cp:revision>
  <cp:lastPrinted>2011-11-09T22:49:00Z</cp:lastPrinted>
  <dcterms:created xsi:type="dcterms:W3CDTF">2019-03-30T05:37:00Z</dcterms:created>
  <dcterms:modified xsi:type="dcterms:W3CDTF">2019-03-30T05:39:00Z</dcterms:modified>
  <cp:category>#96bis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2019-03-30 05:39:27Z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