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9AE4C" w14:textId="59450E91" w:rsidR="00642A66" w:rsidRPr="00642A66" w:rsidRDefault="00642A66" w:rsidP="00642A66">
      <w:pPr>
        <w:tabs>
          <w:tab w:val="left" w:pos="1985"/>
        </w:tabs>
        <w:spacing w:after="0"/>
        <w:rPr>
          <w:rFonts w:ascii="Arial" w:hAnsi="Arial"/>
          <w:noProof/>
          <w:sz w:val="24"/>
        </w:rPr>
      </w:pPr>
      <w:bookmarkStart w:id="0" w:name="_GoBack"/>
      <w:bookmarkEnd w:id="0"/>
      <w:r w:rsidRPr="00642A66">
        <w:rPr>
          <w:rFonts w:ascii="Arial" w:hAnsi="Arial"/>
          <w:noProof/>
          <w:sz w:val="24"/>
        </w:rPr>
        <w:t>3GPP TSG RAN WG1 #96</w:t>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Pr="00642A66">
        <w:rPr>
          <w:rFonts w:ascii="Arial" w:hAnsi="Arial"/>
          <w:noProof/>
          <w:sz w:val="24"/>
        </w:rPr>
        <w:tab/>
      </w:r>
      <w:r w:rsidR="006B289A" w:rsidRPr="006B289A">
        <w:rPr>
          <w:rFonts w:ascii="Arial" w:hAnsi="Arial"/>
          <w:noProof/>
          <w:sz w:val="24"/>
        </w:rPr>
        <w:t>R1-1903019</w:t>
      </w:r>
    </w:p>
    <w:p w14:paraId="541062F7" w14:textId="77777777" w:rsidR="00642A66" w:rsidRPr="00642A66" w:rsidRDefault="00642A66" w:rsidP="00642A66">
      <w:pPr>
        <w:tabs>
          <w:tab w:val="left" w:pos="1985"/>
        </w:tabs>
        <w:spacing w:after="0"/>
        <w:rPr>
          <w:rFonts w:ascii="Arial" w:hAnsi="Arial"/>
          <w:noProof/>
          <w:sz w:val="24"/>
        </w:rPr>
      </w:pPr>
      <w:r w:rsidRPr="00642A66">
        <w:rPr>
          <w:rFonts w:ascii="Arial" w:hAnsi="Arial"/>
          <w:noProof/>
          <w:sz w:val="24"/>
        </w:rPr>
        <w:t>Athens, Greece, 25th February – 1st March, 2019</w:t>
      </w:r>
    </w:p>
    <w:p w14:paraId="18259C80" w14:textId="77777777" w:rsidR="00642A66" w:rsidRDefault="00642A66" w:rsidP="00642A66">
      <w:pPr>
        <w:tabs>
          <w:tab w:val="left" w:pos="1985"/>
        </w:tabs>
        <w:spacing w:after="0"/>
        <w:rPr>
          <w:rFonts w:ascii="Arial" w:eastAsia="MS Mincho" w:hAnsi="Arial"/>
          <w:b/>
          <w:sz w:val="24"/>
        </w:rPr>
      </w:pPr>
    </w:p>
    <w:p w14:paraId="5079CD34" w14:textId="38A7CB0E" w:rsidR="000A0AAA" w:rsidRPr="00E42E03" w:rsidRDefault="000A0AAA" w:rsidP="00642A66">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7.2.10.1.</w:t>
      </w:r>
      <w:r w:rsidR="006701A3">
        <w:rPr>
          <w:rFonts w:ascii="Arial" w:eastAsia="MS Mincho" w:hAnsi="Arial"/>
          <w:sz w:val="24"/>
        </w:rPr>
        <w:t>2</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317027CD" w:rsidR="000A0AAA" w:rsidRPr="00E42E03" w:rsidRDefault="000A0AAA" w:rsidP="000A0AAA">
      <w:pPr>
        <w:tabs>
          <w:tab w:val="left" w:pos="1985"/>
        </w:tabs>
        <w:spacing w:after="0"/>
        <w:ind w:left="1980" w:hanging="1980"/>
        <w:jc w:val="left"/>
        <w:rPr>
          <w:rFonts w:ascii="Arial" w:eastAsia="MS Mincho" w:hAnsi="Arial"/>
          <w:sz w:val="24"/>
          <w:lang w:eastAsia="ja-JP"/>
        </w:rPr>
      </w:pPr>
      <w:r w:rsidRPr="0022099A">
        <w:rPr>
          <w:rFonts w:ascii="Arial" w:eastAsia="MS Mincho" w:hAnsi="Arial"/>
          <w:b/>
          <w:sz w:val="24"/>
        </w:rPr>
        <w:t>Title:</w:t>
      </w:r>
      <w:r w:rsidRPr="0022099A">
        <w:rPr>
          <w:rFonts w:ascii="Arial" w:eastAsia="MS Mincho" w:hAnsi="Arial"/>
          <w:sz w:val="24"/>
        </w:rPr>
        <w:t xml:space="preserve"> </w:t>
      </w:r>
      <w:r w:rsidRPr="0022099A">
        <w:rPr>
          <w:rFonts w:ascii="Arial" w:eastAsia="MS Mincho" w:hAnsi="Arial"/>
          <w:sz w:val="24"/>
        </w:rPr>
        <w:tab/>
      </w:r>
      <w:r w:rsidR="00C64FA0" w:rsidRPr="0022099A">
        <w:rPr>
          <w:rFonts w:ascii="Arial" w:eastAsia="MS Mincho" w:hAnsi="Arial"/>
          <w:sz w:val="24"/>
        </w:rPr>
        <w:t xml:space="preserve">RAT-dependent </w:t>
      </w:r>
      <w:r w:rsidR="0022099A">
        <w:rPr>
          <w:rFonts w:ascii="Arial" w:eastAsia="MS Mincho" w:hAnsi="Arial"/>
          <w:sz w:val="24"/>
        </w:rPr>
        <w:t>UL-only</w:t>
      </w:r>
      <w:r w:rsidRPr="0022099A">
        <w:rPr>
          <w:rFonts w:ascii="Arial" w:eastAsia="MS Mincho" w:hAnsi="Arial"/>
          <w:sz w:val="24"/>
        </w:rPr>
        <w:t xml:space="preserve"> NR positioning techniques</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3347235D" w14:textId="427AB6B5" w:rsidR="000A0AAA" w:rsidRDefault="000A0AAA" w:rsidP="000A0AAA">
      <w:pPr>
        <w:spacing w:after="0"/>
        <w:rPr>
          <w:szCs w:val="22"/>
        </w:rPr>
      </w:pPr>
      <w:r>
        <w:rPr>
          <w:szCs w:val="22"/>
        </w:rPr>
        <w:t xml:space="preserve">At </w:t>
      </w:r>
      <w:r w:rsidR="000A15BF">
        <w:rPr>
          <w:szCs w:val="22"/>
        </w:rPr>
        <w:t>RAN1 AH meeting</w:t>
      </w:r>
      <w:r>
        <w:rPr>
          <w:szCs w:val="22"/>
        </w:rPr>
        <w:t>,</w:t>
      </w:r>
      <w:r w:rsidR="000A15BF">
        <w:rPr>
          <w:szCs w:val="22"/>
        </w:rPr>
        <w:t xml:space="preserve"> the following agreements were made regarding UL-only positioning methods: </w:t>
      </w:r>
    </w:p>
    <w:p w14:paraId="0CE691CC" w14:textId="2316AEA1" w:rsidR="000A0AAA" w:rsidRDefault="000A0AAA" w:rsidP="000A0AAA">
      <w:pPr>
        <w:spacing w:after="0"/>
        <w:jc w:val="left"/>
        <w:rPr>
          <w:i/>
          <w:szCs w:val="22"/>
        </w:rPr>
      </w:pPr>
    </w:p>
    <w:p w14:paraId="43951EC6" w14:textId="77777777" w:rsidR="000A15BF" w:rsidRPr="000A15BF" w:rsidRDefault="000A15BF" w:rsidP="000A15BF">
      <w:pPr>
        <w:spacing w:after="0"/>
        <w:rPr>
          <w:i/>
          <w:lang w:eastAsia="x-none"/>
        </w:rPr>
      </w:pPr>
      <w:r w:rsidRPr="000A15BF">
        <w:rPr>
          <w:i/>
          <w:highlight w:val="green"/>
          <w:lang w:eastAsia="x-none"/>
        </w:rPr>
        <w:t>Agreement:</w:t>
      </w:r>
    </w:p>
    <w:p w14:paraId="4ACA6BC5" w14:textId="77777777" w:rsidR="000A15BF" w:rsidRPr="000A15BF" w:rsidRDefault="000A15BF" w:rsidP="000A15BF">
      <w:pPr>
        <w:pStyle w:val="3GPPAgreements"/>
        <w:numPr>
          <w:ilvl w:val="0"/>
          <w:numId w:val="18"/>
        </w:numPr>
        <w:spacing w:after="0"/>
        <w:rPr>
          <w:i/>
          <w:sz w:val="20"/>
          <w:lang w:eastAsia="x-none"/>
        </w:rPr>
      </w:pPr>
      <w:r w:rsidRPr="000A15BF">
        <w:rPr>
          <w:i/>
          <w:sz w:val="20"/>
          <w:lang w:eastAsia="x-none"/>
        </w:rPr>
        <w:t>NR should support timing (UL-TDOA) based UL-only positioning techniques in FR1 and FR2</w:t>
      </w:r>
    </w:p>
    <w:p w14:paraId="5295363D" w14:textId="77777777" w:rsidR="000A15BF" w:rsidRPr="000A15BF" w:rsidRDefault="000A15BF" w:rsidP="000A15BF">
      <w:pPr>
        <w:pStyle w:val="3GPPAgreements"/>
        <w:numPr>
          <w:ilvl w:val="1"/>
          <w:numId w:val="18"/>
        </w:numPr>
        <w:spacing w:after="0"/>
        <w:rPr>
          <w:i/>
          <w:sz w:val="20"/>
          <w:lang w:eastAsia="x-none"/>
        </w:rPr>
      </w:pPr>
      <w:r w:rsidRPr="000A15BF">
        <w:rPr>
          <w:i/>
          <w:sz w:val="20"/>
          <w:lang w:eastAsia="x-none"/>
        </w:rPr>
        <w:t xml:space="preserve">UL-TDOA with two or more neighboring </w:t>
      </w:r>
      <w:proofErr w:type="spellStart"/>
      <w:r w:rsidRPr="000A15BF">
        <w:rPr>
          <w:i/>
          <w:sz w:val="20"/>
          <w:lang w:eastAsia="x-none"/>
        </w:rPr>
        <w:t>gNBs</w:t>
      </w:r>
      <w:proofErr w:type="spellEnd"/>
      <w:r w:rsidRPr="000A15BF">
        <w:rPr>
          <w:i/>
          <w:sz w:val="20"/>
          <w:lang w:eastAsia="x-none"/>
        </w:rPr>
        <w:t>/TRPs for NR UL positioning should be supported</w:t>
      </w:r>
    </w:p>
    <w:p w14:paraId="414E9B8D" w14:textId="77777777" w:rsidR="000A15BF" w:rsidRPr="000A15BF" w:rsidRDefault="000A15BF" w:rsidP="000A15BF">
      <w:pPr>
        <w:pStyle w:val="3GPPAgreements"/>
        <w:numPr>
          <w:ilvl w:val="0"/>
          <w:numId w:val="18"/>
        </w:numPr>
        <w:spacing w:after="0"/>
        <w:rPr>
          <w:i/>
          <w:sz w:val="20"/>
          <w:lang w:eastAsia="x-none"/>
        </w:rPr>
      </w:pPr>
      <w:r w:rsidRPr="000A15BF">
        <w:rPr>
          <w:i/>
          <w:sz w:val="20"/>
          <w:lang w:eastAsia="x-none"/>
        </w:rPr>
        <w:t>NR should support UL-</w:t>
      </w:r>
      <w:proofErr w:type="spellStart"/>
      <w:r w:rsidRPr="000A15BF">
        <w:rPr>
          <w:i/>
          <w:sz w:val="20"/>
          <w:lang w:eastAsia="x-none"/>
        </w:rPr>
        <w:t>AoA</w:t>
      </w:r>
      <w:proofErr w:type="spellEnd"/>
      <w:r w:rsidRPr="000A15BF">
        <w:rPr>
          <w:i/>
          <w:sz w:val="20"/>
          <w:lang w:eastAsia="x-none"/>
        </w:rPr>
        <w:t xml:space="preserve"> based positioning techniques in FR1 and FR2</w:t>
      </w:r>
    </w:p>
    <w:p w14:paraId="7FB23E72" w14:textId="77777777" w:rsidR="000A15BF" w:rsidRPr="000A15BF" w:rsidRDefault="000A15BF" w:rsidP="000A15BF">
      <w:pPr>
        <w:pStyle w:val="3GPPAgreements"/>
        <w:numPr>
          <w:ilvl w:val="1"/>
          <w:numId w:val="18"/>
        </w:numPr>
        <w:spacing w:after="0"/>
        <w:rPr>
          <w:i/>
          <w:sz w:val="20"/>
          <w:lang w:eastAsia="x-none"/>
        </w:rPr>
      </w:pPr>
      <w:r w:rsidRPr="000A15BF">
        <w:rPr>
          <w:i/>
          <w:sz w:val="20"/>
          <w:lang w:eastAsia="x-none"/>
        </w:rPr>
        <w:t>UL-</w:t>
      </w:r>
      <w:proofErr w:type="spellStart"/>
      <w:r w:rsidRPr="000A15BF">
        <w:rPr>
          <w:i/>
          <w:sz w:val="20"/>
          <w:lang w:eastAsia="x-none"/>
        </w:rPr>
        <w:t>AoA</w:t>
      </w:r>
      <w:proofErr w:type="spellEnd"/>
      <w:r w:rsidRPr="000A15BF">
        <w:rPr>
          <w:i/>
          <w:sz w:val="20"/>
          <w:lang w:eastAsia="x-none"/>
        </w:rPr>
        <w:t xml:space="preserve"> with one or more neighboring </w:t>
      </w:r>
      <w:proofErr w:type="spellStart"/>
      <w:r w:rsidRPr="000A15BF">
        <w:rPr>
          <w:i/>
          <w:sz w:val="20"/>
          <w:lang w:eastAsia="x-none"/>
        </w:rPr>
        <w:t>gNBs</w:t>
      </w:r>
      <w:proofErr w:type="spellEnd"/>
      <w:r w:rsidRPr="000A15BF">
        <w:rPr>
          <w:i/>
          <w:sz w:val="20"/>
          <w:lang w:eastAsia="x-none"/>
        </w:rPr>
        <w:t>/TRPs for NR UL positioning should be supported</w:t>
      </w:r>
    </w:p>
    <w:p w14:paraId="79D6E17B" w14:textId="3E329906" w:rsidR="000A15BF" w:rsidRPr="000A15BF" w:rsidRDefault="000A15BF" w:rsidP="000A15BF">
      <w:pPr>
        <w:pStyle w:val="3GPPAgreements"/>
        <w:spacing w:after="0"/>
        <w:rPr>
          <w:i/>
          <w:sz w:val="20"/>
          <w:lang w:eastAsia="x-none"/>
        </w:rPr>
      </w:pPr>
      <w:r w:rsidRPr="000A15BF">
        <w:rPr>
          <w:i/>
          <w:sz w:val="20"/>
          <w:lang w:eastAsia="x-none"/>
        </w:rPr>
        <w:t xml:space="preserve">Round-trip time (RTT) with one or more neighboring </w:t>
      </w:r>
      <w:proofErr w:type="spellStart"/>
      <w:r w:rsidRPr="000A15BF">
        <w:rPr>
          <w:i/>
          <w:sz w:val="20"/>
          <w:lang w:eastAsia="x-none"/>
        </w:rPr>
        <w:t>gNBs</w:t>
      </w:r>
      <w:proofErr w:type="spellEnd"/>
      <w:r w:rsidRPr="000A15BF">
        <w:rPr>
          <w:i/>
          <w:sz w:val="20"/>
          <w:lang w:eastAsia="x-none"/>
        </w:rPr>
        <w:t>/TRPs for NR DL and UL positioning should be supported for FR1 and FR2</w:t>
      </w:r>
    </w:p>
    <w:p w14:paraId="3625443C" w14:textId="77777777" w:rsidR="000A15BF" w:rsidRPr="000A15BF" w:rsidRDefault="000A15BF" w:rsidP="000A15BF">
      <w:pPr>
        <w:pStyle w:val="3GPPAgreements"/>
        <w:numPr>
          <w:ilvl w:val="0"/>
          <w:numId w:val="0"/>
        </w:numPr>
        <w:ind w:left="284"/>
        <w:rPr>
          <w:i/>
          <w:sz w:val="20"/>
          <w:lang w:eastAsia="x-none"/>
        </w:rPr>
      </w:pPr>
    </w:p>
    <w:p w14:paraId="7A7483B6" w14:textId="4627A44C" w:rsidR="000A15BF" w:rsidRPr="000A15BF" w:rsidRDefault="000A15BF" w:rsidP="000A15BF">
      <w:pPr>
        <w:spacing w:after="0"/>
        <w:rPr>
          <w:i/>
          <w:lang w:eastAsia="x-none"/>
        </w:rPr>
      </w:pPr>
      <w:r w:rsidRPr="000A15BF">
        <w:rPr>
          <w:i/>
          <w:highlight w:val="green"/>
          <w:lang w:eastAsia="x-none"/>
        </w:rPr>
        <w:t>Agreement:</w:t>
      </w:r>
    </w:p>
    <w:p w14:paraId="62EDD513" w14:textId="77777777" w:rsidR="000A15BF" w:rsidRPr="000A15BF" w:rsidRDefault="000A15BF" w:rsidP="000A15BF">
      <w:pPr>
        <w:numPr>
          <w:ilvl w:val="0"/>
          <w:numId w:val="17"/>
        </w:numPr>
        <w:spacing w:after="0"/>
        <w:jc w:val="left"/>
        <w:rPr>
          <w:i/>
          <w:lang w:eastAsia="x-none"/>
        </w:rPr>
      </w:pPr>
      <w:r w:rsidRPr="000A15BF">
        <w:rPr>
          <w:rFonts w:hint="eastAsia"/>
          <w:i/>
          <w:lang w:eastAsia="x-none"/>
        </w:rPr>
        <w:t>NR UL SRS is used as a starting point for design and analysis of UL PRS</w:t>
      </w:r>
    </w:p>
    <w:p w14:paraId="591432C3" w14:textId="77777777" w:rsidR="000A15BF" w:rsidRPr="000A15BF" w:rsidRDefault="000A15BF" w:rsidP="000A15BF">
      <w:pPr>
        <w:numPr>
          <w:ilvl w:val="1"/>
          <w:numId w:val="17"/>
        </w:numPr>
        <w:spacing w:after="0"/>
        <w:jc w:val="left"/>
        <w:rPr>
          <w:i/>
          <w:lang w:eastAsia="x-none"/>
        </w:rPr>
      </w:pPr>
      <w:r w:rsidRPr="000A15BF">
        <w:rPr>
          <w:rFonts w:hint="eastAsia"/>
          <w:i/>
          <w:lang w:eastAsia="x-none"/>
        </w:rPr>
        <w:t>Further study if and which enhancements are needed</w:t>
      </w:r>
    </w:p>
    <w:p w14:paraId="76EC3C27" w14:textId="77777777" w:rsidR="000A15BF" w:rsidRPr="000A15BF" w:rsidRDefault="000A15BF" w:rsidP="000A15BF">
      <w:pPr>
        <w:numPr>
          <w:ilvl w:val="1"/>
          <w:numId w:val="17"/>
        </w:numPr>
        <w:spacing w:after="0"/>
        <w:jc w:val="left"/>
        <w:rPr>
          <w:i/>
          <w:lang w:eastAsia="x-none"/>
        </w:rPr>
      </w:pPr>
      <w:r w:rsidRPr="000A15BF">
        <w:rPr>
          <w:rFonts w:hint="eastAsia"/>
          <w:i/>
          <w:lang w:eastAsia="x-none"/>
        </w:rPr>
        <w:t>FFS</w:t>
      </w:r>
      <w:r w:rsidRPr="000A15BF">
        <w:rPr>
          <w:i/>
          <w:lang w:eastAsia="x-none"/>
        </w:rPr>
        <w:t>:</w:t>
      </w:r>
      <w:r w:rsidRPr="000A15BF">
        <w:rPr>
          <w:rFonts w:hint="eastAsia"/>
          <w:i/>
          <w:lang w:eastAsia="x-none"/>
        </w:rPr>
        <w:t xml:space="preserve"> NR UL PRS relationship with UL BWP and component carrier</w:t>
      </w:r>
    </w:p>
    <w:p w14:paraId="5FCC91C9" w14:textId="77777777" w:rsidR="000A15BF" w:rsidRPr="000A15BF" w:rsidRDefault="000A15BF" w:rsidP="000A15BF">
      <w:pPr>
        <w:spacing w:after="0"/>
        <w:rPr>
          <w:i/>
          <w:lang w:eastAsia="x-none"/>
        </w:rPr>
      </w:pPr>
    </w:p>
    <w:p w14:paraId="4601C255" w14:textId="77777777" w:rsidR="000A15BF" w:rsidRPr="000A15BF" w:rsidRDefault="000A15BF" w:rsidP="000A15BF">
      <w:pPr>
        <w:spacing w:after="0"/>
        <w:rPr>
          <w:i/>
          <w:lang w:val="en-US" w:eastAsia="x-none"/>
        </w:rPr>
      </w:pPr>
      <w:r w:rsidRPr="000A15BF">
        <w:rPr>
          <w:i/>
          <w:highlight w:val="green"/>
          <w:lang w:val="en-US" w:eastAsia="x-none"/>
        </w:rPr>
        <w:t>Agreement:</w:t>
      </w:r>
    </w:p>
    <w:p w14:paraId="4C890973" w14:textId="77777777" w:rsidR="000A15BF" w:rsidRPr="000A15BF" w:rsidRDefault="000A15BF" w:rsidP="000A15BF">
      <w:pPr>
        <w:spacing w:after="0"/>
        <w:rPr>
          <w:i/>
          <w:lang w:val="en-US" w:eastAsia="x-none"/>
        </w:rPr>
      </w:pPr>
      <w:r w:rsidRPr="000A15BF">
        <w:rPr>
          <w:i/>
          <w:lang w:val="en-US" w:eastAsia="x-none"/>
        </w:rPr>
        <w:t xml:space="preserve">FFS: At least the following aspects for NR UL PRS design </w:t>
      </w:r>
    </w:p>
    <w:p w14:paraId="403C610F" w14:textId="77777777" w:rsidR="000A15BF" w:rsidRPr="000A15BF" w:rsidRDefault="000A15BF" w:rsidP="000A15BF">
      <w:pPr>
        <w:numPr>
          <w:ilvl w:val="1"/>
          <w:numId w:val="16"/>
        </w:numPr>
        <w:spacing w:after="0"/>
        <w:jc w:val="left"/>
        <w:rPr>
          <w:bCs/>
          <w:i/>
          <w:lang w:val="en-US" w:eastAsia="x-none"/>
        </w:rPr>
      </w:pPr>
      <w:r w:rsidRPr="000A15BF">
        <w:rPr>
          <w:bCs/>
          <w:i/>
          <w:lang w:val="en-US" w:eastAsia="x-none"/>
        </w:rPr>
        <w:t xml:space="preserve">Use of UL beam sweeping at FR2 </w:t>
      </w:r>
    </w:p>
    <w:p w14:paraId="676465F2" w14:textId="77777777" w:rsidR="000A15BF" w:rsidRPr="000A15BF" w:rsidRDefault="000A15BF" w:rsidP="000A15BF">
      <w:pPr>
        <w:numPr>
          <w:ilvl w:val="2"/>
          <w:numId w:val="16"/>
        </w:numPr>
        <w:spacing w:after="0"/>
        <w:jc w:val="left"/>
        <w:rPr>
          <w:bCs/>
          <w:i/>
          <w:lang w:val="en-US" w:eastAsia="x-none"/>
        </w:rPr>
      </w:pPr>
      <w:r w:rsidRPr="000A15BF">
        <w:rPr>
          <w:bCs/>
          <w:i/>
          <w:lang w:val="en-US" w:eastAsia="x-none"/>
        </w:rPr>
        <w:t>Beam sweeping includes possibility of quasi-omni transmission</w:t>
      </w:r>
    </w:p>
    <w:p w14:paraId="11A7EB87" w14:textId="77777777" w:rsidR="000A15BF" w:rsidRPr="000A15BF" w:rsidRDefault="000A15BF" w:rsidP="000A15BF">
      <w:pPr>
        <w:numPr>
          <w:ilvl w:val="1"/>
          <w:numId w:val="16"/>
        </w:numPr>
        <w:spacing w:after="0"/>
        <w:jc w:val="left"/>
        <w:rPr>
          <w:bCs/>
          <w:i/>
          <w:lang w:val="en-US" w:eastAsia="x-none"/>
        </w:rPr>
      </w:pPr>
      <w:r w:rsidRPr="000A15BF">
        <w:rPr>
          <w:bCs/>
          <w:i/>
          <w:lang w:val="en-US" w:eastAsia="x-none"/>
        </w:rPr>
        <w:t>Use of UL beam alignment at FR2 through DL reception and beam correspondence</w:t>
      </w:r>
    </w:p>
    <w:p w14:paraId="7203621F" w14:textId="77777777" w:rsidR="000A15BF" w:rsidRPr="000A15BF" w:rsidRDefault="000A15BF" w:rsidP="000A15BF">
      <w:pPr>
        <w:numPr>
          <w:ilvl w:val="1"/>
          <w:numId w:val="16"/>
        </w:numPr>
        <w:spacing w:after="0"/>
        <w:jc w:val="left"/>
        <w:rPr>
          <w:bCs/>
          <w:i/>
          <w:lang w:val="en-US" w:eastAsia="x-none"/>
        </w:rPr>
      </w:pPr>
      <w:r w:rsidRPr="000A15BF">
        <w:rPr>
          <w:bCs/>
          <w:i/>
          <w:lang w:val="en-US" w:eastAsia="x-none"/>
        </w:rPr>
        <w:t>UL Power control aspects</w:t>
      </w:r>
    </w:p>
    <w:p w14:paraId="06D8356D" w14:textId="77777777" w:rsidR="000A15BF" w:rsidRPr="000A15BF" w:rsidRDefault="000A15BF" w:rsidP="000A15BF">
      <w:pPr>
        <w:numPr>
          <w:ilvl w:val="1"/>
          <w:numId w:val="16"/>
        </w:numPr>
        <w:spacing w:after="0"/>
        <w:jc w:val="left"/>
        <w:rPr>
          <w:bCs/>
          <w:i/>
          <w:lang w:val="en-US" w:eastAsia="x-none"/>
        </w:rPr>
      </w:pPr>
      <w:r w:rsidRPr="000A15BF">
        <w:rPr>
          <w:bCs/>
          <w:i/>
          <w:lang w:val="en-US" w:eastAsia="x-none"/>
        </w:rPr>
        <w:t>UL timing advance aspects</w:t>
      </w:r>
    </w:p>
    <w:p w14:paraId="2F865B4F" w14:textId="77777777" w:rsidR="000A15BF" w:rsidRPr="000A15BF" w:rsidRDefault="000A15BF" w:rsidP="000A15BF">
      <w:pPr>
        <w:spacing w:after="0"/>
        <w:rPr>
          <w:i/>
          <w:lang w:eastAsia="x-none"/>
        </w:rPr>
      </w:pPr>
    </w:p>
    <w:p w14:paraId="5069AED4" w14:textId="77777777" w:rsidR="000A15BF" w:rsidRPr="000A15BF" w:rsidRDefault="000A15BF" w:rsidP="000A15BF">
      <w:pPr>
        <w:spacing w:after="0"/>
        <w:rPr>
          <w:rFonts w:cs="Times"/>
          <w:i/>
          <w:lang w:val="en-US" w:eastAsia="x-none"/>
        </w:rPr>
      </w:pPr>
      <w:r w:rsidRPr="000A15BF">
        <w:rPr>
          <w:rFonts w:cs="Times"/>
          <w:i/>
          <w:highlight w:val="green"/>
          <w:lang w:val="en-US" w:eastAsia="x-none"/>
        </w:rPr>
        <w:t>Agreement:</w:t>
      </w:r>
    </w:p>
    <w:p w14:paraId="0164DFA6" w14:textId="77777777" w:rsidR="000A15BF" w:rsidRPr="000A15BF" w:rsidRDefault="000A15BF" w:rsidP="000A15BF">
      <w:pPr>
        <w:spacing w:after="0"/>
        <w:rPr>
          <w:rFonts w:cs="Times"/>
          <w:i/>
          <w:lang w:val="en-US" w:eastAsia="x-none"/>
        </w:rPr>
      </w:pPr>
      <w:r w:rsidRPr="000A15BF">
        <w:rPr>
          <w:rFonts w:cs="Times"/>
          <w:i/>
          <w:lang w:val="en-US" w:eastAsia="x-none"/>
        </w:rPr>
        <w:t xml:space="preserve">The following measurements for NR UL PRS at serving and neighbor </w:t>
      </w:r>
      <w:proofErr w:type="spellStart"/>
      <w:r w:rsidRPr="000A15BF">
        <w:rPr>
          <w:rFonts w:cs="Times"/>
          <w:i/>
          <w:lang w:val="en-US" w:eastAsia="x-none"/>
        </w:rPr>
        <w:t>gNBs</w:t>
      </w:r>
      <w:proofErr w:type="spellEnd"/>
      <w:r w:rsidRPr="000A15BF">
        <w:rPr>
          <w:rFonts w:cs="Times"/>
          <w:i/>
          <w:lang w:val="en-US" w:eastAsia="x-none"/>
        </w:rPr>
        <w:t xml:space="preserve"> should be supported:</w:t>
      </w:r>
    </w:p>
    <w:p w14:paraId="15E4949C" w14:textId="77777777" w:rsidR="000A15BF" w:rsidRPr="000A15BF" w:rsidRDefault="000A15BF" w:rsidP="000A15BF">
      <w:pPr>
        <w:pStyle w:val="3GPPAgreements"/>
        <w:spacing w:after="0"/>
        <w:rPr>
          <w:rFonts w:ascii="Times" w:hAnsi="Times" w:cs="Times"/>
          <w:i/>
          <w:sz w:val="20"/>
        </w:rPr>
      </w:pPr>
      <w:r w:rsidRPr="000A15BF">
        <w:rPr>
          <w:rFonts w:ascii="Times" w:hAnsi="Times" w:cs="Times"/>
          <w:i/>
          <w:sz w:val="20"/>
        </w:rPr>
        <w:t>UL RTOA measurements</w:t>
      </w:r>
    </w:p>
    <w:p w14:paraId="7D25EC14" w14:textId="77777777" w:rsidR="000A15BF" w:rsidRPr="000A15BF" w:rsidRDefault="000A15BF" w:rsidP="000A15BF">
      <w:pPr>
        <w:pStyle w:val="3GPPAgreements"/>
        <w:spacing w:after="0"/>
        <w:rPr>
          <w:rFonts w:ascii="Times" w:hAnsi="Times" w:cs="Times"/>
          <w:i/>
          <w:sz w:val="20"/>
        </w:rPr>
      </w:pPr>
      <w:r w:rsidRPr="000A15BF">
        <w:rPr>
          <w:rFonts w:ascii="Times" w:hAnsi="Times" w:cs="Times"/>
          <w:i/>
          <w:sz w:val="20"/>
        </w:rPr>
        <w:t xml:space="preserve">UL Angle </w:t>
      </w:r>
      <w:proofErr w:type="gramStart"/>
      <w:r w:rsidRPr="000A15BF">
        <w:rPr>
          <w:rFonts w:ascii="Times" w:hAnsi="Times" w:cs="Times"/>
          <w:i/>
          <w:sz w:val="20"/>
        </w:rPr>
        <w:t>Of</w:t>
      </w:r>
      <w:proofErr w:type="gramEnd"/>
      <w:r w:rsidRPr="000A15BF">
        <w:rPr>
          <w:rFonts w:ascii="Times" w:hAnsi="Times" w:cs="Times"/>
          <w:i/>
          <w:sz w:val="20"/>
        </w:rPr>
        <w:t xml:space="preserve"> Arrival (AOA) measurements (including Azimuth and Zenith Angles)</w:t>
      </w:r>
    </w:p>
    <w:p w14:paraId="32DEA494" w14:textId="77777777" w:rsidR="000A15BF" w:rsidRPr="000A15BF" w:rsidRDefault="000A15BF" w:rsidP="000A15BF">
      <w:pPr>
        <w:pStyle w:val="3GPPAgreements"/>
        <w:spacing w:after="0"/>
        <w:rPr>
          <w:rFonts w:ascii="Times" w:hAnsi="Times" w:cs="Times"/>
          <w:i/>
          <w:sz w:val="20"/>
        </w:rPr>
      </w:pPr>
      <w:r w:rsidRPr="000A15BF">
        <w:rPr>
          <w:rFonts w:ascii="Times" w:hAnsi="Times" w:cs="Times"/>
          <w:i/>
          <w:sz w:val="20"/>
        </w:rPr>
        <w:t>UL RSRP (reference signal received power) measurements</w:t>
      </w:r>
    </w:p>
    <w:p w14:paraId="225C93D0" w14:textId="77777777" w:rsidR="000A15BF" w:rsidRPr="000A15BF" w:rsidRDefault="000A15BF" w:rsidP="000A15BF">
      <w:pPr>
        <w:pStyle w:val="3GPPAgreements"/>
        <w:spacing w:after="0"/>
        <w:rPr>
          <w:rFonts w:ascii="Times" w:hAnsi="Times" w:cs="Times"/>
          <w:i/>
          <w:sz w:val="20"/>
        </w:rPr>
      </w:pPr>
      <w:proofErr w:type="spellStart"/>
      <w:r w:rsidRPr="000A15BF">
        <w:rPr>
          <w:rFonts w:ascii="Times" w:hAnsi="Times" w:cs="Times"/>
          <w:i/>
          <w:sz w:val="20"/>
        </w:rPr>
        <w:t>gNB</w:t>
      </w:r>
      <w:proofErr w:type="spellEnd"/>
      <w:r w:rsidRPr="000A15BF">
        <w:rPr>
          <w:rFonts w:ascii="Times" w:hAnsi="Times" w:cs="Times"/>
          <w:i/>
          <w:sz w:val="20"/>
        </w:rPr>
        <w:t xml:space="preserve"> RX-TX time difference measurements</w:t>
      </w:r>
    </w:p>
    <w:p w14:paraId="38362982" w14:textId="77777777" w:rsidR="000A15BF" w:rsidRDefault="000A15BF" w:rsidP="000A0AAA">
      <w:pPr>
        <w:spacing w:after="0"/>
        <w:jc w:val="left"/>
        <w:rPr>
          <w:i/>
          <w:lang w:val="en-US" w:eastAsia="x-none"/>
        </w:rPr>
      </w:pPr>
    </w:p>
    <w:p w14:paraId="4410F5B3" w14:textId="31E3DF1E" w:rsidR="000A0AAA" w:rsidRPr="002F3C22" w:rsidRDefault="000A0AAA" w:rsidP="002F3C22">
      <w:pPr>
        <w:spacing w:after="0"/>
        <w:jc w:val="left"/>
        <w:rPr>
          <w:lang w:val="en-US" w:eastAsia="x-none"/>
        </w:rPr>
      </w:pPr>
      <w:r w:rsidRPr="000A0AAA">
        <w:rPr>
          <w:lang w:val="en-US" w:eastAsia="x-none"/>
        </w:rPr>
        <w:t>In th</w:t>
      </w:r>
      <w:r>
        <w:rPr>
          <w:lang w:val="en-US" w:eastAsia="x-none"/>
        </w:rPr>
        <w:t xml:space="preserve">is paper, we present our views on </w:t>
      </w:r>
      <w:r w:rsidR="006701A3">
        <w:rPr>
          <w:lang w:val="en-US" w:eastAsia="x-none"/>
        </w:rPr>
        <w:t>U</w:t>
      </w:r>
      <w:r>
        <w:rPr>
          <w:lang w:val="en-US" w:eastAsia="x-none"/>
        </w:rPr>
        <w:t xml:space="preserve">L-only RAT-dependent NR positioning techniques. </w:t>
      </w:r>
    </w:p>
    <w:p w14:paraId="1D2C22E2" w14:textId="77777777" w:rsidR="001C1C1B" w:rsidRPr="007D5BEB" w:rsidRDefault="001C1C1B" w:rsidP="001C1C1B">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t>UE-Based positioning</w:t>
      </w:r>
    </w:p>
    <w:p w14:paraId="4142F162" w14:textId="77777777" w:rsidR="001C1C1B" w:rsidRPr="000E3343" w:rsidRDefault="001C1C1B" w:rsidP="001C1C1B">
      <w:pPr>
        <w:pStyle w:val="Heading1"/>
        <w:numPr>
          <w:ilvl w:val="0"/>
          <w:numId w:val="0"/>
        </w:numPr>
        <w:rPr>
          <w:rFonts w:ascii="Times New Roman" w:hAnsi="Times New Roman"/>
          <w:sz w:val="20"/>
        </w:rPr>
      </w:pPr>
      <w:r w:rsidRPr="000E3343">
        <w:rPr>
          <w:rFonts w:ascii="Times New Roman" w:hAnsi="Times New Roman"/>
          <w:sz w:val="20"/>
        </w:rPr>
        <w:t>We would like to highlight a selection of benefits of RAT-dependent UE-based positioning.</w:t>
      </w:r>
    </w:p>
    <w:p w14:paraId="40330D69" w14:textId="77777777" w:rsidR="001C1C1B" w:rsidRPr="002C09B9" w:rsidRDefault="001C1C1B" w:rsidP="001C1C1B">
      <w:pPr>
        <w:pStyle w:val="ListParagraph"/>
        <w:numPr>
          <w:ilvl w:val="0"/>
          <w:numId w:val="19"/>
        </w:numPr>
        <w:rPr>
          <w:b/>
        </w:rPr>
      </w:pPr>
      <w:r w:rsidRPr="002C09B9">
        <w:rPr>
          <w:b/>
        </w:rPr>
        <w:t>Enables new use cases</w:t>
      </w:r>
    </w:p>
    <w:p w14:paraId="01965E59" w14:textId="77777777" w:rsidR="001C1C1B" w:rsidRDefault="001C1C1B" w:rsidP="001C1C1B">
      <w:pPr>
        <w:pStyle w:val="ListParagraph"/>
        <w:numPr>
          <w:ilvl w:val="1"/>
          <w:numId w:val="19"/>
        </w:numPr>
      </w:pPr>
      <w:r>
        <w:t>NR is driven by commercial requirements with support for location-hungry applications on the UE</w:t>
      </w:r>
    </w:p>
    <w:p w14:paraId="00AE30B6" w14:textId="77777777" w:rsidR="001C1C1B" w:rsidRDefault="001C1C1B" w:rsidP="001C1C1B">
      <w:pPr>
        <w:pStyle w:val="ListParagraph"/>
        <w:numPr>
          <w:ilvl w:val="2"/>
          <w:numId w:val="19"/>
        </w:numPr>
      </w:pPr>
      <w:r>
        <w:t>Mobility use cases include UE tracking, XR, automotive, factory automation, UE navigation, gaming, etc.</w:t>
      </w:r>
    </w:p>
    <w:p w14:paraId="358F6852" w14:textId="77777777" w:rsidR="001C1C1B" w:rsidRPr="002C09B9" w:rsidRDefault="001C1C1B" w:rsidP="001C1C1B">
      <w:pPr>
        <w:pStyle w:val="ListParagraph"/>
        <w:numPr>
          <w:ilvl w:val="0"/>
          <w:numId w:val="19"/>
        </w:numPr>
        <w:rPr>
          <w:b/>
        </w:rPr>
      </w:pPr>
      <w:r w:rsidRPr="002C09B9">
        <w:rPr>
          <w:b/>
        </w:rPr>
        <w:t>Enables improved performance of existing use cases</w:t>
      </w:r>
    </w:p>
    <w:p w14:paraId="59A1EB96" w14:textId="77777777" w:rsidR="001C1C1B" w:rsidRDefault="001C1C1B" w:rsidP="001C1C1B">
      <w:pPr>
        <w:pStyle w:val="ListParagraph"/>
        <w:numPr>
          <w:ilvl w:val="1"/>
          <w:numId w:val="19"/>
        </w:numPr>
      </w:pPr>
      <w:r>
        <w:t>Fusion with other measurement types available on the UE can improve accuracy, availability, responsiveness, integrity and overall reliability of positioning</w:t>
      </w:r>
    </w:p>
    <w:p w14:paraId="33D7CA43" w14:textId="77777777" w:rsidR="001C1C1B" w:rsidRPr="00146E7A" w:rsidRDefault="001C1C1B" w:rsidP="001C1C1B">
      <w:pPr>
        <w:pStyle w:val="ListParagraph"/>
        <w:numPr>
          <w:ilvl w:val="1"/>
          <w:numId w:val="19"/>
        </w:numPr>
        <w:rPr>
          <w:lang w:val="nn-NO"/>
        </w:rPr>
      </w:pPr>
      <w:r w:rsidRPr="00146E7A">
        <w:rPr>
          <w:lang w:val="nn-NO"/>
        </w:rPr>
        <w:t>Native support for Kalman f</w:t>
      </w:r>
      <w:r>
        <w:rPr>
          <w:lang w:val="nn-NO"/>
        </w:rPr>
        <w:t>iltering etc.</w:t>
      </w:r>
    </w:p>
    <w:p w14:paraId="78772DF9" w14:textId="77777777" w:rsidR="001C1C1B" w:rsidRPr="002C09B9" w:rsidRDefault="001C1C1B" w:rsidP="001C1C1B">
      <w:pPr>
        <w:pStyle w:val="ListParagraph"/>
        <w:numPr>
          <w:ilvl w:val="0"/>
          <w:numId w:val="19"/>
        </w:numPr>
        <w:rPr>
          <w:b/>
        </w:rPr>
      </w:pPr>
      <w:r w:rsidRPr="002C09B9">
        <w:rPr>
          <w:b/>
        </w:rPr>
        <w:t>Improved scalability</w:t>
      </w:r>
    </w:p>
    <w:p w14:paraId="0F2BAE29" w14:textId="77777777" w:rsidR="001C1C1B" w:rsidRDefault="001C1C1B" w:rsidP="001C1C1B">
      <w:pPr>
        <w:pStyle w:val="ListParagraph"/>
        <w:numPr>
          <w:ilvl w:val="1"/>
          <w:numId w:val="19"/>
        </w:numPr>
      </w:pPr>
      <w:r>
        <w:lastRenderedPageBreak/>
        <w:t>Data reduction can be done on the UE, and there’s no inherent computational capacity limit involved with adding more UEs.  The UE-Assisted alternative requires the location management function serving a multitude of users, and the LMF would have an upper capacity limit.</w:t>
      </w:r>
    </w:p>
    <w:p w14:paraId="06DB9B04" w14:textId="77777777" w:rsidR="001C1C1B" w:rsidRPr="002C09B9" w:rsidRDefault="001C1C1B" w:rsidP="001C1C1B">
      <w:pPr>
        <w:pStyle w:val="ListParagraph"/>
        <w:numPr>
          <w:ilvl w:val="0"/>
          <w:numId w:val="19"/>
        </w:numPr>
        <w:rPr>
          <w:b/>
        </w:rPr>
      </w:pPr>
      <w:r w:rsidRPr="002C09B9">
        <w:rPr>
          <w:b/>
        </w:rPr>
        <w:t>Low UL overhead</w:t>
      </w:r>
    </w:p>
    <w:p w14:paraId="31D6A838" w14:textId="77777777" w:rsidR="001C1C1B" w:rsidRDefault="001C1C1B" w:rsidP="001C1C1B">
      <w:pPr>
        <w:pStyle w:val="ListParagraph"/>
        <w:numPr>
          <w:ilvl w:val="1"/>
          <w:numId w:val="19"/>
        </w:numPr>
      </w:pPr>
      <w:r>
        <w:t>If the UE is also the consumer of the location information, no UL data is required.  Even if the UE is not the end-user of the location information, the UE location data content is small.  Conversely, the UE-Assisted alternative would require reporting of a multitude of measurement information with significantly larger data volume.</w:t>
      </w:r>
    </w:p>
    <w:p w14:paraId="130035ED" w14:textId="77777777" w:rsidR="001C1C1B" w:rsidRPr="002C09B9" w:rsidRDefault="001C1C1B" w:rsidP="001C1C1B">
      <w:pPr>
        <w:pStyle w:val="ListParagraph"/>
        <w:numPr>
          <w:ilvl w:val="0"/>
          <w:numId w:val="19"/>
        </w:numPr>
        <w:rPr>
          <w:b/>
        </w:rPr>
      </w:pPr>
      <w:r w:rsidRPr="002C09B9">
        <w:rPr>
          <w:b/>
        </w:rPr>
        <w:t>Low latency</w:t>
      </w:r>
    </w:p>
    <w:p w14:paraId="0A2186D0" w14:textId="77777777" w:rsidR="001C1C1B" w:rsidRDefault="001C1C1B" w:rsidP="001C1C1B">
      <w:pPr>
        <w:pStyle w:val="ListParagraph"/>
        <w:numPr>
          <w:ilvl w:val="1"/>
          <w:numId w:val="19"/>
        </w:numPr>
      </w:pPr>
      <w:r>
        <w:t xml:space="preserve">Position fixes can be produced virtually </w:t>
      </w:r>
      <w:r w:rsidRPr="00C04FC6">
        <w:t>instantaneously</w:t>
      </w:r>
      <w:r>
        <w:t xml:space="preserve"> after making the measurements.  A UE-Assisted alternative would experience delay through RAN and CN.</w:t>
      </w:r>
    </w:p>
    <w:p w14:paraId="433D9881" w14:textId="77777777" w:rsidR="001C1C1B" w:rsidRPr="002C09B9" w:rsidRDefault="001C1C1B" w:rsidP="001C1C1B">
      <w:pPr>
        <w:pStyle w:val="ListParagraph"/>
        <w:numPr>
          <w:ilvl w:val="0"/>
          <w:numId w:val="19"/>
        </w:numPr>
        <w:rPr>
          <w:b/>
        </w:rPr>
      </w:pPr>
      <w:r w:rsidRPr="002C09B9">
        <w:rPr>
          <w:b/>
        </w:rPr>
        <w:t>Very low specifications impact</w:t>
      </w:r>
    </w:p>
    <w:p w14:paraId="2D105685" w14:textId="77777777" w:rsidR="001C1C1B" w:rsidRDefault="001C1C1B" w:rsidP="001C1C1B">
      <w:pPr>
        <w:pStyle w:val="ListParagraph"/>
        <w:numPr>
          <w:ilvl w:val="1"/>
          <w:numId w:val="19"/>
        </w:numPr>
      </w:pPr>
      <w:r>
        <w:t>Adding new measurement types (say Doppler) can be done without impact to standards documents and protocols.  Furthermore, positioning applications can be more readily tailored to a specific device category or service requirements.</w:t>
      </w:r>
    </w:p>
    <w:p w14:paraId="66D3F4FF" w14:textId="77777777" w:rsidR="001C1C1B" w:rsidRPr="002C09B9" w:rsidRDefault="001C1C1B" w:rsidP="001C1C1B">
      <w:pPr>
        <w:pStyle w:val="ListParagraph"/>
        <w:numPr>
          <w:ilvl w:val="0"/>
          <w:numId w:val="19"/>
        </w:numPr>
        <w:rPr>
          <w:b/>
        </w:rPr>
      </w:pPr>
      <w:r>
        <w:rPr>
          <w:b/>
        </w:rPr>
        <w:t>Parity with RAT-independent UE-Based features</w:t>
      </w:r>
    </w:p>
    <w:p w14:paraId="6C6ABBD1" w14:textId="77777777" w:rsidR="001C1C1B" w:rsidRDefault="001C1C1B" w:rsidP="001C1C1B">
      <w:pPr>
        <w:pStyle w:val="ListParagraph"/>
        <w:numPr>
          <w:ilvl w:val="1"/>
          <w:numId w:val="19"/>
        </w:numPr>
      </w:pPr>
      <w:r>
        <w:t>UE-Based RAT-independent features, like GNSS and Wi-Fi, are in prevalent use on UEs.  UE-based RAT-dependent positioning would enable service differentiation for operators.</w:t>
      </w:r>
    </w:p>
    <w:p w14:paraId="55B43151" w14:textId="38B20EF4" w:rsidR="001C1C1B" w:rsidRPr="000C71D4" w:rsidRDefault="001C1C1B" w:rsidP="001C1C1B">
      <w:pPr>
        <w:pStyle w:val="Caption"/>
        <w:spacing w:after="0"/>
        <w:jc w:val="left"/>
        <w:rPr>
          <w:sz w:val="20"/>
        </w:rPr>
      </w:pPr>
      <w:bookmarkStart w:id="1" w:name="_Ref951269"/>
      <w:bookmarkStart w:id="2" w:name="_Ref1133493"/>
      <w:r w:rsidRPr="000C71D4">
        <w:rPr>
          <w:sz w:val="20"/>
        </w:rPr>
        <w:t xml:space="preserve">Observation </w:t>
      </w:r>
      <w:r w:rsidRPr="000C71D4">
        <w:rPr>
          <w:sz w:val="20"/>
        </w:rPr>
        <w:fldChar w:fldCharType="begin"/>
      </w:r>
      <w:r w:rsidRPr="000C71D4">
        <w:rPr>
          <w:sz w:val="20"/>
        </w:rPr>
        <w:instrText xml:space="preserve"> SEQ Observation \* ARABIC </w:instrText>
      </w:r>
      <w:r w:rsidRPr="000C71D4">
        <w:rPr>
          <w:sz w:val="20"/>
        </w:rPr>
        <w:fldChar w:fldCharType="separate"/>
      </w:r>
      <w:r w:rsidR="00AE1FC7">
        <w:rPr>
          <w:noProof/>
          <w:sz w:val="20"/>
        </w:rPr>
        <w:t>1</w:t>
      </w:r>
      <w:r w:rsidRPr="000C71D4">
        <w:rPr>
          <w:sz w:val="20"/>
        </w:rPr>
        <w:fldChar w:fldCharType="end"/>
      </w:r>
      <w:r w:rsidRPr="000C71D4">
        <w:rPr>
          <w:sz w:val="20"/>
        </w:rPr>
        <w:t>:</w:t>
      </w:r>
      <w:r>
        <w:rPr>
          <w:sz w:val="20"/>
        </w:rPr>
        <w:tab/>
        <w:t xml:space="preserve">RAT-dependent </w:t>
      </w:r>
      <w:r w:rsidRPr="000C71D4">
        <w:rPr>
          <w:sz w:val="20"/>
        </w:rPr>
        <w:t>UE-Based positioning has an abundance of beneficial characteristics</w:t>
      </w:r>
      <w:bookmarkEnd w:id="1"/>
      <w:r w:rsidRPr="000C71D4">
        <w:rPr>
          <w:sz w:val="20"/>
        </w:rPr>
        <w:t xml:space="preserve"> including but not limited to the following:</w:t>
      </w:r>
      <w:bookmarkEnd w:id="2"/>
    </w:p>
    <w:p w14:paraId="7CD4DBF2" w14:textId="77777777" w:rsidR="001C1C1B" w:rsidRPr="000C71D4" w:rsidRDefault="001C1C1B" w:rsidP="001C1C1B">
      <w:pPr>
        <w:pStyle w:val="ListParagraph"/>
        <w:numPr>
          <w:ilvl w:val="0"/>
          <w:numId w:val="21"/>
        </w:numPr>
        <w:spacing w:after="0"/>
        <w:rPr>
          <w:b/>
          <w:bCs/>
          <w:szCs w:val="18"/>
        </w:rPr>
      </w:pPr>
      <w:r w:rsidRPr="000C71D4">
        <w:rPr>
          <w:b/>
          <w:bCs/>
          <w:szCs w:val="18"/>
        </w:rPr>
        <w:t>Enables new use cases</w:t>
      </w:r>
    </w:p>
    <w:p w14:paraId="0D06C5DC" w14:textId="77777777" w:rsidR="001C1C1B" w:rsidRPr="000C71D4" w:rsidRDefault="001C1C1B" w:rsidP="001C1C1B">
      <w:pPr>
        <w:pStyle w:val="ListParagraph"/>
        <w:numPr>
          <w:ilvl w:val="0"/>
          <w:numId w:val="21"/>
        </w:numPr>
        <w:spacing w:after="0"/>
        <w:rPr>
          <w:b/>
          <w:bCs/>
          <w:szCs w:val="18"/>
        </w:rPr>
      </w:pPr>
      <w:r w:rsidRPr="000C71D4">
        <w:rPr>
          <w:b/>
          <w:bCs/>
          <w:szCs w:val="18"/>
        </w:rPr>
        <w:t>Enables improved performance of existing use cases</w:t>
      </w:r>
    </w:p>
    <w:p w14:paraId="57E12E9C" w14:textId="77777777" w:rsidR="001C1C1B" w:rsidRDefault="001C1C1B" w:rsidP="001C1C1B">
      <w:pPr>
        <w:pStyle w:val="ListParagraph"/>
        <w:numPr>
          <w:ilvl w:val="0"/>
          <w:numId w:val="21"/>
        </w:numPr>
        <w:spacing w:after="0"/>
        <w:rPr>
          <w:b/>
          <w:bCs/>
          <w:szCs w:val="18"/>
        </w:rPr>
      </w:pPr>
      <w:r w:rsidRPr="000C71D4">
        <w:rPr>
          <w:b/>
          <w:bCs/>
          <w:szCs w:val="18"/>
        </w:rPr>
        <w:t>Improved scalability</w:t>
      </w:r>
    </w:p>
    <w:p w14:paraId="6AC22B13" w14:textId="77777777" w:rsidR="001C1C1B" w:rsidRPr="000C71D4" w:rsidRDefault="001C1C1B" w:rsidP="001C1C1B">
      <w:pPr>
        <w:pStyle w:val="ListParagraph"/>
        <w:numPr>
          <w:ilvl w:val="0"/>
          <w:numId w:val="21"/>
        </w:numPr>
        <w:spacing w:after="0"/>
        <w:rPr>
          <w:b/>
          <w:bCs/>
          <w:szCs w:val="18"/>
        </w:rPr>
      </w:pPr>
      <w:r w:rsidRPr="000C71D4">
        <w:rPr>
          <w:b/>
          <w:bCs/>
          <w:szCs w:val="18"/>
        </w:rPr>
        <w:t>Low UL overhead</w:t>
      </w:r>
    </w:p>
    <w:p w14:paraId="35FB745C" w14:textId="77777777" w:rsidR="001C1C1B" w:rsidRPr="000C71D4" w:rsidRDefault="001C1C1B" w:rsidP="001C1C1B">
      <w:pPr>
        <w:pStyle w:val="ListParagraph"/>
        <w:numPr>
          <w:ilvl w:val="0"/>
          <w:numId w:val="21"/>
        </w:numPr>
        <w:spacing w:after="0"/>
        <w:rPr>
          <w:b/>
          <w:bCs/>
          <w:szCs w:val="18"/>
        </w:rPr>
      </w:pPr>
      <w:r w:rsidRPr="000C71D4">
        <w:rPr>
          <w:b/>
          <w:bCs/>
          <w:szCs w:val="18"/>
        </w:rPr>
        <w:t>Low latency</w:t>
      </w:r>
    </w:p>
    <w:p w14:paraId="0AABBBF3" w14:textId="77777777" w:rsidR="001C1C1B" w:rsidRPr="000C71D4" w:rsidRDefault="001C1C1B" w:rsidP="001C1C1B">
      <w:pPr>
        <w:pStyle w:val="ListParagraph"/>
        <w:numPr>
          <w:ilvl w:val="0"/>
          <w:numId w:val="21"/>
        </w:numPr>
        <w:spacing w:after="0"/>
        <w:rPr>
          <w:b/>
          <w:bCs/>
          <w:szCs w:val="18"/>
        </w:rPr>
      </w:pPr>
      <w:r w:rsidRPr="000C71D4">
        <w:rPr>
          <w:b/>
          <w:bCs/>
          <w:szCs w:val="18"/>
        </w:rPr>
        <w:t>Very low specifications impact</w:t>
      </w:r>
    </w:p>
    <w:p w14:paraId="79561A89" w14:textId="77777777" w:rsidR="001C1C1B" w:rsidRDefault="001C1C1B" w:rsidP="001C1C1B">
      <w:pPr>
        <w:pStyle w:val="ListParagraph"/>
        <w:numPr>
          <w:ilvl w:val="0"/>
          <w:numId w:val="21"/>
        </w:numPr>
        <w:spacing w:after="0"/>
        <w:rPr>
          <w:b/>
          <w:bCs/>
          <w:szCs w:val="18"/>
        </w:rPr>
      </w:pPr>
      <w:r w:rsidRPr="000C71D4">
        <w:rPr>
          <w:b/>
          <w:bCs/>
          <w:szCs w:val="18"/>
        </w:rPr>
        <w:t>Parity with RAT-independent UE-Based features</w:t>
      </w:r>
    </w:p>
    <w:p w14:paraId="774501FC" w14:textId="77777777" w:rsidR="001C1C1B" w:rsidRDefault="001C1C1B" w:rsidP="001C1C1B">
      <w:pPr>
        <w:spacing w:after="0"/>
        <w:rPr>
          <w:b/>
          <w:bCs/>
          <w:szCs w:val="18"/>
        </w:rPr>
      </w:pPr>
    </w:p>
    <w:p w14:paraId="2D6A2971" w14:textId="66BE156C" w:rsidR="001C1C1B" w:rsidRPr="0093128F" w:rsidRDefault="001C1C1B" w:rsidP="001C1C1B">
      <w:pPr>
        <w:pStyle w:val="Caption"/>
        <w:jc w:val="left"/>
        <w:rPr>
          <w:sz w:val="20"/>
          <w:szCs w:val="20"/>
        </w:rPr>
      </w:pPr>
      <w:bookmarkStart w:id="3" w:name="_Ref1133511"/>
      <w:r w:rsidRPr="0093128F">
        <w:rPr>
          <w:sz w:val="20"/>
          <w:szCs w:val="20"/>
        </w:rPr>
        <w:t xml:space="preserve">Observation </w:t>
      </w:r>
      <w:r w:rsidRPr="0093128F">
        <w:rPr>
          <w:sz w:val="20"/>
          <w:szCs w:val="20"/>
        </w:rPr>
        <w:fldChar w:fldCharType="begin"/>
      </w:r>
      <w:r w:rsidRPr="0093128F">
        <w:rPr>
          <w:sz w:val="20"/>
          <w:szCs w:val="20"/>
        </w:rPr>
        <w:instrText xml:space="preserve"> SEQ Observation \* ARABIC </w:instrText>
      </w:r>
      <w:r w:rsidRPr="0093128F">
        <w:rPr>
          <w:sz w:val="20"/>
          <w:szCs w:val="20"/>
        </w:rPr>
        <w:fldChar w:fldCharType="separate"/>
      </w:r>
      <w:r w:rsidR="00AE1FC7">
        <w:rPr>
          <w:noProof/>
          <w:sz w:val="20"/>
          <w:szCs w:val="20"/>
        </w:rPr>
        <w:t>2</w:t>
      </w:r>
      <w:r w:rsidRPr="0093128F">
        <w:rPr>
          <w:sz w:val="20"/>
          <w:szCs w:val="20"/>
        </w:rPr>
        <w:fldChar w:fldCharType="end"/>
      </w:r>
      <w:r w:rsidRPr="0093128F">
        <w:rPr>
          <w:sz w:val="20"/>
          <w:szCs w:val="20"/>
        </w:rPr>
        <w:t>:</w:t>
      </w:r>
      <w:r w:rsidRPr="0093128F">
        <w:rPr>
          <w:sz w:val="20"/>
          <w:szCs w:val="20"/>
        </w:rPr>
        <w:tab/>
      </w:r>
      <w:r>
        <w:rPr>
          <w:sz w:val="20"/>
        </w:rPr>
        <w:t xml:space="preserve">RAT-dependent </w:t>
      </w:r>
      <w:r w:rsidRPr="0093128F">
        <w:rPr>
          <w:sz w:val="20"/>
          <w:szCs w:val="20"/>
        </w:rPr>
        <w:t>UE-Based positioning was agreed, but not yet implemented for Rel-15 (RP-172313 (RP-78)).</w:t>
      </w:r>
      <w:bookmarkEnd w:id="3"/>
    </w:p>
    <w:p w14:paraId="5CC4A87E" w14:textId="14E1B0EB" w:rsidR="001C1C1B" w:rsidRPr="0093128F" w:rsidRDefault="001C1C1B" w:rsidP="001C1C1B">
      <w:pPr>
        <w:pStyle w:val="Caption"/>
        <w:jc w:val="left"/>
        <w:rPr>
          <w:sz w:val="20"/>
          <w:szCs w:val="20"/>
        </w:rPr>
      </w:pPr>
      <w:bookmarkStart w:id="4" w:name="_Ref1133515"/>
      <w:r w:rsidRPr="0093128F">
        <w:rPr>
          <w:sz w:val="20"/>
          <w:szCs w:val="20"/>
        </w:rPr>
        <w:t xml:space="preserve">Observation </w:t>
      </w:r>
      <w:r w:rsidRPr="0093128F">
        <w:rPr>
          <w:sz w:val="20"/>
          <w:szCs w:val="20"/>
        </w:rPr>
        <w:fldChar w:fldCharType="begin"/>
      </w:r>
      <w:r w:rsidRPr="0093128F">
        <w:rPr>
          <w:sz w:val="20"/>
          <w:szCs w:val="20"/>
        </w:rPr>
        <w:instrText xml:space="preserve"> SEQ Observation \* ARABIC </w:instrText>
      </w:r>
      <w:r w:rsidRPr="0093128F">
        <w:rPr>
          <w:sz w:val="20"/>
          <w:szCs w:val="20"/>
        </w:rPr>
        <w:fldChar w:fldCharType="separate"/>
      </w:r>
      <w:r w:rsidR="00AE1FC7">
        <w:rPr>
          <w:noProof/>
          <w:sz w:val="20"/>
          <w:szCs w:val="20"/>
        </w:rPr>
        <w:t>3</w:t>
      </w:r>
      <w:r w:rsidRPr="0093128F">
        <w:rPr>
          <w:sz w:val="20"/>
          <w:szCs w:val="20"/>
        </w:rPr>
        <w:fldChar w:fldCharType="end"/>
      </w:r>
      <w:r w:rsidRPr="0093128F">
        <w:rPr>
          <w:sz w:val="20"/>
          <w:szCs w:val="20"/>
        </w:rPr>
        <w:t>:</w:t>
      </w:r>
      <w:r w:rsidRPr="0093128F">
        <w:rPr>
          <w:sz w:val="20"/>
          <w:szCs w:val="20"/>
        </w:rPr>
        <w:tab/>
      </w:r>
      <w:r>
        <w:rPr>
          <w:sz w:val="20"/>
        </w:rPr>
        <w:t xml:space="preserve">RAT-dependent </w:t>
      </w:r>
      <w:r w:rsidRPr="0093128F">
        <w:rPr>
          <w:sz w:val="20"/>
          <w:szCs w:val="20"/>
        </w:rPr>
        <w:t>UE-Based positioning exists for RAT-independent methods.</w:t>
      </w:r>
      <w:bookmarkEnd w:id="4"/>
    </w:p>
    <w:p w14:paraId="2F1B1C07" w14:textId="69D58FD6" w:rsidR="001C1C1B" w:rsidRPr="001C1C1B" w:rsidRDefault="001C1C1B" w:rsidP="001C1C1B">
      <w:pPr>
        <w:rPr>
          <w:b/>
        </w:rPr>
      </w:pPr>
      <w:bookmarkStart w:id="5" w:name="_Ref951222"/>
      <w:bookmarkStart w:id="6" w:name="_Ref1133585"/>
      <w:r w:rsidRPr="001C1C1B">
        <w:rPr>
          <w:b/>
        </w:rPr>
        <w:t xml:space="preserve">Proposal </w:t>
      </w:r>
      <w:r w:rsidRPr="001C1C1B">
        <w:rPr>
          <w:b/>
          <w:bCs/>
          <w:noProof/>
        </w:rPr>
        <w:fldChar w:fldCharType="begin"/>
      </w:r>
      <w:r w:rsidRPr="001C1C1B">
        <w:rPr>
          <w:b/>
          <w:noProof/>
        </w:rPr>
        <w:instrText xml:space="preserve"> SEQ Proposal \* ARABIC </w:instrText>
      </w:r>
      <w:r w:rsidRPr="001C1C1B">
        <w:rPr>
          <w:b/>
          <w:bCs/>
          <w:noProof/>
        </w:rPr>
        <w:fldChar w:fldCharType="separate"/>
      </w:r>
      <w:r w:rsidR="00AE1FC7">
        <w:rPr>
          <w:b/>
          <w:noProof/>
        </w:rPr>
        <w:t>1</w:t>
      </w:r>
      <w:r w:rsidRPr="001C1C1B">
        <w:rPr>
          <w:b/>
          <w:bCs/>
          <w:noProof/>
        </w:rPr>
        <w:fldChar w:fldCharType="end"/>
      </w:r>
      <w:r w:rsidRPr="001C1C1B">
        <w:rPr>
          <w:b/>
          <w:noProof/>
        </w:rPr>
        <w:t>:</w:t>
      </w:r>
      <w:r w:rsidRPr="001C1C1B">
        <w:rPr>
          <w:b/>
          <w:noProof/>
        </w:rPr>
        <w:tab/>
      </w:r>
      <w:r w:rsidRPr="001C1C1B">
        <w:rPr>
          <w:b/>
        </w:rPr>
        <w:t>Support RAT-dependent UE-Based positioning for NR in Rel-16</w:t>
      </w:r>
      <w:bookmarkEnd w:id="5"/>
      <w:bookmarkEnd w:id="6"/>
    </w:p>
    <w:p w14:paraId="057BFCF1" w14:textId="13EA8779" w:rsidR="002F3C22" w:rsidRPr="006701A3" w:rsidRDefault="006701A3" w:rsidP="002F3C22">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Pr>
          <w:rFonts w:ascii="Times New Roman" w:hAnsi="Times New Roman"/>
        </w:rPr>
        <w:t>U</w:t>
      </w:r>
      <w:r w:rsidR="000A0AAA">
        <w:rPr>
          <w:rFonts w:ascii="Times New Roman" w:hAnsi="Times New Roman"/>
        </w:rPr>
        <w:t>L-only Positioning Techniques</w:t>
      </w:r>
    </w:p>
    <w:p w14:paraId="14A2D09E" w14:textId="3A9BEEBA" w:rsidR="002F3C22" w:rsidRPr="001E6615" w:rsidRDefault="0022099A" w:rsidP="00C564E0">
      <w:pPr>
        <w:pStyle w:val="Heading2"/>
        <w:numPr>
          <w:ilvl w:val="1"/>
          <w:numId w:val="10"/>
        </w:numPr>
        <w:rPr>
          <w:sz w:val="24"/>
        </w:rPr>
      </w:pPr>
      <w:r w:rsidRPr="001E6615">
        <w:rPr>
          <w:sz w:val="24"/>
        </w:rPr>
        <w:t>Compari</w:t>
      </w:r>
      <w:r w:rsidR="00622584">
        <w:rPr>
          <w:sz w:val="24"/>
        </w:rPr>
        <w:t>s</w:t>
      </w:r>
      <w:r w:rsidRPr="001E6615">
        <w:rPr>
          <w:sz w:val="24"/>
        </w:rPr>
        <w:t xml:space="preserve">on of </w:t>
      </w:r>
      <w:r w:rsidR="006701A3" w:rsidRPr="001E6615">
        <w:rPr>
          <w:sz w:val="24"/>
        </w:rPr>
        <w:t>U</w:t>
      </w:r>
      <w:r w:rsidR="002F3C22" w:rsidRPr="001E6615">
        <w:rPr>
          <w:sz w:val="24"/>
        </w:rPr>
        <w:t>TDOA</w:t>
      </w:r>
      <w:r w:rsidRPr="001E6615">
        <w:rPr>
          <w:sz w:val="24"/>
        </w:rPr>
        <w:t xml:space="preserve"> with multi-RTT technique</w:t>
      </w:r>
    </w:p>
    <w:p w14:paraId="08A036C6" w14:textId="4FB0EA36" w:rsidR="00EF2EA8" w:rsidRDefault="0022099A" w:rsidP="0054733C">
      <w:pPr>
        <w:spacing w:after="0"/>
        <w:rPr>
          <w:szCs w:val="22"/>
        </w:rPr>
      </w:pPr>
      <w:r>
        <w:rPr>
          <w:szCs w:val="22"/>
        </w:rPr>
        <w:t>One of the UL-only positioning techniques which may be considered in NR is the UTDOA</w:t>
      </w:r>
      <w:r w:rsidR="0054733C">
        <w:rPr>
          <w:szCs w:val="22"/>
        </w:rPr>
        <w:t>. In this technique,</w:t>
      </w:r>
      <w:r>
        <w:rPr>
          <w:szCs w:val="22"/>
        </w:rPr>
        <w:t xml:space="preserve"> the UE transmits UL PRS (e.g., SRS) on the UL which is </w:t>
      </w:r>
      <w:proofErr w:type="spellStart"/>
      <w:r>
        <w:rPr>
          <w:szCs w:val="22"/>
        </w:rPr>
        <w:t>intented</w:t>
      </w:r>
      <w:proofErr w:type="spellEnd"/>
      <w:r>
        <w:rPr>
          <w:szCs w:val="22"/>
        </w:rPr>
        <w:t xml:space="preserve"> to be received by serving and</w:t>
      </w:r>
      <w:r w:rsidR="0054733C">
        <w:rPr>
          <w:szCs w:val="22"/>
        </w:rPr>
        <w:t>/or</w:t>
      </w:r>
      <w:r>
        <w:rPr>
          <w:szCs w:val="22"/>
        </w:rPr>
        <w:t xml:space="preserve"> </w:t>
      </w:r>
      <w:proofErr w:type="spellStart"/>
      <w:r>
        <w:rPr>
          <w:szCs w:val="22"/>
        </w:rPr>
        <w:t>neighboring</w:t>
      </w:r>
      <w:proofErr w:type="spellEnd"/>
      <w:r>
        <w:rPr>
          <w:szCs w:val="22"/>
        </w:rPr>
        <w:t xml:space="preserve"> cells </w:t>
      </w:r>
      <w:proofErr w:type="gramStart"/>
      <w:r>
        <w:rPr>
          <w:szCs w:val="22"/>
        </w:rPr>
        <w:t>in order for</w:t>
      </w:r>
      <w:proofErr w:type="gramEnd"/>
      <w:r>
        <w:rPr>
          <w:szCs w:val="22"/>
        </w:rPr>
        <w:t xml:space="preserve"> the</w:t>
      </w:r>
      <w:r w:rsidR="0054733C">
        <w:rPr>
          <w:szCs w:val="22"/>
        </w:rPr>
        <w:t>m</w:t>
      </w:r>
      <w:r>
        <w:rPr>
          <w:szCs w:val="22"/>
        </w:rPr>
        <w:t xml:space="preserve"> to estimate the TOA</w:t>
      </w:r>
      <w:r w:rsidR="0054733C">
        <w:rPr>
          <w:szCs w:val="22"/>
        </w:rPr>
        <w:t>s</w:t>
      </w:r>
      <w:r>
        <w:rPr>
          <w:szCs w:val="22"/>
        </w:rPr>
        <w:t xml:space="preserve"> and </w:t>
      </w:r>
      <w:proofErr w:type="spellStart"/>
      <w:r>
        <w:rPr>
          <w:szCs w:val="22"/>
        </w:rPr>
        <w:t>finaly</w:t>
      </w:r>
      <w:proofErr w:type="spellEnd"/>
      <w:r>
        <w:rPr>
          <w:szCs w:val="22"/>
        </w:rPr>
        <w:t xml:space="preserve"> compute </w:t>
      </w:r>
      <w:r w:rsidR="0054733C">
        <w:rPr>
          <w:szCs w:val="22"/>
        </w:rPr>
        <w:t>t</w:t>
      </w:r>
      <w:r>
        <w:rPr>
          <w:szCs w:val="22"/>
        </w:rPr>
        <w:t xml:space="preserve">he TDOA vector. </w:t>
      </w:r>
      <w:r w:rsidR="00836153">
        <w:rPr>
          <w:szCs w:val="22"/>
        </w:rPr>
        <w:t>T</w:t>
      </w:r>
      <w:r>
        <w:rPr>
          <w:szCs w:val="22"/>
        </w:rPr>
        <w:t xml:space="preserve">his technique </w:t>
      </w:r>
      <w:r w:rsidR="00836153">
        <w:rPr>
          <w:szCs w:val="22"/>
        </w:rPr>
        <w:t xml:space="preserve">is supported </w:t>
      </w:r>
      <w:r w:rsidR="00EF2EA8">
        <w:rPr>
          <w:szCs w:val="22"/>
        </w:rPr>
        <w:t>in</w:t>
      </w:r>
      <w:r w:rsidR="00836153">
        <w:rPr>
          <w:szCs w:val="22"/>
        </w:rPr>
        <w:t xml:space="preserve"> LTE but has not been included for positioning in NR Rel-15 [12]. Comparing UTDOA with the </w:t>
      </w:r>
      <w:proofErr w:type="spellStart"/>
      <w:r w:rsidR="00836153">
        <w:rPr>
          <w:szCs w:val="22"/>
        </w:rPr>
        <w:t>muli</w:t>
      </w:r>
      <w:proofErr w:type="spellEnd"/>
      <w:r w:rsidR="00836153">
        <w:rPr>
          <w:szCs w:val="22"/>
        </w:rPr>
        <w:t xml:space="preserve">-RTT method </w:t>
      </w:r>
      <w:r w:rsidR="0054733C">
        <w:rPr>
          <w:szCs w:val="22"/>
        </w:rPr>
        <w:t xml:space="preserve">described </w:t>
      </w:r>
      <w:r w:rsidR="0054733C" w:rsidRPr="001849B5">
        <w:rPr>
          <w:szCs w:val="22"/>
        </w:rPr>
        <w:t>in [</w:t>
      </w:r>
      <w:r w:rsidR="00EF2EA8" w:rsidRPr="001849B5">
        <w:rPr>
          <w:szCs w:val="22"/>
        </w:rPr>
        <w:t>13</w:t>
      </w:r>
      <w:r w:rsidR="0054733C" w:rsidRPr="001849B5">
        <w:rPr>
          <w:szCs w:val="22"/>
        </w:rPr>
        <w:t>]</w:t>
      </w:r>
      <w:r w:rsidR="00EF2EA8" w:rsidRPr="001849B5">
        <w:rPr>
          <w:szCs w:val="22"/>
        </w:rPr>
        <w:t xml:space="preserve"> and OTDOA described in [11]</w:t>
      </w:r>
      <w:r w:rsidR="00836153" w:rsidRPr="001849B5">
        <w:rPr>
          <w:szCs w:val="22"/>
        </w:rPr>
        <w:t xml:space="preserve">, we want to </w:t>
      </w:r>
      <w:proofErr w:type="spellStart"/>
      <w:r w:rsidR="00836153" w:rsidRPr="001849B5">
        <w:rPr>
          <w:szCs w:val="22"/>
        </w:rPr>
        <w:t>emphazise</w:t>
      </w:r>
      <w:proofErr w:type="spellEnd"/>
      <w:r w:rsidR="00836153" w:rsidRPr="001849B5">
        <w:rPr>
          <w:szCs w:val="22"/>
        </w:rPr>
        <w:t xml:space="preserve"> the following:</w:t>
      </w:r>
      <w:r w:rsidR="0054733C">
        <w:rPr>
          <w:szCs w:val="22"/>
        </w:rPr>
        <w:t xml:space="preserve"> </w:t>
      </w:r>
    </w:p>
    <w:p w14:paraId="4BC6204A" w14:textId="101B2708" w:rsidR="003A6446" w:rsidRDefault="0054733C" w:rsidP="0054733C">
      <w:pPr>
        <w:pStyle w:val="ListParagraph"/>
        <w:numPr>
          <w:ilvl w:val="0"/>
          <w:numId w:val="14"/>
        </w:numPr>
        <w:spacing w:after="0"/>
        <w:rPr>
          <w:szCs w:val="22"/>
        </w:rPr>
      </w:pPr>
      <w:r w:rsidRPr="0054733C">
        <w:rPr>
          <w:szCs w:val="22"/>
        </w:rPr>
        <w:t>UTDOA has similar</w:t>
      </w:r>
      <w:r>
        <w:rPr>
          <w:szCs w:val="22"/>
        </w:rPr>
        <w:t xml:space="preserve"> strict</w:t>
      </w:r>
      <w:r w:rsidRPr="0054733C">
        <w:rPr>
          <w:szCs w:val="22"/>
        </w:rPr>
        <w:t xml:space="preserve"> network synchroniza</w:t>
      </w:r>
      <w:r>
        <w:rPr>
          <w:szCs w:val="22"/>
        </w:rPr>
        <w:t xml:space="preserve">tion requirements with OTDOA (in order of </w:t>
      </w:r>
      <w:proofErr w:type="spellStart"/>
      <w:r>
        <w:rPr>
          <w:szCs w:val="22"/>
        </w:rPr>
        <w:t>nsec</w:t>
      </w:r>
      <w:proofErr w:type="spellEnd"/>
      <w:r>
        <w:rPr>
          <w:szCs w:val="22"/>
        </w:rPr>
        <w:t xml:space="preserve">), while multi-RTT only has loose </w:t>
      </w:r>
      <w:r w:rsidR="00DE5F47">
        <w:rPr>
          <w:szCs w:val="22"/>
        </w:rPr>
        <w:t xml:space="preserve">synchronization </w:t>
      </w:r>
      <w:r>
        <w:rPr>
          <w:szCs w:val="22"/>
        </w:rPr>
        <w:t>requirements.</w:t>
      </w:r>
    </w:p>
    <w:p w14:paraId="41011F31" w14:textId="1D85FA27" w:rsidR="007E710D" w:rsidRDefault="0054733C" w:rsidP="007E710D">
      <w:pPr>
        <w:pStyle w:val="ListParagraph"/>
        <w:numPr>
          <w:ilvl w:val="0"/>
          <w:numId w:val="14"/>
        </w:numPr>
        <w:spacing w:after="120"/>
        <w:rPr>
          <w:szCs w:val="22"/>
        </w:rPr>
      </w:pPr>
      <w:r>
        <w:rPr>
          <w:szCs w:val="22"/>
        </w:rPr>
        <w:t xml:space="preserve">Both UTDOA and multi-RTT use UL transmissions, and therefore, if there are deployment scenarios in which UL signal is received weaker than the DL signals, the sensitivity </w:t>
      </w:r>
      <w:r w:rsidR="00DE5F47">
        <w:rPr>
          <w:szCs w:val="22"/>
        </w:rPr>
        <w:t>limitations</w:t>
      </w:r>
      <w:r w:rsidR="00770354">
        <w:rPr>
          <w:szCs w:val="22"/>
        </w:rPr>
        <w:t xml:space="preserve"> introduced by the</w:t>
      </w:r>
      <w:r>
        <w:rPr>
          <w:szCs w:val="22"/>
        </w:rPr>
        <w:t xml:space="preserve"> U</w:t>
      </w:r>
      <w:r w:rsidR="00770354">
        <w:rPr>
          <w:szCs w:val="22"/>
        </w:rPr>
        <w:t>L measurement is generally expected to be less</w:t>
      </w:r>
      <w:r w:rsidR="00DE5F47">
        <w:rPr>
          <w:szCs w:val="22"/>
        </w:rPr>
        <w:t xml:space="preserve"> for multi-RTT (using 1 UL measurement and 1 DL measurement)</w:t>
      </w:r>
      <w:r w:rsidR="00770354">
        <w:rPr>
          <w:szCs w:val="22"/>
        </w:rPr>
        <w:t xml:space="preserve"> compared to UTDOA</w:t>
      </w:r>
      <w:r w:rsidR="00DE5F47">
        <w:rPr>
          <w:szCs w:val="22"/>
        </w:rPr>
        <w:t xml:space="preserve"> (using 2 UL measurements)</w:t>
      </w:r>
      <w:r w:rsidR="00770354">
        <w:rPr>
          <w:szCs w:val="22"/>
        </w:rPr>
        <w:t xml:space="preserve">. </w:t>
      </w:r>
    </w:p>
    <w:p w14:paraId="5ECFF004" w14:textId="47DD044D" w:rsidR="00376930" w:rsidRPr="00376930" w:rsidRDefault="007E710D" w:rsidP="00376930">
      <w:pPr>
        <w:pStyle w:val="ListParagraph"/>
        <w:numPr>
          <w:ilvl w:val="1"/>
          <w:numId w:val="14"/>
        </w:numPr>
        <w:spacing w:after="120"/>
        <w:rPr>
          <w:szCs w:val="22"/>
        </w:rPr>
      </w:pPr>
      <w:r>
        <w:rPr>
          <w:szCs w:val="22"/>
        </w:rPr>
        <w:t>To see this using a toy modelling example, consider the case that the noise in the TOA estimate on DL (</w:t>
      </w:r>
      <m:oMath>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DL</m:t>
            </m:r>
          </m:sup>
        </m:sSubSup>
        <m:r>
          <w:rPr>
            <w:rFonts w:ascii="Cambria Math" w:hAnsi="Cambria Math"/>
            <w:szCs w:val="22"/>
          </w:rPr>
          <m:t>)</m:t>
        </m:r>
      </m:oMath>
      <w:r>
        <w:rPr>
          <w:szCs w:val="22"/>
        </w:rPr>
        <w:t xml:space="preserve"> and UL (</w:t>
      </w:r>
      <m:oMath>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oMath>
      <w:r>
        <w:rPr>
          <w:szCs w:val="22"/>
        </w:rPr>
        <w:t xml:space="preserve"> can be modelled as </w:t>
      </w:r>
      <w:proofErr w:type="spellStart"/>
      <w:r w:rsidR="00770354">
        <w:rPr>
          <w:szCs w:val="22"/>
        </w:rPr>
        <w:t>indepedent</w:t>
      </w:r>
      <w:proofErr w:type="spellEnd"/>
      <w:r>
        <w:rPr>
          <w:szCs w:val="22"/>
        </w:rPr>
        <w:t xml:space="preserve"> additive white </w:t>
      </w:r>
      <w:proofErr w:type="spellStart"/>
      <w:r>
        <w:rPr>
          <w:szCs w:val="22"/>
        </w:rPr>
        <w:t>Gausian</w:t>
      </w:r>
      <w:proofErr w:type="spellEnd"/>
      <w:r>
        <w:rPr>
          <w:szCs w:val="22"/>
        </w:rPr>
        <w:t xml:space="preserve"> noise</w:t>
      </w:r>
      <w:r w:rsidR="00770354">
        <w:rPr>
          <w:szCs w:val="22"/>
        </w:rPr>
        <w:t xml:space="preserve"> random variables</w:t>
      </w:r>
      <w:r>
        <w:rPr>
          <w:szCs w:val="22"/>
        </w:rPr>
        <w:t xml:space="preserve"> of variance of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oMath>
      <w:r>
        <w:rPr>
          <w:szCs w:val="22"/>
        </w:rPr>
        <w:t xml:space="preserve">and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oMath>
      <w:r>
        <w:rPr>
          <w:szCs w:val="22"/>
        </w:rPr>
        <w:t xml:space="preserve"> respectively, equal for all gNBs for simplicity, with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r>
          <w:rPr>
            <w:rFonts w:ascii="Cambria Math" w:hAnsi="Cambria Math"/>
            <w:szCs w:val="22"/>
          </w:rPr>
          <m:t>&lt;</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 xml:space="preserve"> </m:t>
        </m:r>
      </m:oMath>
      <w:r>
        <w:rPr>
          <w:szCs w:val="22"/>
        </w:rPr>
        <w:t>. Then, the variance noise of an element of the  UTDOA vector  (</w:t>
      </w:r>
      <m:oMath>
        <m:sSub>
          <m:sSubPr>
            <m:ctrlPr>
              <w:rPr>
                <w:rFonts w:ascii="Cambria Math" w:hAnsi="Cambria Math"/>
                <w:i/>
                <w:iCs/>
                <w:szCs w:val="22"/>
              </w:rPr>
            </m:ctrlPr>
          </m:sSubPr>
          <m:e>
            <m:r>
              <w:rPr>
                <w:rFonts w:ascii="Cambria Math" w:hAnsi="Cambria Math"/>
                <w:szCs w:val="22"/>
              </w:rPr>
              <m:t>τ</m:t>
            </m:r>
          </m:e>
          <m:sub>
            <m:r>
              <w:rPr>
                <w:rFonts w:ascii="Cambria Math" w:hAnsi="Cambria Math"/>
                <w:szCs w:val="22"/>
              </w:rPr>
              <m:t>i1,UTDOA</m:t>
            </m:r>
          </m:sub>
        </m:sSub>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1</m:t>
            </m:r>
          </m:sub>
          <m:sup>
            <m:r>
              <w:rPr>
                <w:rFonts w:ascii="Cambria Math" w:hAnsi="Cambria Math"/>
                <w:szCs w:val="22"/>
              </w:rPr>
              <m:t>UL</m:t>
            </m:r>
          </m:sup>
        </m:sSubSup>
      </m:oMath>
      <w:r>
        <w:rPr>
          <w:szCs w:val="22"/>
        </w:rPr>
        <w:t xml:space="preserve">) vector will be </w:t>
      </w:r>
      <m:oMath>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i1, UTDOA</m:t>
                </m:r>
              </m:sub>
              <m:sup>
                <m:r>
                  <w:rPr>
                    <w:rFonts w:ascii="Cambria Math" w:hAnsi="Cambria Math"/>
                    <w:szCs w:val="22"/>
                  </w:rPr>
                  <m:t>2</m:t>
                </m:r>
              </m:sup>
            </m:sSubSup>
          </m:e>
        </m:d>
        <m:r>
          <w:rPr>
            <w:rFonts w:ascii="Cambria Math" w:hAnsi="Cambria Math"/>
            <w:szCs w:val="22"/>
          </w:rPr>
          <m:t>=2</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 xml:space="preserve"> </m:t>
        </m:r>
      </m:oMath>
      <w:r>
        <w:rPr>
          <w:szCs w:val="22"/>
        </w:rPr>
        <w:t xml:space="preserve">, whereas an element of </w:t>
      </w:r>
      <w:r w:rsidR="00770354">
        <w:rPr>
          <w:szCs w:val="22"/>
        </w:rPr>
        <w:t>the</w:t>
      </w:r>
      <w:r>
        <w:rPr>
          <w:szCs w:val="22"/>
        </w:rPr>
        <w:t xml:space="preserve"> RTT </w:t>
      </w:r>
      <w:r w:rsidR="00770354">
        <w:rPr>
          <w:szCs w:val="22"/>
        </w:rPr>
        <w:t>vector</w:t>
      </w:r>
      <w:r>
        <w:rPr>
          <w:szCs w:val="22"/>
        </w:rPr>
        <w:t xml:space="preserve"> (</w:t>
      </w:r>
      <m:oMath>
        <m:sSub>
          <m:sSubPr>
            <m:ctrlPr>
              <w:rPr>
                <w:rFonts w:ascii="Cambria Math" w:hAnsi="Cambria Math"/>
                <w:i/>
                <w:iCs/>
                <w:szCs w:val="22"/>
              </w:rPr>
            </m:ctrlPr>
          </m:sSubPr>
          <m:e>
            <m:r>
              <w:rPr>
                <w:rFonts w:ascii="Cambria Math" w:hAnsi="Cambria Math"/>
                <w:szCs w:val="22"/>
              </w:rPr>
              <m:t>τ</m:t>
            </m:r>
          </m:e>
          <m:sub>
            <m:r>
              <w:rPr>
                <w:rFonts w:ascii="Cambria Math" w:hAnsi="Cambria Math"/>
                <w:szCs w:val="22"/>
              </w:rPr>
              <m:t>i,RTT</m:t>
            </m:r>
          </m:sub>
        </m:sSub>
        <m:r>
          <w:rPr>
            <w:rFonts w:ascii="Cambria Math" w:hAnsi="Cambria Math"/>
            <w:szCs w:val="22"/>
          </w:rPr>
          <m:t>=</m:t>
        </m:r>
        <m:d>
          <m:dPr>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DL</m:t>
                </m:r>
              </m:sup>
            </m:sSubSup>
          </m:e>
        </m:d>
        <m:r>
          <w:rPr>
            <w:rFonts w:ascii="Cambria Math" w:hAnsi="Cambria Math"/>
            <w:szCs w:val="22"/>
          </w:rPr>
          <m:t>/2</m:t>
        </m:r>
      </m:oMath>
      <w:r>
        <w:rPr>
          <w:iCs/>
          <w:szCs w:val="22"/>
        </w:rPr>
        <w:t>)</w:t>
      </w:r>
      <w:r w:rsidR="00770354">
        <w:rPr>
          <w:iCs/>
          <w:szCs w:val="22"/>
        </w:rPr>
        <w:t xml:space="preserve"> will have a variance of </w:t>
      </w:r>
      <m:oMath>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i,RTT</m:t>
                </m:r>
              </m:sub>
              <m:sup>
                <m:r>
                  <w:rPr>
                    <w:rFonts w:ascii="Cambria Math" w:hAnsi="Cambria Math"/>
                    <w:szCs w:val="22"/>
                  </w:rPr>
                  <m:t>2</m:t>
                </m:r>
              </m:sup>
            </m:sSubSup>
          </m:e>
        </m:d>
        <m:r>
          <w:rPr>
            <w:rFonts w:ascii="Cambria Math" w:hAnsi="Cambria Math"/>
            <w:szCs w:val="22"/>
          </w:rPr>
          <m:t>=</m:t>
        </m:r>
        <m:f>
          <m:fPr>
            <m:ctrlPr>
              <w:rPr>
                <w:rFonts w:ascii="Cambria Math" w:hAnsi="Cambria Math"/>
                <w:i/>
                <w:iCs/>
                <w:szCs w:val="22"/>
              </w:rPr>
            </m:ctrlPr>
          </m:fPr>
          <m:num>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num>
          <m:den>
            <m:r>
              <w:rPr>
                <w:rFonts w:ascii="Cambria Math" w:hAnsi="Cambria Math"/>
                <w:szCs w:val="22"/>
              </w:rPr>
              <m:t>4</m:t>
            </m:r>
          </m:den>
        </m:f>
        <m:r>
          <w:rPr>
            <w:rFonts w:ascii="Cambria Math" w:hAnsi="Cambria Math"/>
            <w:szCs w:val="22"/>
          </w:rPr>
          <m:t>&lt;</m:t>
        </m:r>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num>
          <m:den>
            <m:r>
              <w:rPr>
                <w:rFonts w:ascii="Cambria Math" w:hAnsi="Cambria Math"/>
                <w:szCs w:val="22"/>
              </w:rPr>
              <m:t>2</m:t>
            </m:r>
          </m:den>
        </m:f>
        <m:r>
          <w:rPr>
            <w:rFonts w:ascii="Cambria Math" w:hAnsi="Cambria Math"/>
            <w:szCs w:val="22"/>
          </w:rPr>
          <m:t>&lt;2</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i1, UTDOA</m:t>
                </m:r>
              </m:sub>
              <m:sup>
                <m:r>
                  <w:rPr>
                    <w:rFonts w:ascii="Cambria Math" w:hAnsi="Cambria Math"/>
                    <w:szCs w:val="22"/>
                  </w:rPr>
                  <m:t>2</m:t>
                </m:r>
              </m:sup>
            </m:sSubSup>
          </m:e>
        </m:d>
        <m:r>
          <w:rPr>
            <w:rFonts w:ascii="Cambria Math" w:hAnsi="Cambria Math"/>
            <w:szCs w:val="22"/>
          </w:rPr>
          <m:t xml:space="preserve"> </m:t>
        </m:r>
      </m:oMath>
    </w:p>
    <w:p w14:paraId="16AD850B" w14:textId="19187BDF" w:rsidR="00376930" w:rsidRDefault="00376930" w:rsidP="00376930">
      <w:pPr>
        <w:spacing w:after="120"/>
        <w:rPr>
          <w:szCs w:val="22"/>
        </w:rPr>
      </w:pPr>
      <w:r>
        <w:rPr>
          <w:szCs w:val="22"/>
        </w:rPr>
        <w:t xml:space="preserve">To validate the above arguments using numerical results, in </w:t>
      </w:r>
      <w:r w:rsidR="00212C4E">
        <w:fldChar w:fldCharType="begin"/>
      </w:r>
      <w:r w:rsidR="00212C4E">
        <w:instrText xml:space="preserve"> REF _Ref534790398 \h </w:instrText>
      </w:r>
      <w:r w:rsidR="00212C4E">
        <w:fldChar w:fldCharType="separate"/>
      </w:r>
      <w:r w:rsidR="00AE1FC7">
        <w:t xml:space="preserve">Figure </w:t>
      </w:r>
      <w:r w:rsidR="00212C4E">
        <w:fldChar w:fldCharType="end"/>
      </w:r>
      <w:r>
        <w:rPr>
          <w:szCs w:val="22"/>
        </w:rPr>
        <w:t xml:space="preserve">, we compare OTDOA, UTDOA and multi-RTT for cases of perfect synchronization and realistic synchronization following the RAN1 simulation assumptions agreements for </w:t>
      </w:r>
      <w:r w:rsidR="00460D0D">
        <w:rPr>
          <w:szCs w:val="22"/>
        </w:rPr>
        <w:t>UMI at 4 GHz carrier with 100 MHz BW, and UMI at 30 GHz carrier with 400 MHz BW for outdoor UEs</w:t>
      </w:r>
      <w:r>
        <w:rPr>
          <w:szCs w:val="22"/>
        </w:rPr>
        <w:t>.</w:t>
      </w:r>
    </w:p>
    <w:p w14:paraId="724B2EFB" w14:textId="6EC1A5AC" w:rsidR="00376930" w:rsidRDefault="000A15BF" w:rsidP="000A15BF">
      <w:pPr>
        <w:spacing w:after="120"/>
        <w:jc w:val="left"/>
        <w:rPr>
          <w:szCs w:val="22"/>
        </w:rPr>
      </w:pPr>
      <w:r>
        <w:rPr>
          <w:noProof/>
          <w:szCs w:val="22"/>
        </w:rPr>
        <w:lastRenderedPageBreak/>
        <w:drawing>
          <wp:inline distT="0" distB="0" distL="0" distR="0" wp14:anchorId="36AF5121" wp14:editId="2908A433">
            <wp:extent cx="3028315" cy="1597325"/>
            <wp:effectExtent l="0" t="0" r="635" b="3175"/>
            <wp:docPr id="5" name="Picture 5" descr="C:\Users\amanolak\Desktop\PentNew\DevKeepUpToDate\dev\PhyChannels\sub6\DL\NRS\SupportingFunctions\results_RAN1_AH_JanNew\Final\UMI30GHz400MHzOS2Tx_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DevKeepUpToDate\dev\PhyChannels\sub6\DL\NRS\SupportingFunctions\results_RAN1_AH_JanNew\Final\UMI30GHz400MHzOS2Tx_Fina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39507" cy="1603228"/>
                    </a:xfrm>
                    <a:prstGeom prst="rect">
                      <a:avLst/>
                    </a:prstGeom>
                    <a:noFill/>
                    <a:ln>
                      <a:noFill/>
                    </a:ln>
                  </pic:spPr>
                </pic:pic>
              </a:graphicData>
            </a:graphic>
          </wp:inline>
        </w:drawing>
      </w:r>
      <w:r>
        <w:rPr>
          <w:noProof/>
        </w:rPr>
        <w:drawing>
          <wp:inline distT="0" distB="0" distL="0" distR="0" wp14:anchorId="58F76169" wp14:editId="71EBEB85">
            <wp:extent cx="3087015" cy="1628287"/>
            <wp:effectExtent l="0" t="0" r="0" b="0"/>
            <wp:docPr id="1" name="Picture 1" descr="C:\Users\amanolak\Desktop\PentNew\DevKeepUpToDate\dev\PhyChannels\sub6\DL\NRS\SupportingFunctions\results_RAN1_AH_JanNew\Final\UMI4GHz100MHzOS1_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DevKeepUpToDate\dev\PhyChannels\sub6\DL\NRS\SupportingFunctions\results_RAN1_AH_JanNew\Final\UMI4GHz100MHzOS1_Final.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6359" cy="1633216"/>
                    </a:xfrm>
                    <a:prstGeom prst="rect">
                      <a:avLst/>
                    </a:prstGeom>
                    <a:noFill/>
                    <a:ln>
                      <a:noFill/>
                    </a:ln>
                  </pic:spPr>
                </pic:pic>
              </a:graphicData>
            </a:graphic>
          </wp:inline>
        </w:drawing>
      </w:r>
    </w:p>
    <w:p w14:paraId="79A3F4EF" w14:textId="3649484C" w:rsidR="00460D0D" w:rsidRPr="00437597" w:rsidRDefault="00212C4E" w:rsidP="00460D0D">
      <w:pPr>
        <w:spacing w:after="120"/>
        <w:jc w:val="center"/>
        <w:rPr>
          <w:b/>
          <w:sz w:val="18"/>
          <w:szCs w:val="22"/>
        </w:rPr>
      </w:pPr>
      <w:r w:rsidRPr="00212C4E">
        <w:rPr>
          <w:b/>
        </w:rPr>
        <w:fldChar w:fldCharType="begin"/>
      </w:r>
      <w:r w:rsidRPr="00212C4E">
        <w:rPr>
          <w:b/>
        </w:rPr>
        <w:instrText xml:space="preserve"> REF _Ref534790398 \h </w:instrText>
      </w:r>
      <w:r>
        <w:rPr>
          <w:b/>
        </w:rPr>
        <w:instrText xml:space="preserve"> \* MERGEFORMAT </w:instrText>
      </w:r>
      <w:r w:rsidRPr="00212C4E">
        <w:rPr>
          <w:b/>
        </w:rPr>
      </w:r>
      <w:r w:rsidRPr="00212C4E">
        <w:rPr>
          <w:b/>
        </w:rPr>
        <w:fldChar w:fldCharType="separate"/>
      </w:r>
      <w:r w:rsidR="00AE1FC7" w:rsidRPr="00AE1FC7">
        <w:rPr>
          <w:b/>
        </w:rPr>
        <w:t xml:space="preserve">Figure </w:t>
      </w:r>
      <w:r w:rsidRPr="00212C4E">
        <w:rPr>
          <w:b/>
        </w:rPr>
        <w:fldChar w:fldCharType="end"/>
      </w:r>
      <w:r w:rsidR="00460D0D" w:rsidRPr="00437597">
        <w:rPr>
          <w:b/>
          <w:sz w:val="18"/>
          <w:szCs w:val="22"/>
        </w:rPr>
        <w:t xml:space="preserve">: UMI 4 GHz, UMI 30 GHz, </w:t>
      </w:r>
      <w:r w:rsidR="00437597" w:rsidRPr="00437597">
        <w:rPr>
          <w:b/>
          <w:sz w:val="18"/>
          <w:szCs w:val="22"/>
        </w:rPr>
        <w:t>CDF of Horizontal Error for OTDOA, UTDOA and multi-RTT</w:t>
      </w:r>
      <w:r>
        <w:rPr>
          <w:b/>
          <w:sz w:val="18"/>
          <w:szCs w:val="22"/>
        </w:rPr>
        <w:t xml:space="preserve"> with perfect and realistic network synchronization. </w:t>
      </w:r>
    </w:p>
    <w:p w14:paraId="0EDFB2E2" w14:textId="0FB97F4F" w:rsidR="00437597" w:rsidRPr="00437597" w:rsidRDefault="00437597" w:rsidP="00437597">
      <w:pPr>
        <w:spacing w:after="120"/>
        <w:rPr>
          <w:szCs w:val="22"/>
        </w:rPr>
      </w:pPr>
      <w:r>
        <w:rPr>
          <w:szCs w:val="22"/>
        </w:rPr>
        <w:t xml:space="preserve">We observe that UTDOA is consistently performing worse than multi-RTT even with perfect synchronization. We also observe that multi-RTT performs better than OTDOA with realistic synchronization for up to 80% percentile for 4 GHz UMI &amp; UMA and up to 95% percentile for 30 GHz UMI. </w:t>
      </w:r>
    </w:p>
    <w:p w14:paraId="2897C4F7" w14:textId="1D1E1E46" w:rsidR="00EF2EA8" w:rsidRDefault="001849B5" w:rsidP="0054733C">
      <w:pPr>
        <w:spacing w:after="120"/>
        <w:rPr>
          <w:szCs w:val="22"/>
        </w:rPr>
      </w:pPr>
      <w:r>
        <w:rPr>
          <w:szCs w:val="22"/>
        </w:rPr>
        <w:t xml:space="preserve">UTDOA </w:t>
      </w:r>
      <w:r w:rsidR="00D13F0C">
        <w:rPr>
          <w:szCs w:val="22"/>
        </w:rPr>
        <w:t xml:space="preserve">positioning </w:t>
      </w:r>
      <w:r w:rsidR="00EF2EA8">
        <w:rPr>
          <w:szCs w:val="22"/>
        </w:rPr>
        <w:t xml:space="preserve">can </w:t>
      </w:r>
      <w:r>
        <w:rPr>
          <w:szCs w:val="22"/>
        </w:rPr>
        <w:t xml:space="preserve">in principle </w:t>
      </w:r>
      <w:r w:rsidR="00EF2EA8">
        <w:rPr>
          <w:szCs w:val="22"/>
        </w:rPr>
        <w:t xml:space="preserve">be considered as a special case of </w:t>
      </w:r>
      <w:r w:rsidR="00A12834">
        <w:rPr>
          <w:szCs w:val="22"/>
        </w:rPr>
        <w:t xml:space="preserve">the </w:t>
      </w:r>
      <w:r w:rsidR="00EF2EA8">
        <w:rPr>
          <w:szCs w:val="22"/>
        </w:rPr>
        <w:t xml:space="preserve">multi-RTT </w:t>
      </w:r>
      <w:r w:rsidR="00A12834">
        <w:rPr>
          <w:szCs w:val="22"/>
        </w:rPr>
        <w:t xml:space="preserve">method </w:t>
      </w:r>
      <w:r w:rsidR="006F0DA3">
        <w:rPr>
          <w:szCs w:val="22"/>
        </w:rPr>
        <w:t>when</w:t>
      </w:r>
      <w:r w:rsidR="00EF2EA8">
        <w:rPr>
          <w:szCs w:val="22"/>
        </w:rPr>
        <w:t xml:space="preserve"> any downlink measurements are omitted.</w:t>
      </w:r>
      <w:r>
        <w:rPr>
          <w:szCs w:val="22"/>
        </w:rPr>
        <w:t xml:space="preserve"> This is described in greater detail in [14] where positioning procedures for combined UL and DL positioning methods are proposed</w:t>
      </w:r>
      <w:r w:rsidR="00B77082">
        <w:rPr>
          <w:szCs w:val="22"/>
        </w:rPr>
        <w:t xml:space="preserve"> (for both, UE-assisted and UE-based variants)</w:t>
      </w:r>
      <w:r>
        <w:rPr>
          <w:szCs w:val="22"/>
        </w:rPr>
        <w:t xml:space="preserve">. The only additional specification which may be required for UTDOA are the </w:t>
      </w:r>
      <w:proofErr w:type="spellStart"/>
      <w:r>
        <w:rPr>
          <w:szCs w:val="22"/>
        </w:rPr>
        <w:t>gNB</w:t>
      </w:r>
      <w:proofErr w:type="spellEnd"/>
      <w:r>
        <w:rPr>
          <w:szCs w:val="22"/>
        </w:rPr>
        <w:t xml:space="preserve"> measurements; e.g., UL-TOA measurement for UTDOA versus Rx-Tx Time Difference for multi-RTT</w:t>
      </w:r>
      <w:r w:rsidR="00B77082">
        <w:rPr>
          <w:szCs w:val="22"/>
        </w:rPr>
        <w:t xml:space="preserve"> [13]</w:t>
      </w:r>
      <w:r>
        <w:rPr>
          <w:szCs w:val="22"/>
        </w:rPr>
        <w:t xml:space="preserve">. </w:t>
      </w:r>
      <w:r w:rsidR="00267E2A">
        <w:rPr>
          <w:szCs w:val="22"/>
        </w:rPr>
        <w:t xml:space="preserve"> </w:t>
      </w:r>
      <w:r w:rsidR="00EF2EA8">
        <w:rPr>
          <w:szCs w:val="22"/>
        </w:rPr>
        <w:t xml:space="preserve"> </w:t>
      </w:r>
    </w:p>
    <w:p w14:paraId="3AC64197" w14:textId="5CD9631F" w:rsidR="00C64FA0" w:rsidRPr="000B54DC" w:rsidRDefault="001C1C1B" w:rsidP="001C1C1B">
      <w:pPr>
        <w:pStyle w:val="Caption"/>
        <w:jc w:val="left"/>
        <w:rPr>
          <w:sz w:val="20"/>
          <w:szCs w:val="20"/>
        </w:rPr>
      </w:pPr>
      <w:bookmarkStart w:id="7" w:name="_Ref1135121"/>
      <w:bookmarkStart w:id="8" w:name="_Hlk534967708"/>
      <w:r w:rsidRPr="000B54DC">
        <w:rPr>
          <w:sz w:val="20"/>
          <w:szCs w:val="20"/>
        </w:rPr>
        <w:t xml:space="preserve">Observation </w:t>
      </w:r>
      <w:r w:rsidRPr="000B54DC">
        <w:rPr>
          <w:sz w:val="20"/>
          <w:szCs w:val="20"/>
        </w:rPr>
        <w:fldChar w:fldCharType="begin"/>
      </w:r>
      <w:r w:rsidRPr="000B54DC">
        <w:rPr>
          <w:sz w:val="20"/>
          <w:szCs w:val="20"/>
        </w:rPr>
        <w:instrText xml:space="preserve"> SEQ Observation \* ARABIC </w:instrText>
      </w:r>
      <w:r w:rsidRPr="000B54DC">
        <w:rPr>
          <w:sz w:val="20"/>
          <w:szCs w:val="20"/>
        </w:rPr>
        <w:fldChar w:fldCharType="separate"/>
      </w:r>
      <w:r w:rsidR="00AE1FC7">
        <w:rPr>
          <w:noProof/>
          <w:sz w:val="20"/>
          <w:szCs w:val="20"/>
        </w:rPr>
        <w:t>4</w:t>
      </w:r>
      <w:r w:rsidRPr="000B54DC">
        <w:rPr>
          <w:sz w:val="20"/>
          <w:szCs w:val="20"/>
        </w:rPr>
        <w:fldChar w:fldCharType="end"/>
      </w:r>
      <w:r w:rsidRPr="000B54DC">
        <w:rPr>
          <w:sz w:val="20"/>
          <w:szCs w:val="20"/>
        </w:rPr>
        <w:t>:</w:t>
      </w:r>
      <w:r>
        <w:tab/>
      </w:r>
      <w:r w:rsidR="00C64FA0" w:rsidRPr="000B54DC">
        <w:rPr>
          <w:sz w:val="20"/>
          <w:szCs w:val="20"/>
        </w:rPr>
        <w:t>Both UTDOA &amp; OTDOA require network synchronization, while multi-RTT does not have this requirement. If the network is</w:t>
      </w:r>
      <w:r w:rsidR="009138A5" w:rsidRPr="000B54DC">
        <w:rPr>
          <w:sz w:val="20"/>
          <w:szCs w:val="20"/>
        </w:rPr>
        <w:t xml:space="preserve"> tightly</w:t>
      </w:r>
      <w:r w:rsidR="00C64FA0" w:rsidRPr="000B54DC">
        <w:rPr>
          <w:sz w:val="20"/>
          <w:szCs w:val="20"/>
        </w:rPr>
        <w:t xml:space="preserve"> synchronized</w:t>
      </w:r>
      <w:r w:rsidR="009138A5" w:rsidRPr="000B54DC">
        <w:rPr>
          <w:sz w:val="20"/>
          <w:szCs w:val="20"/>
        </w:rPr>
        <w:t>,</w:t>
      </w:r>
      <w:r w:rsidR="00C64FA0" w:rsidRPr="000B54DC">
        <w:rPr>
          <w:sz w:val="20"/>
          <w:szCs w:val="20"/>
        </w:rPr>
        <w:t xml:space="preserve"> us</w:t>
      </w:r>
      <w:r w:rsidR="009138A5" w:rsidRPr="000B54DC">
        <w:rPr>
          <w:sz w:val="20"/>
          <w:szCs w:val="20"/>
        </w:rPr>
        <w:t>ing</w:t>
      </w:r>
      <w:r w:rsidR="00C64FA0" w:rsidRPr="000B54DC">
        <w:rPr>
          <w:sz w:val="20"/>
          <w:szCs w:val="20"/>
        </w:rPr>
        <w:t xml:space="preserve"> OTDOA</w:t>
      </w:r>
      <w:r w:rsidR="009138A5" w:rsidRPr="000B54DC">
        <w:rPr>
          <w:sz w:val="20"/>
          <w:szCs w:val="20"/>
        </w:rPr>
        <w:t xml:space="preserve"> would result </w:t>
      </w:r>
      <w:r w:rsidR="009D03CE" w:rsidRPr="000B54DC">
        <w:rPr>
          <w:sz w:val="20"/>
          <w:szCs w:val="20"/>
        </w:rPr>
        <w:t>in</w:t>
      </w:r>
      <w:r w:rsidR="009138A5" w:rsidRPr="000B54DC">
        <w:rPr>
          <w:sz w:val="20"/>
          <w:szCs w:val="20"/>
        </w:rPr>
        <w:t xml:space="preserve"> better performance compared to UTDOA</w:t>
      </w:r>
      <w:r w:rsidR="00C64FA0" w:rsidRPr="000B54DC">
        <w:rPr>
          <w:sz w:val="20"/>
          <w:szCs w:val="20"/>
        </w:rPr>
        <w:t>, otherwise</w:t>
      </w:r>
      <w:r w:rsidR="009B394F" w:rsidRPr="000B54DC">
        <w:rPr>
          <w:sz w:val="20"/>
          <w:szCs w:val="20"/>
        </w:rPr>
        <w:t xml:space="preserve"> if the network is only loosely synchronized,</w:t>
      </w:r>
      <w:r w:rsidR="009138A5" w:rsidRPr="000B54DC">
        <w:rPr>
          <w:sz w:val="20"/>
          <w:szCs w:val="20"/>
        </w:rPr>
        <w:t xml:space="preserve"> using</w:t>
      </w:r>
      <w:r w:rsidR="00C64FA0" w:rsidRPr="000B54DC">
        <w:rPr>
          <w:sz w:val="20"/>
          <w:szCs w:val="20"/>
        </w:rPr>
        <w:t xml:space="preserve"> multi-RTT </w:t>
      </w:r>
      <w:r w:rsidR="009138A5" w:rsidRPr="000B54DC">
        <w:rPr>
          <w:sz w:val="20"/>
          <w:szCs w:val="20"/>
        </w:rPr>
        <w:t xml:space="preserve">would again result </w:t>
      </w:r>
      <w:r w:rsidR="009D03CE" w:rsidRPr="000B54DC">
        <w:rPr>
          <w:sz w:val="20"/>
          <w:szCs w:val="20"/>
        </w:rPr>
        <w:t>in</w:t>
      </w:r>
      <w:r w:rsidR="009138A5" w:rsidRPr="000B54DC">
        <w:rPr>
          <w:sz w:val="20"/>
          <w:szCs w:val="20"/>
        </w:rPr>
        <w:t xml:space="preserve"> </w:t>
      </w:r>
      <w:r w:rsidR="009B394F" w:rsidRPr="000B54DC">
        <w:rPr>
          <w:sz w:val="20"/>
          <w:szCs w:val="20"/>
        </w:rPr>
        <w:t>better performance than</w:t>
      </w:r>
      <w:r w:rsidR="00C64FA0" w:rsidRPr="000B54DC">
        <w:rPr>
          <w:sz w:val="20"/>
          <w:szCs w:val="20"/>
        </w:rPr>
        <w:t xml:space="preserve"> UTDOA.</w:t>
      </w:r>
      <w:bookmarkEnd w:id="7"/>
    </w:p>
    <w:p w14:paraId="1C05DEA3" w14:textId="64A0ECD1" w:rsidR="001849B5" w:rsidRPr="000B54DC" w:rsidRDefault="000B54DC" w:rsidP="000B54DC">
      <w:pPr>
        <w:pStyle w:val="Caption"/>
        <w:jc w:val="left"/>
        <w:rPr>
          <w:sz w:val="20"/>
          <w:szCs w:val="20"/>
        </w:rPr>
      </w:pPr>
      <w:bookmarkStart w:id="9" w:name="_Ref1135125"/>
      <w:r w:rsidRPr="000B54DC">
        <w:rPr>
          <w:sz w:val="20"/>
          <w:szCs w:val="20"/>
        </w:rPr>
        <w:t xml:space="preserve">Observation </w:t>
      </w:r>
      <w:r w:rsidRPr="000B54DC">
        <w:rPr>
          <w:sz w:val="20"/>
          <w:szCs w:val="20"/>
        </w:rPr>
        <w:fldChar w:fldCharType="begin"/>
      </w:r>
      <w:r w:rsidRPr="000B54DC">
        <w:rPr>
          <w:sz w:val="20"/>
          <w:szCs w:val="20"/>
        </w:rPr>
        <w:instrText xml:space="preserve"> SEQ Observation \* ARABIC </w:instrText>
      </w:r>
      <w:r w:rsidRPr="000B54DC">
        <w:rPr>
          <w:sz w:val="20"/>
          <w:szCs w:val="20"/>
        </w:rPr>
        <w:fldChar w:fldCharType="separate"/>
      </w:r>
      <w:r w:rsidR="00AE1FC7">
        <w:rPr>
          <w:noProof/>
          <w:sz w:val="20"/>
          <w:szCs w:val="20"/>
        </w:rPr>
        <w:t>5</w:t>
      </w:r>
      <w:r w:rsidRPr="000B54DC">
        <w:rPr>
          <w:sz w:val="20"/>
          <w:szCs w:val="20"/>
        </w:rPr>
        <w:fldChar w:fldCharType="end"/>
      </w:r>
      <w:r w:rsidRPr="000B54DC">
        <w:rPr>
          <w:sz w:val="20"/>
          <w:szCs w:val="20"/>
        </w:rPr>
        <w:t>:</w:t>
      </w:r>
      <w:r w:rsidRPr="000B54DC">
        <w:rPr>
          <w:sz w:val="20"/>
          <w:szCs w:val="20"/>
        </w:rPr>
        <w:tab/>
      </w:r>
      <w:r w:rsidR="001849B5" w:rsidRPr="000B54DC">
        <w:rPr>
          <w:sz w:val="20"/>
          <w:szCs w:val="20"/>
        </w:rPr>
        <w:t>UTDOA positioning</w:t>
      </w:r>
      <w:r w:rsidR="00B77082" w:rsidRPr="000B54DC">
        <w:rPr>
          <w:sz w:val="20"/>
          <w:szCs w:val="20"/>
        </w:rPr>
        <w:t xml:space="preserve"> </w:t>
      </w:r>
      <w:r w:rsidR="001849B5" w:rsidRPr="000B54DC">
        <w:rPr>
          <w:sz w:val="20"/>
          <w:szCs w:val="20"/>
        </w:rPr>
        <w:t>can be considered as a special case of multi-RTT positioning.</w:t>
      </w:r>
      <w:bookmarkEnd w:id="9"/>
    </w:p>
    <w:bookmarkEnd w:id="8"/>
    <w:p w14:paraId="74C7CFCC" w14:textId="0BDC6B17" w:rsidR="00550F97" w:rsidRPr="00C64FA0" w:rsidRDefault="00C27461" w:rsidP="00865A76">
      <w:pPr>
        <w:pStyle w:val="Heading2"/>
        <w:numPr>
          <w:ilvl w:val="0"/>
          <w:numId w:val="0"/>
        </w:numPr>
        <w:ind w:left="576" w:hanging="576"/>
        <w:rPr>
          <w:sz w:val="24"/>
        </w:rPr>
      </w:pPr>
      <w:r>
        <w:rPr>
          <w:sz w:val="24"/>
        </w:rPr>
        <w:t>2.2</w:t>
      </w:r>
      <w:r>
        <w:rPr>
          <w:sz w:val="24"/>
        </w:rPr>
        <w:tab/>
        <w:t xml:space="preserve">UL Angle of Arrival </w:t>
      </w:r>
    </w:p>
    <w:p w14:paraId="53B57946" w14:textId="64024E3E" w:rsidR="003645A5" w:rsidRDefault="00991BE6" w:rsidP="002F3C22">
      <w:pPr>
        <w:spacing w:after="120"/>
      </w:pPr>
      <w:r>
        <w:t xml:space="preserve">Serving and </w:t>
      </w:r>
      <w:proofErr w:type="spellStart"/>
      <w:r>
        <w:t>neighbor</w:t>
      </w:r>
      <w:proofErr w:type="spellEnd"/>
      <w:r w:rsidR="0026399A">
        <w:t xml:space="preserve"> </w:t>
      </w:r>
      <w:proofErr w:type="spellStart"/>
      <w:r w:rsidR="0026399A">
        <w:t>gNB</w:t>
      </w:r>
      <w:r w:rsidR="005D28B0">
        <w:t>s</w:t>
      </w:r>
      <w:proofErr w:type="spellEnd"/>
      <w:r w:rsidR="0026399A">
        <w:t xml:space="preserve"> can measure </w:t>
      </w:r>
      <w:proofErr w:type="spellStart"/>
      <w:r w:rsidR="0026399A">
        <w:t>AoA</w:t>
      </w:r>
      <w:r>
        <w:t>s</w:t>
      </w:r>
      <w:proofErr w:type="spellEnd"/>
      <w:r w:rsidR="0026399A">
        <w:t xml:space="preserve"> </w:t>
      </w:r>
      <w:r w:rsidR="007157DC">
        <w:t>based on UE’s uplink transmissions. This is</w:t>
      </w:r>
      <w:r w:rsidR="005D28B0">
        <w:t xml:space="preserve"> in principle</w:t>
      </w:r>
      <w:r w:rsidR="007157DC">
        <w:t xml:space="preserve"> already supported in LTE, </w:t>
      </w:r>
      <w:r w:rsidR="005D28B0">
        <w:t>but for the primary cell only [15]. T</w:t>
      </w:r>
      <w:r w:rsidR="00AD4ACB">
        <w:t xml:space="preserve">he </w:t>
      </w:r>
      <w:proofErr w:type="spellStart"/>
      <w:r w:rsidR="005D28B0">
        <w:t>e</w:t>
      </w:r>
      <w:r w:rsidR="00AD4ACB">
        <w:t>NB</w:t>
      </w:r>
      <w:proofErr w:type="spellEnd"/>
      <w:r w:rsidR="00AD4ACB">
        <w:t xml:space="preserve"> </w:t>
      </w:r>
      <w:proofErr w:type="spellStart"/>
      <w:r w:rsidR="009D03CE">
        <w:t>AoA</w:t>
      </w:r>
      <w:proofErr w:type="spellEnd"/>
      <w:r w:rsidR="009D03CE">
        <w:t xml:space="preserve"> </w:t>
      </w:r>
      <w:r w:rsidR="00AD4ACB">
        <w:t xml:space="preserve">measurement </w:t>
      </w:r>
      <w:r w:rsidR="005D28B0">
        <w:t>as</w:t>
      </w:r>
      <w:r w:rsidR="00AD4ACB">
        <w:t xml:space="preserve"> defined in </w:t>
      </w:r>
      <w:r w:rsidR="00FB327D">
        <w:t xml:space="preserve">TS36.214 can be reported </w:t>
      </w:r>
      <w:r w:rsidR="005D28B0">
        <w:t>from</w:t>
      </w:r>
      <w:r w:rsidR="00550F97">
        <w:t xml:space="preserve"> </w:t>
      </w:r>
      <w:r w:rsidR="005D28B0">
        <w:t>the</w:t>
      </w:r>
      <w:r w:rsidR="00FB327D">
        <w:t xml:space="preserve"> </w:t>
      </w:r>
      <w:proofErr w:type="spellStart"/>
      <w:r w:rsidR="005D28B0">
        <w:t>e</w:t>
      </w:r>
      <w:r w:rsidR="00FB327D">
        <w:t>NB</w:t>
      </w:r>
      <w:proofErr w:type="spellEnd"/>
      <w:r w:rsidR="00FB327D">
        <w:t xml:space="preserve"> to </w:t>
      </w:r>
      <w:r w:rsidR="005D28B0">
        <w:t>an E-</w:t>
      </w:r>
      <w:r w:rsidR="00FB327D">
        <w:t xml:space="preserve">SMLC </w:t>
      </w:r>
      <w:r w:rsidR="005D28B0">
        <w:t>using</w:t>
      </w:r>
      <w:r w:rsidR="00FB327D">
        <w:t xml:space="preserve"> </w:t>
      </w:r>
      <w:proofErr w:type="spellStart"/>
      <w:r w:rsidR="00FB327D">
        <w:t>LPPa</w:t>
      </w:r>
      <w:proofErr w:type="spellEnd"/>
      <w:r w:rsidR="005D28B0">
        <w:t xml:space="preserve"> [16]</w:t>
      </w:r>
      <w:r w:rsidR="00FB327D">
        <w:t>. P</w:t>
      </w:r>
      <w:r w:rsidR="00C41F1F">
        <w:t>ossible extension</w:t>
      </w:r>
      <w:r w:rsidR="00FB327D">
        <w:t xml:space="preserve">s </w:t>
      </w:r>
      <w:r w:rsidR="005D28B0">
        <w:t xml:space="preserve">for NR </w:t>
      </w:r>
      <w:r w:rsidR="00550F97">
        <w:t>include</w:t>
      </w:r>
      <w:r w:rsidR="00C41F1F">
        <w:t xml:space="preserve"> allow</w:t>
      </w:r>
      <w:r w:rsidR="00550F97">
        <w:t>ing</w:t>
      </w:r>
      <w:r w:rsidR="00C41F1F">
        <w:t xml:space="preserve"> </w:t>
      </w:r>
      <w:proofErr w:type="spellStart"/>
      <w:r w:rsidR="00C41F1F">
        <w:t>AoA</w:t>
      </w:r>
      <w:proofErr w:type="spellEnd"/>
      <w:r w:rsidR="00550F97">
        <w:t xml:space="preserve"> </w:t>
      </w:r>
      <w:r w:rsidR="005D28B0">
        <w:t xml:space="preserve">measurements for serving and neighbour </w:t>
      </w:r>
      <w:proofErr w:type="spellStart"/>
      <w:r w:rsidR="005D28B0">
        <w:t>gNBs</w:t>
      </w:r>
      <w:proofErr w:type="spellEnd"/>
      <w:r w:rsidR="005D28B0">
        <w:t>,</w:t>
      </w:r>
      <w:r w:rsidR="00C41F1F">
        <w:t xml:space="preserve"> </w:t>
      </w:r>
      <w:r w:rsidR="00550F97">
        <w:t>measurements</w:t>
      </w:r>
      <w:r w:rsidR="00C41F1F">
        <w:t xml:space="preserve"> on a per-beam basis</w:t>
      </w:r>
      <w:r w:rsidR="00FB327D">
        <w:t xml:space="preserve">, </w:t>
      </w:r>
      <w:r w:rsidR="00550F97">
        <w:t>or</w:t>
      </w:r>
      <w:r w:rsidR="00FB327D">
        <w:t xml:space="preserve"> </w:t>
      </w:r>
      <w:proofErr w:type="spellStart"/>
      <w:r w:rsidR="00550F97">
        <w:t>meaurements</w:t>
      </w:r>
      <w:proofErr w:type="spellEnd"/>
      <w:r w:rsidR="00550F97">
        <w:t xml:space="preserve"> for</w:t>
      </w:r>
      <w:r w:rsidR="00FB327D">
        <w:t xml:space="preserve"> both</w:t>
      </w:r>
      <w:r w:rsidR="00550F97">
        <w:t>,</w:t>
      </w:r>
      <w:r w:rsidR="00FB327D">
        <w:t xml:space="preserve"> azimuth and elevation of arrival to </w:t>
      </w:r>
      <w:r w:rsidR="00550F97">
        <w:t xml:space="preserve">e.g., </w:t>
      </w:r>
      <w:r w:rsidR="001E5B56">
        <w:t>facilitate</w:t>
      </w:r>
      <w:r w:rsidR="00FB327D">
        <w:t xml:space="preserve"> vertical positioning</w:t>
      </w:r>
      <w:r w:rsidR="005D28B0">
        <w:t>.</w:t>
      </w:r>
    </w:p>
    <w:p w14:paraId="40291BEE" w14:textId="111473EF" w:rsidR="00550F97" w:rsidRDefault="009D03CE" w:rsidP="00550F97">
      <w:pPr>
        <w:spacing w:after="120"/>
        <w:rPr>
          <w:rFonts w:ascii="Times" w:hAnsi="Times" w:cs="Times"/>
          <w:b/>
          <w:i/>
        </w:rPr>
      </w:pPr>
      <w:proofErr w:type="gramStart"/>
      <w:r>
        <w:t>Similar to</w:t>
      </w:r>
      <w:proofErr w:type="gramEnd"/>
      <w:r>
        <w:t xml:space="preserve"> UTDOA positioning </w:t>
      </w:r>
      <w:r w:rsidR="005D28B0">
        <w:t xml:space="preserve">mentioned in section 2.1 </w:t>
      </w:r>
      <w:r w:rsidR="00550F97">
        <w:t>above</w:t>
      </w:r>
      <w:r w:rsidR="005D28B0">
        <w:t xml:space="preserve">, UL </w:t>
      </w:r>
      <w:proofErr w:type="spellStart"/>
      <w:r w:rsidR="005D28B0">
        <w:t>AoA</w:t>
      </w:r>
      <w:proofErr w:type="spellEnd"/>
      <w:r w:rsidR="005D28B0">
        <w:t xml:space="preserve"> positioning would not require additional positioning procedures compared to multi-RTT. I.e., if multi-RTT positioning </w:t>
      </w:r>
      <w:r w:rsidR="00145174">
        <w:t xml:space="preserve">method </w:t>
      </w:r>
      <w:r w:rsidR="005D28B0">
        <w:t xml:space="preserve">is supported, UL </w:t>
      </w:r>
      <w:proofErr w:type="spellStart"/>
      <w:r w:rsidR="005D28B0">
        <w:t>AoA</w:t>
      </w:r>
      <w:proofErr w:type="spellEnd"/>
      <w:r w:rsidR="005D28B0">
        <w:t xml:space="preserve"> positioning for multiple cells could also be suppor</w:t>
      </w:r>
      <w:r>
        <w:t xml:space="preserve">ted by introducing additional </w:t>
      </w:r>
      <w:proofErr w:type="spellStart"/>
      <w:r>
        <w:t>gNB</w:t>
      </w:r>
      <w:proofErr w:type="spellEnd"/>
      <w:r w:rsidR="005D28B0">
        <w:t xml:space="preserve"> measurements (e.g.,</w:t>
      </w:r>
      <w:r w:rsidR="00550F97">
        <w:t xml:space="preserve"> </w:t>
      </w:r>
      <w:r w:rsidR="005D28B0">
        <w:t xml:space="preserve">an UL </w:t>
      </w:r>
      <w:proofErr w:type="spellStart"/>
      <w:r w:rsidR="005D28B0">
        <w:t>AoA</w:t>
      </w:r>
      <w:proofErr w:type="spellEnd"/>
      <w:r w:rsidR="005D28B0">
        <w:t xml:space="preserve"> measurement for NR).</w:t>
      </w:r>
      <w:r w:rsidR="00550F97" w:rsidDel="00550F97">
        <w:t xml:space="preserve"> </w:t>
      </w:r>
      <w:r>
        <w:t xml:space="preserve">The </w:t>
      </w:r>
      <w:proofErr w:type="spellStart"/>
      <w:r w:rsidR="00F93A4D" w:rsidRPr="00550F97">
        <w:rPr>
          <w:rFonts w:eastAsia="Times New Roman"/>
          <w:bCs/>
          <w:lang w:val="en-US"/>
        </w:rPr>
        <w:t>AoA</w:t>
      </w:r>
      <w:proofErr w:type="spellEnd"/>
      <w:r w:rsidR="00F93A4D" w:rsidRPr="00550F97">
        <w:rPr>
          <w:rFonts w:eastAsia="Times New Roman"/>
          <w:bCs/>
          <w:lang w:val="en-US"/>
        </w:rPr>
        <w:t xml:space="preserve"> me</w:t>
      </w:r>
      <w:r w:rsidR="007157DC" w:rsidRPr="00550F97">
        <w:rPr>
          <w:rFonts w:eastAsia="Times New Roman"/>
          <w:bCs/>
          <w:lang w:val="en-US"/>
        </w:rPr>
        <w:t>asurem</w:t>
      </w:r>
      <w:r w:rsidR="00F93A4D" w:rsidRPr="00550F97">
        <w:rPr>
          <w:rFonts w:eastAsia="Times New Roman"/>
          <w:bCs/>
          <w:lang w:val="en-US"/>
        </w:rPr>
        <w:t>ent</w:t>
      </w:r>
      <w:r w:rsidR="007157DC" w:rsidRPr="00550F97">
        <w:rPr>
          <w:rFonts w:eastAsia="Times New Roman"/>
          <w:bCs/>
          <w:lang w:val="en-US"/>
        </w:rPr>
        <w:t xml:space="preserve"> defined in </w:t>
      </w:r>
      <w:r w:rsidR="00F93A4D" w:rsidRPr="00550F97">
        <w:rPr>
          <w:rFonts w:eastAsia="Times New Roman"/>
          <w:bCs/>
          <w:lang w:val="en-US"/>
        </w:rPr>
        <w:t>TS36.214</w:t>
      </w:r>
      <w:r w:rsidR="007157DC" w:rsidRPr="00550F97">
        <w:rPr>
          <w:rFonts w:eastAsia="Times New Roman"/>
          <w:bCs/>
          <w:lang w:val="en-US"/>
        </w:rPr>
        <w:t xml:space="preserve"> can be used as a starting point</w:t>
      </w:r>
      <w:r w:rsidR="00F93A4D" w:rsidRPr="00550F97">
        <w:rPr>
          <w:rFonts w:eastAsia="Times New Roman"/>
          <w:bCs/>
          <w:lang w:val="en-US"/>
        </w:rPr>
        <w:t>.</w:t>
      </w:r>
      <w:r w:rsidR="006701A3" w:rsidRPr="00550F97">
        <w:rPr>
          <w:rFonts w:eastAsia="Times New Roman"/>
          <w:bCs/>
          <w:lang w:val="en-US"/>
        </w:rPr>
        <w:t xml:space="preserve"> </w:t>
      </w:r>
    </w:p>
    <w:p w14:paraId="0F519865" w14:textId="2895CDD3" w:rsidR="006701A3" w:rsidRPr="000B54DC" w:rsidRDefault="000B54DC" w:rsidP="000B54DC">
      <w:pPr>
        <w:pStyle w:val="Caption"/>
        <w:jc w:val="left"/>
        <w:rPr>
          <w:rFonts w:eastAsia="Times New Roman"/>
          <w:bCs w:val="0"/>
          <w:sz w:val="20"/>
          <w:szCs w:val="20"/>
          <w:lang w:val="en-US"/>
        </w:rPr>
      </w:pPr>
      <w:bookmarkStart w:id="10" w:name="_Ref1135129"/>
      <w:r w:rsidRPr="000B54DC">
        <w:rPr>
          <w:sz w:val="20"/>
          <w:szCs w:val="20"/>
        </w:rPr>
        <w:t xml:space="preserve">Observation </w:t>
      </w:r>
      <w:r w:rsidRPr="000B54DC">
        <w:rPr>
          <w:sz w:val="20"/>
          <w:szCs w:val="20"/>
        </w:rPr>
        <w:fldChar w:fldCharType="begin"/>
      </w:r>
      <w:r w:rsidRPr="000B54DC">
        <w:rPr>
          <w:sz w:val="20"/>
          <w:szCs w:val="20"/>
        </w:rPr>
        <w:instrText xml:space="preserve"> SEQ Observation \* ARABIC </w:instrText>
      </w:r>
      <w:r w:rsidRPr="000B54DC">
        <w:rPr>
          <w:sz w:val="20"/>
          <w:szCs w:val="20"/>
        </w:rPr>
        <w:fldChar w:fldCharType="separate"/>
      </w:r>
      <w:r w:rsidR="00AE1FC7">
        <w:rPr>
          <w:noProof/>
          <w:sz w:val="20"/>
          <w:szCs w:val="20"/>
        </w:rPr>
        <w:t>6</w:t>
      </w:r>
      <w:r w:rsidRPr="000B54DC">
        <w:rPr>
          <w:sz w:val="20"/>
          <w:szCs w:val="20"/>
        </w:rPr>
        <w:fldChar w:fldCharType="end"/>
      </w:r>
      <w:r w:rsidRPr="000B54DC">
        <w:rPr>
          <w:sz w:val="20"/>
          <w:szCs w:val="20"/>
        </w:rPr>
        <w:t>:</w:t>
      </w:r>
      <w:r w:rsidRPr="000B54DC">
        <w:rPr>
          <w:sz w:val="20"/>
          <w:szCs w:val="20"/>
        </w:rPr>
        <w:tab/>
      </w:r>
      <w:r w:rsidR="001D3EEA" w:rsidRPr="000B54DC">
        <w:rPr>
          <w:rFonts w:eastAsia="Times New Roman"/>
          <w:bCs w:val="0"/>
          <w:sz w:val="20"/>
          <w:szCs w:val="20"/>
          <w:lang w:val="en-US"/>
        </w:rPr>
        <w:t xml:space="preserve">Uplink </w:t>
      </w:r>
      <w:proofErr w:type="spellStart"/>
      <w:r w:rsidR="001D3EEA" w:rsidRPr="000B54DC">
        <w:rPr>
          <w:rFonts w:eastAsia="Times New Roman"/>
          <w:bCs w:val="0"/>
          <w:sz w:val="20"/>
          <w:szCs w:val="20"/>
          <w:lang w:val="en-US"/>
        </w:rPr>
        <w:t>AoA</w:t>
      </w:r>
      <w:proofErr w:type="spellEnd"/>
      <w:r w:rsidR="001D3EEA" w:rsidRPr="000B54DC">
        <w:rPr>
          <w:rFonts w:eastAsia="Times New Roman"/>
          <w:bCs w:val="0"/>
          <w:sz w:val="20"/>
          <w:szCs w:val="20"/>
          <w:lang w:val="en-US"/>
        </w:rPr>
        <w:t xml:space="preserve"> positioning can be considered inside the procedural framework available for multi-RTT positioning.</w:t>
      </w:r>
      <w:bookmarkEnd w:id="10"/>
    </w:p>
    <w:p w14:paraId="27B0B6FA" w14:textId="2FA99161" w:rsidR="003645A5" w:rsidRPr="003645A5" w:rsidRDefault="006701A3"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w:hAnsi="Times" w:cs="Times"/>
        </w:rPr>
      </w:pPr>
      <w:r>
        <w:rPr>
          <w:rFonts w:ascii="Times" w:hAnsi="Times" w:cs="Times"/>
        </w:rPr>
        <w:t>U</w:t>
      </w:r>
      <w:r w:rsidR="003645A5" w:rsidRPr="003645A5">
        <w:rPr>
          <w:rFonts w:ascii="Times" w:hAnsi="Times" w:cs="Times"/>
        </w:rPr>
        <w:t>L PRS structure</w:t>
      </w:r>
    </w:p>
    <w:p w14:paraId="5438A9CB" w14:textId="77777777" w:rsidR="003645A5" w:rsidRDefault="003645A5" w:rsidP="003645A5">
      <w:r>
        <w:t>We present some key impact indicators and study their impact on some potential design choice for reference signals.</w:t>
      </w:r>
    </w:p>
    <w:p w14:paraId="57CC8951" w14:textId="35D0A4E3" w:rsidR="00E66724" w:rsidRPr="00E66724" w:rsidRDefault="003645A5" w:rsidP="00C564E0">
      <w:pPr>
        <w:pStyle w:val="Heading3"/>
        <w:numPr>
          <w:ilvl w:val="1"/>
          <w:numId w:val="12"/>
        </w:numPr>
        <w:overflowPunct w:val="0"/>
        <w:autoSpaceDE w:val="0"/>
        <w:autoSpaceDN w:val="0"/>
        <w:adjustRightInd w:val="0"/>
        <w:rPr>
          <w:rFonts w:eastAsia="SimSun"/>
        </w:rPr>
      </w:pPr>
      <w:r>
        <w:rPr>
          <w:rFonts w:eastAsia="SimSun"/>
        </w:rPr>
        <w:t>Ambiguities and aliases</w:t>
      </w:r>
    </w:p>
    <w:p w14:paraId="63BCE5BB" w14:textId="0762615E" w:rsidR="003645A5" w:rsidRDefault="003645A5" w:rsidP="003645A5">
      <w:r>
        <w:t>As noted in [</w:t>
      </w:r>
      <w:r w:rsidR="00F46919">
        <w:t>12</w:t>
      </w:r>
      <w:r>
        <w:t xml:space="preserve">], and from basic Fourier transform properties, we find that unstaggered comb-N frequency domain signals produce time-domain equivalents with N repetitions.  OFDM communication systems are robust against such ambiguities </w:t>
      </w:r>
      <w:proofErr w:type="gramStart"/>
      <w:r>
        <w:t>as long as</w:t>
      </w:r>
      <w:proofErr w:type="gramEnd"/>
      <w:r>
        <w:t xml:space="preserve"> the delay spread of the channel is less than the ambiguity distance.  However, such ambiguities are detrimental to navigation and positioning systems that depend on measurements of time-of-arrivals, such as </w:t>
      </w:r>
      <w:r w:rsidR="00062DD4">
        <w:t>U</w:t>
      </w:r>
      <w:r>
        <w:t>TDOA, because the ambiguities may produce false position fixes.</w:t>
      </w:r>
    </w:p>
    <w:p w14:paraId="75CD63A7" w14:textId="2F4A3B08" w:rsidR="00062DD4" w:rsidRDefault="00630F1F" w:rsidP="00062DD4">
      <w:r>
        <w:fldChar w:fldCharType="begin"/>
      </w:r>
      <w:r>
        <w:instrText xml:space="preserve"> REF _Ref534790398 \h </w:instrText>
      </w:r>
      <w:r>
        <w:fldChar w:fldCharType="separate"/>
      </w:r>
      <w:r w:rsidR="00AE1FC7">
        <w:t xml:space="preserve">Figure </w:t>
      </w:r>
      <w:r>
        <w:fldChar w:fldCharType="end"/>
      </w:r>
      <w:r>
        <w:t xml:space="preserve"> </w:t>
      </w:r>
      <w:r w:rsidR="00062DD4">
        <w:t>illustrates the alias impact on the received Channel Energy Response (CER) from various comb-levels using a simple 3-path model.</w:t>
      </w:r>
    </w:p>
    <w:p w14:paraId="6374E405" w14:textId="15934127" w:rsidR="00062DD4" w:rsidRDefault="00062DD4" w:rsidP="005D7004">
      <w:pPr>
        <w:jc w:val="center"/>
      </w:pPr>
      <w:r>
        <w:rPr>
          <w:noProof/>
        </w:rPr>
        <w:lastRenderedPageBreak/>
        <w:drawing>
          <wp:inline distT="0" distB="0" distL="0" distR="0" wp14:anchorId="165C7274" wp14:editId="586F2EEF">
            <wp:extent cx="3594350" cy="2177348"/>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ER examples with unstaggered comb signal structure with 3-path model.png"/>
                    <pic:cNvPicPr/>
                  </pic:nvPicPr>
                  <pic:blipFill rotWithShape="1">
                    <a:blip r:embed="rId14" cstate="print">
                      <a:extLst>
                        <a:ext uri="{28A0092B-C50C-407E-A947-70E740481C1C}">
                          <a14:useLocalDpi xmlns:a14="http://schemas.microsoft.com/office/drawing/2010/main" val="0"/>
                        </a:ext>
                      </a:extLst>
                    </a:blip>
                    <a:srcRect l="8429" t="4095" r="8091" b="4844"/>
                    <a:stretch/>
                  </pic:blipFill>
                  <pic:spPr bwMode="auto">
                    <a:xfrm>
                      <a:off x="0" y="0"/>
                      <a:ext cx="3598306" cy="2179745"/>
                    </a:xfrm>
                    <a:prstGeom prst="rect">
                      <a:avLst/>
                    </a:prstGeom>
                    <a:ln>
                      <a:noFill/>
                    </a:ln>
                    <a:extLst>
                      <a:ext uri="{53640926-AAD7-44D8-BBD7-CCE9431645EC}">
                        <a14:shadowObscured xmlns:a14="http://schemas.microsoft.com/office/drawing/2010/main"/>
                      </a:ext>
                    </a:extLst>
                  </pic:spPr>
                </pic:pic>
              </a:graphicData>
            </a:graphic>
          </wp:inline>
        </w:drawing>
      </w:r>
    </w:p>
    <w:p w14:paraId="4F4ABBB1" w14:textId="71AB7739" w:rsidR="00630F1F" w:rsidRDefault="00062DD4" w:rsidP="00212C4E">
      <w:pPr>
        <w:pStyle w:val="Caption"/>
        <w:rPr>
          <w:lang w:eastAsia="ko-KR"/>
        </w:rPr>
      </w:pPr>
      <w:bookmarkStart w:id="11" w:name="_Ref534790398"/>
      <w:r>
        <w:t xml:space="preserve">Figure </w:t>
      </w:r>
      <w:bookmarkEnd w:id="11"/>
      <w:r w:rsidR="00212C4E">
        <w:t>2</w:t>
      </w:r>
      <w:r>
        <w:tab/>
        <w:t>Channel Energy Responses (CERs) for 15 kHz SCS and various unstaggered comb-options</w:t>
      </w:r>
    </w:p>
    <w:p w14:paraId="0A4435B7" w14:textId="2DFA91B9" w:rsidR="00062DD4" w:rsidRDefault="00192FEA" w:rsidP="003645A5">
      <w:pPr>
        <w:rPr>
          <w:lang w:eastAsia="ko-KR"/>
        </w:rPr>
      </w:pPr>
      <w:r>
        <w:rPr>
          <w:lang w:eastAsia="ko-KR"/>
        </w:rPr>
        <w:t xml:space="preserve">To </w:t>
      </w:r>
      <w:r w:rsidR="00347D1B">
        <w:rPr>
          <w:lang w:eastAsia="ko-KR"/>
        </w:rPr>
        <w:t xml:space="preserve">avoid </w:t>
      </w:r>
      <w:r>
        <w:rPr>
          <w:lang w:eastAsia="ko-KR"/>
        </w:rPr>
        <w:t>alias correlation peaks, the NR positioning signal should utilize all tones in a resource block. This could generally be achieved with a staggered Comb-N structure, where (non-staggered) Comb-1 should also be supported, as for example illustrated in</w:t>
      </w:r>
      <w:r w:rsidR="00384F15">
        <w:rPr>
          <w:lang w:eastAsia="ko-KR"/>
        </w:rPr>
        <w:t xml:space="preserve"> </w:t>
      </w:r>
      <w:r w:rsidR="00384F15">
        <w:rPr>
          <w:lang w:eastAsia="ko-KR"/>
        </w:rPr>
        <w:fldChar w:fldCharType="begin"/>
      </w:r>
      <w:r w:rsidR="00384F15">
        <w:rPr>
          <w:lang w:eastAsia="ko-KR"/>
        </w:rPr>
        <w:instrText xml:space="preserve"> REF _Ref534790413 \h </w:instrText>
      </w:r>
      <w:r w:rsidR="00384F15">
        <w:rPr>
          <w:lang w:eastAsia="ko-KR"/>
        </w:rPr>
      </w:r>
      <w:r w:rsidR="00384F15">
        <w:rPr>
          <w:lang w:eastAsia="ko-KR"/>
        </w:rPr>
        <w:fldChar w:fldCharType="separate"/>
      </w:r>
      <w:r w:rsidR="00AE1FC7">
        <w:t xml:space="preserve">Figure </w:t>
      </w:r>
      <w:r w:rsidR="00AE1FC7">
        <w:rPr>
          <w:noProof/>
        </w:rPr>
        <w:t>1</w:t>
      </w:r>
      <w:r w:rsidR="00384F15">
        <w:rPr>
          <w:lang w:eastAsia="ko-KR"/>
        </w:rPr>
        <w:fldChar w:fldCharType="end"/>
      </w:r>
      <w:r w:rsidR="00384F15">
        <w:rPr>
          <w:lang w:eastAsia="ko-KR"/>
        </w:rPr>
        <w:t>.</w:t>
      </w:r>
    </w:p>
    <w:p w14:paraId="2671E670" w14:textId="0E64C7FF" w:rsidR="00192FEA" w:rsidRDefault="00D60A6B" w:rsidP="005D7004">
      <w:pPr>
        <w:jc w:val="center"/>
        <w:rPr>
          <w:rFonts w:eastAsia="SimSun"/>
          <w:lang w:val="en-US"/>
        </w:rPr>
      </w:pPr>
      <w:r>
        <w:rPr>
          <w:rFonts w:eastAsia="SimSun"/>
          <w:lang w:val="en-US"/>
        </w:rPr>
        <w:object w:dxaOrig="6540" w:dyaOrig="3000" w14:anchorId="7AA2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86.4pt" o:ole="">
            <v:imagedata r:id="rId15" o:title=""/>
          </v:shape>
          <o:OLEObject Type="Embed" ProgID="Visio.Drawing.11" ShapeID="_x0000_i1025" DrawAspect="Content" ObjectID="_1611764206" r:id="rId16"/>
        </w:object>
      </w:r>
    </w:p>
    <w:p w14:paraId="23A8FE1E" w14:textId="04BCBD36" w:rsidR="00192FEA" w:rsidRDefault="00192FEA" w:rsidP="00192FEA">
      <w:pPr>
        <w:pStyle w:val="Caption"/>
      </w:pPr>
      <w:bookmarkStart w:id="12" w:name="_Ref534790413"/>
      <w:r>
        <w:t xml:space="preserve">Figure </w:t>
      </w:r>
      <w:r w:rsidR="00F4090F">
        <w:rPr>
          <w:noProof/>
        </w:rPr>
        <w:fldChar w:fldCharType="begin"/>
      </w:r>
      <w:r w:rsidR="00F4090F">
        <w:rPr>
          <w:noProof/>
        </w:rPr>
        <w:instrText xml:space="preserve"> SEQ Figure \* ARABIC </w:instrText>
      </w:r>
      <w:r w:rsidR="00F4090F">
        <w:rPr>
          <w:noProof/>
        </w:rPr>
        <w:fldChar w:fldCharType="separate"/>
      </w:r>
      <w:r w:rsidR="00AE1FC7">
        <w:rPr>
          <w:noProof/>
        </w:rPr>
        <w:t>1</w:t>
      </w:r>
      <w:r w:rsidR="00F4090F">
        <w:rPr>
          <w:noProof/>
        </w:rPr>
        <w:fldChar w:fldCharType="end"/>
      </w:r>
      <w:bookmarkEnd w:id="12"/>
      <w:r>
        <w:t xml:space="preserve"> </w:t>
      </w:r>
      <w:r>
        <w:rPr>
          <w:lang w:eastAsia="en-GB"/>
        </w:rPr>
        <w:t>Positioning signal frequency density (Comb-1 contiguous tones (left), and Comb-4 with staggering (right)).</w:t>
      </w:r>
    </w:p>
    <w:p w14:paraId="0ECACD43" w14:textId="7EBD3012" w:rsidR="009E66F6" w:rsidRDefault="00062DD4" w:rsidP="00A174AE">
      <w:pPr>
        <w:pStyle w:val="Caption"/>
        <w:jc w:val="left"/>
        <w:rPr>
          <w:sz w:val="20"/>
          <w:szCs w:val="20"/>
        </w:rPr>
      </w:pPr>
      <w:bookmarkStart w:id="13" w:name="_Ref534790231"/>
      <w:bookmarkStart w:id="14" w:name="_Hlk534967824"/>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00AE1FC7">
        <w:rPr>
          <w:noProof/>
          <w:sz w:val="20"/>
          <w:szCs w:val="20"/>
        </w:rPr>
        <w:t>2</w:t>
      </w:r>
      <w:r w:rsidRPr="00F74C9F">
        <w:rPr>
          <w:sz w:val="20"/>
          <w:szCs w:val="20"/>
        </w:rPr>
        <w:fldChar w:fldCharType="end"/>
      </w:r>
      <w:r w:rsidR="00193931">
        <w:rPr>
          <w:sz w:val="20"/>
          <w:szCs w:val="20"/>
        </w:rPr>
        <w:t>:</w:t>
      </w:r>
      <w:r w:rsidRPr="00F74C9F">
        <w:rPr>
          <w:sz w:val="20"/>
          <w:szCs w:val="20"/>
        </w:rPr>
        <w:tab/>
      </w:r>
      <w:r w:rsidR="00D60A6B">
        <w:rPr>
          <w:sz w:val="20"/>
          <w:szCs w:val="20"/>
        </w:rPr>
        <w:t>A</w:t>
      </w:r>
      <w:r w:rsidR="0099392E">
        <w:rPr>
          <w:sz w:val="20"/>
          <w:szCs w:val="20"/>
        </w:rPr>
        <w:t xml:space="preserve">n UL </w:t>
      </w:r>
      <w:r w:rsidR="000A15BF">
        <w:rPr>
          <w:sz w:val="20"/>
          <w:szCs w:val="20"/>
        </w:rPr>
        <w:t>PRS</w:t>
      </w:r>
      <w:r w:rsidR="009E66F6" w:rsidRPr="003645A5">
        <w:rPr>
          <w:sz w:val="20"/>
          <w:szCs w:val="20"/>
        </w:rPr>
        <w:t xml:space="preserve"> should have a uniform comb density</w:t>
      </w:r>
      <w:r w:rsidR="009E66F6">
        <w:rPr>
          <w:sz w:val="20"/>
          <w:szCs w:val="20"/>
        </w:rPr>
        <w:t xml:space="preserve"> in the frequency domain such that all subcarriers of the occupied bandwidth are occupied.</w:t>
      </w:r>
      <w:bookmarkEnd w:id="13"/>
      <w:r w:rsidR="009E66F6">
        <w:rPr>
          <w:sz w:val="20"/>
          <w:szCs w:val="20"/>
        </w:rPr>
        <w:t xml:space="preserve"> </w:t>
      </w:r>
    </w:p>
    <w:bookmarkEnd w:id="14"/>
    <w:p w14:paraId="3C444B70" w14:textId="7D8EAB4C" w:rsidR="00347D1B" w:rsidRPr="00347D1B" w:rsidRDefault="00F253B9" w:rsidP="00347D1B">
      <w:r>
        <w:t>Note that s</w:t>
      </w:r>
      <w:r w:rsidR="00347D1B">
        <w:t>taggered signal structures spanning multiple symbols would require coherent combination across th</w:t>
      </w:r>
      <w:r w:rsidR="00FD663B">
        <w:t>e symbols</w:t>
      </w:r>
      <w:r w:rsidR="00347D1B">
        <w:t xml:space="preserve"> to ensure alias-free CIRs/CERs.  Coherent integration </w:t>
      </w:r>
      <w:r w:rsidR="00FD663B">
        <w:t>quality would be impacted by UE mobility through Doppler [1</w:t>
      </w:r>
      <w:r w:rsidR="00DF2732">
        <w:t>2</w:t>
      </w:r>
      <w:r w:rsidR="00FD663B">
        <w:t xml:space="preserve">].  However, </w:t>
      </w:r>
      <w:r w:rsidR="00373EAD">
        <w:t xml:space="preserve">this impact could </w:t>
      </w:r>
      <w:r w:rsidR="00FD663B">
        <w:t xml:space="preserve">be </w:t>
      </w:r>
      <w:r w:rsidR="00373EAD">
        <w:t>alleviated if</w:t>
      </w:r>
      <w:r w:rsidR="00FD663B">
        <w:t xml:space="preserve"> </w:t>
      </w:r>
      <w:proofErr w:type="spellStart"/>
      <w:r w:rsidR="00FD663B">
        <w:t>gNBs</w:t>
      </w:r>
      <w:proofErr w:type="spellEnd"/>
      <w:r w:rsidR="00FD663B">
        <w:t xml:space="preserve"> </w:t>
      </w:r>
      <w:r w:rsidR="00373EAD">
        <w:t>have</w:t>
      </w:r>
      <w:r w:rsidR="00FD663B">
        <w:t xml:space="preserve"> advanced receivers that could estimate and correct Doppler.</w:t>
      </w:r>
    </w:p>
    <w:p w14:paraId="78556E58" w14:textId="207B1FAA" w:rsidR="001145DA" w:rsidRPr="001145DA" w:rsidRDefault="001145DA" w:rsidP="001145DA">
      <w:r>
        <w:t>Similar considerations for UL PRS structure exist when it comes to impact from ADC resources, number of antennas to sweep, number of symbols per beam, number of available symbols per slot and signal combs as reported in [11].</w:t>
      </w:r>
    </w:p>
    <w:p w14:paraId="33659B32" w14:textId="47A138D5" w:rsidR="00E66724" w:rsidRDefault="000A15BF" w:rsidP="00C564E0">
      <w:pPr>
        <w:pStyle w:val="Heading3"/>
        <w:numPr>
          <w:ilvl w:val="1"/>
          <w:numId w:val="12"/>
        </w:numPr>
        <w:overflowPunct w:val="0"/>
        <w:autoSpaceDE w:val="0"/>
        <w:autoSpaceDN w:val="0"/>
        <w:adjustRightInd w:val="0"/>
        <w:rPr>
          <w:rFonts w:eastAsia="SimSun"/>
        </w:rPr>
      </w:pPr>
      <w:r>
        <w:rPr>
          <w:rFonts w:eastAsia="SimSun"/>
        </w:rPr>
        <w:t>SRS Enhancements related to Positioning</w:t>
      </w:r>
    </w:p>
    <w:p w14:paraId="000ACA3B" w14:textId="24963535" w:rsidR="00917044" w:rsidRPr="00917044" w:rsidRDefault="00917044" w:rsidP="00917044">
      <w:r>
        <w:t xml:space="preserve">A new reference signal for navigation and positioning would have the most flexibility and could be fully optimized for its dedicated purpose.  However, reusing existing NR physical channels and signals could simplify PRS design and implementation. For this reason, it was agreed in previous meeting to have the SRS of NR Rel-15 as the starting point of the PRS design. </w:t>
      </w:r>
    </w:p>
    <w:p w14:paraId="70A2528A" w14:textId="335A6A8E" w:rsidR="00917044" w:rsidRDefault="00917044" w:rsidP="00917044">
      <w:pPr>
        <w:pStyle w:val="Heading2"/>
        <w:numPr>
          <w:ilvl w:val="0"/>
          <w:numId w:val="0"/>
        </w:numPr>
        <w:ind w:left="576" w:hanging="576"/>
        <w:rPr>
          <w:rFonts w:eastAsia="SimSun"/>
          <w:sz w:val="24"/>
        </w:rPr>
      </w:pPr>
      <w:r w:rsidRPr="00917044">
        <w:rPr>
          <w:rFonts w:eastAsia="SimSun"/>
          <w:sz w:val="24"/>
        </w:rPr>
        <w:t xml:space="preserve">3.3.1 </w:t>
      </w:r>
      <w:r>
        <w:rPr>
          <w:rFonts w:eastAsia="SimSun"/>
          <w:sz w:val="24"/>
        </w:rPr>
        <w:t xml:space="preserve">Frequency-domain mapping: </w:t>
      </w:r>
      <w:r w:rsidRPr="00917044">
        <w:rPr>
          <w:rFonts w:eastAsia="SimSun"/>
          <w:sz w:val="24"/>
        </w:rPr>
        <w:t>Ambiguities and aliases</w:t>
      </w:r>
    </w:p>
    <w:p w14:paraId="2EB69125" w14:textId="1D0622BC" w:rsidR="000B134F" w:rsidRPr="000B54DC" w:rsidRDefault="000B134F" w:rsidP="000B134F">
      <w:r>
        <w:t xml:space="preserve">As it was explained in Section 3.1, it is crucial that a UL PRS signal can be used to sample all the subcarriers in the configured bandwidth to reduce the time-domain ambiguities and aliases. In NR Rel-15, the SRS resource is using comb-2 or comb-4, but it is mapped only to the same subcarrier across consecutive symbols. </w:t>
      </w:r>
      <w:r w:rsidR="00514248">
        <w:t xml:space="preserve">Therefore, an important enhancement of the NR Rel-15 SRS would be to enable an SRS resource which allows the UE to transmit SRS on all the </w:t>
      </w:r>
      <w:r w:rsidR="00514248" w:rsidRPr="000B54DC">
        <w:t>subcarriers.</w:t>
      </w:r>
    </w:p>
    <w:p w14:paraId="611A8DD5" w14:textId="36681B7A" w:rsidR="000A15BF" w:rsidRDefault="000B54DC" w:rsidP="000B54DC">
      <w:pPr>
        <w:pStyle w:val="Caption"/>
        <w:jc w:val="left"/>
        <w:rPr>
          <w:sz w:val="20"/>
          <w:szCs w:val="20"/>
        </w:rPr>
      </w:pPr>
      <w:bookmarkStart w:id="15" w:name="_Ref534791983"/>
      <w:bookmarkStart w:id="16" w:name="_Hlk534967834"/>
      <w:bookmarkStart w:id="17" w:name="_Ref1134962"/>
      <w:r w:rsidRPr="000B54DC">
        <w:rPr>
          <w:sz w:val="20"/>
          <w:szCs w:val="20"/>
        </w:rPr>
        <w:t xml:space="preserve">Proposal </w:t>
      </w:r>
      <w:r w:rsidRPr="000B54DC">
        <w:rPr>
          <w:sz w:val="20"/>
          <w:szCs w:val="20"/>
        </w:rPr>
        <w:fldChar w:fldCharType="begin"/>
      </w:r>
      <w:r w:rsidRPr="000B54DC">
        <w:rPr>
          <w:sz w:val="20"/>
          <w:szCs w:val="20"/>
        </w:rPr>
        <w:instrText xml:space="preserve"> SEQ Proposal \* ARABIC </w:instrText>
      </w:r>
      <w:r w:rsidRPr="000B54DC">
        <w:rPr>
          <w:sz w:val="20"/>
          <w:szCs w:val="20"/>
        </w:rPr>
        <w:fldChar w:fldCharType="separate"/>
      </w:r>
      <w:r w:rsidR="00AE1FC7">
        <w:rPr>
          <w:noProof/>
          <w:sz w:val="20"/>
          <w:szCs w:val="20"/>
        </w:rPr>
        <w:t>3</w:t>
      </w:r>
      <w:r w:rsidRPr="000B54DC">
        <w:rPr>
          <w:sz w:val="20"/>
          <w:szCs w:val="20"/>
        </w:rPr>
        <w:fldChar w:fldCharType="end"/>
      </w:r>
      <w:r w:rsidRPr="000B54DC">
        <w:rPr>
          <w:sz w:val="20"/>
          <w:szCs w:val="20"/>
        </w:rPr>
        <w:t>:</w:t>
      </w:r>
      <w:r w:rsidRPr="000B54DC">
        <w:rPr>
          <w:sz w:val="20"/>
          <w:szCs w:val="20"/>
        </w:rPr>
        <w:tab/>
      </w:r>
      <w:r w:rsidR="000A15BF">
        <w:rPr>
          <w:sz w:val="20"/>
          <w:szCs w:val="20"/>
        </w:rPr>
        <w:t>NR Rel-16 should support configuration of SRS resource with repetition across 2</w:t>
      </w:r>
      <w:r w:rsidR="00917044">
        <w:rPr>
          <w:sz w:val="20"/>
          <w:szCs w:val="20"/>
        </w:rPr>
        <w:t>(4) symbols with comb-2(4)</w:t>
      </w:r>
      <w:r w:rsidR="000A15BF">
        <w:rPr>
          <w:sz w:val="20"/>
          <w:szCs w:val="20"/>
        </w:rPr>
        <w:t xml:space="preserve"> such that </w:t>
      </w:r>
      <w:r w:rsidR="00917044">
        <w:rPr>
          <w:sz w:val="20"/>
          <w:szCs w:val="20"/>
        </w:rPr>
        <w:t xml:space="preserve">all 2(4) </w:t>
      </w:r>
      <w:bookmarkEnd w:id="15"/>
      <w:r w:rsidR="00917044">
        <w:rPr>
          <w:sz w:val="20"/>
          <w:szCs w:val="20"/>
        </w:rPr>
        <w:t>frequency domain offsets a</w:t>
      </w:r>
      <w:bookmarkEnd w:id="16"/>
      <w:r w:rsidR="00917044">
        <w:rPr>
          <w:sz w:val="20"/>
          <w:szCs w:val="20"/>
        </w:rPr>
        <w:t>re used.</w:t>
      </w:r>
      <w:bookmarkEnd w:id="17"/>
      <w:r w:rsidR="00917044">
        <w:rPr>
          <w:sz w:val="20"/>
          <w:szCs w:val="20"/>
        </w:rPr>
        <w:t xml:space="preserve"> </w:t>
      </w:r>
    </w:p>
    <w:p w14:paraId="796D273E" w14:textId="6CF719A8" w:rsidR="00917044" w:rsidRDefault="00917044" w:rsidP="00917044">
      <w:pPr>
        <w:pStyle w:val="Heading2"/>
        <w:numPr>
          <w:ilvl w:val="0"/>
          <w:numId w:val="0"/>
        </w:numPr>
        <w:ind w:left="576" w:hanging="576"/>
        <w:rPr>
          <w:rFonts w:eastAsia="SimSun"/>
          <w:sz w:val="24"/>
        </w:rPr>
      </w:pPr>
      <w:r w:rsidRPr="00917044">
        <w:rPr>
          <w:rFonts w:eastAsia="SimSun"/>
          <w:sz w:val="24"/>
        </w:rPr>
        <w:t>3.3.</w:t>
      </w:r>
      <w:r>
        <w:rPr>
          <w:rFonts w:eastAsia="SimSun"/>
          <w:sz w:val="24"/>
        </w:rPr>
        <w:t>2</w:t>
      </w:r>
      <w:r w:rsidRPr="00917044">
        <w:rPr>
          <w:rFonts w:eastAsia="SimSun"/>
          <w:sz w:val="24"/>
        </w:rPr>
        <w:t xml:space="preserve"> </w:t>
      </w:r>
      <w:r>
        <w:rPr>
          <w:rFonts w:eastAsia="SimSun"/>
          <w:sz w:val="24"/>
        </w:rPr>
        <w:t>Time-domain mapping: UL power limitations</w:t>
      </w:r>
    </w:p>
    <w:p w14:paraId="5EA02FF3" w14:textId="145C6385" w:rsidR="00917044" w:rsidRPr="00917044" w:rsidRDefault="000B134F" w:rsidP="00917044">
      <w:r>
        <w:t xml:space="preserve">It is generally known that UL coverage is one of the biggest problems of UTDOA positioning technique. Especially in scenarios of UMA, it is very difficult to even meet the regulatory requirements as also shown in our Evaluations results. </w:t>
      </w:r>
    </w:p>
    <w:p w14:paraId="1F5D4FB3" w14:textId="1653E5B6" w:rsidR="00917044" w:rsidRDefault="000B54DC" w:rsidP="000B54DC">
      <w:pPr>
        <w:pStyle w:val="Caption"/>
        <w:jc w:val="left"/>
        <w:rPr>
          <w:sz w:val="20"/>
          <w:szCs w:val="20"/>
        </w:rPr>
      </w:pPr>
      <w:bookmarkStart w:id="18" w:name="_Ref1134966"/>
      <w:r w:rsidRPr="000B54DC">
        <w:rPr>
          <w:sz w:val="20"/>
          <w:szCs w:val="20"/>
        </w:rPr>
        <w:lastRenderedPageBreak/>
        <w:t xml:space="preserve">Proposal </w:t>
      </w:r>
      <w:r w:rsidRPr="000B54DC">
        <w:rPr>
          <w:sz w:val="20"/>
          <w:szCs w:val="20"/>
        </w:rPr>
        <w:fldChar w:fldCharType="begin"/>
      </w:r>
      <w:r w:rsidRPr="000B54DC">
        <w:rPr>
          <w:sz w:val="20"/>
          <w:szCs w:val="20"/>
        </w:rPr>
        <w:instrText xml:space="preserve"> SEQ Proposal \* ARABIC </w:instrText>
      </w:r>
      <w:r w:rsidRPr="000B54DC">
        <w:rPr>
          <w:sz w:val="20"/>
          <w:szCs w:val="20"/>
        </w:rPr>
        <w:fldChar w:fldCharType="separate"/>
      </w:r>
      <w:r w:rsidR="00AE1FC7">
        <w:rPr>
          <w:noProof/>
          <w:sz w:val="20"/>
          <w:szCs w:val="20"/>
        </w:rPr>
        <w:t>4</w:t>
      </w:r>
      <w:r w:rsidRPr="000B54DC">
        <w:rPr>
          <w:sz w:val="20"/>
          <w:szCs w:val="20"/>
        </w:rPr>
        <w:fldChar w:fldCharType="end"/>
      </w:r>
      <w:r w:rsidRPr="000B54DC">
        <w:rPr>
          <w:sz w:val="20"/>
          <w:szCs w:val="20"/>
        </w:rPr>
        <w:t>:</w:t>
      </w:r>
      <w:r>
        <w:t xml:space="preserve"> </w:t>
      </w:r>
      <w:r w:rsidR="00917044">
        <w:rPr>
          <w:sz w:val="20"/>
          <w:szCs w:val="20"/>
        </w:rPr>
        <w:t>NR Rel-16 should support configuration of SRS resource with repetition factor with up to N consecutive symbols, where N is larger than 4.</w:t>
      </w:r>
      <w:r w:rsidR="000B134F">
        <w:rPr>
          <w:sz w:val="20"/>
          <w:szCs w:val="20"/>
        </w:rPr>
        <w:t xml:space="preserve"> Discuss further the value of N.</w:t>
      </w:r>
      <w:bookmarkEnd w:id="18"/>
      <w:r w:rsidR="000B134F">
        <w:rPr>
          <w:sz w:val="20"/>
          <w:szCs w:val="20"/>
        </w:rPr>
        <w:t xml:space="preserve"> </w:t>
      </w:r>
    </w:p>
    <w:p w14:paraId="146851DB" w14:textId="1472D934" w:rsidR="00036ED2" w:rsidRDefault="00036ED2" w:rsidP="00036ED2">
      <w:pPr>
        <w:pStyle w:val="Heading3"/>
        <w:numPr>
          <w:ilvl w:val="0"/>
          <w:numId w:val="0"/>
        </w:numPr>
        <w:overflowPunct w:val="0"/>
        <w:autoSpaceDE w:val="0"/>
        <w:autoSpaceDN w:val="0"/>
        <w:adjustRightInd w:val="0"/>
        <w:rPr>
          <w:rFonts w:eastAsia="SimSun"/>
        </w:rPr>
      </w:pPr>
      <w:r>
        <w:rPr>
          <w:rFonts w:eastAsia="SimSun"/>
        </w:rPr>
        <w:t>3.3.3 Beam-sweeping considerations</w:t>
      </w:r>
    </w:p>
    <w:p w14:paraId="0118FD9D" w14:textId="77777777" w:rsidR="00036ED2" w:rsidRPr="00F27613" w:rsidRDefault="00036ED2" w:rsidP="00036ED2">
      <w:r>
        <w:t xml:space="preserve">UL PRS may be transmitted through a quasi-omni-directional antenna on the UE side, but a UE could also apply beam-sweeping on narrower beams for increased EIRP.  UL PRS may also be received on a wide beam at a </w:t>
      </w:r>
      <w:proofErr w:type="spellStart"/>
      <w:r>
        <w:t>gNB</w:t>
      </w:r>
      <w:proofErr w:type="spellEnd"/>
      <w:r>
        <w:t xml:space="preserve">, but a </w:t>
      </w:r>
      <w:proofErr w:type="spellStart"/>
      <w:r>
        <w:t>gNB</w:t>
      </w:r>
      <w:proofErr w:type="spellEnd"/>
      <w:r>
        <w:t xml:space="preserve"> may also use a sweep of more narrow beams for improved received signal quality.  While either UE TX beam sweeps or </w:t>
      </w:r>
      <w:proofErr w:type="spellStart"/>
      <w:r>
        <w:t>gNB</w:t>
      </w:r>
      <w:proofErr w:type="spellEnd"/>
      <w:r>
        <w:t xml:space="preserve"> RX beam sweeps could be performed independently, there could be an option to utilize both features for UEs which do not beam correspondence.  Unlike regular camping operations, such beam-pairing would be done between each UE and a set of </w:t>
      </w:r>
      <w:proofErr w:type="spellStart"/>
      <w:r>
        <w:t>gNBs</w:t>
      </w:r>
      <w:proofErr w:type="spellEnd"/>
      <w:r>
        <w:t xml:space="preserve">. However, for UEs with beam correspondence, which is already a mandatory UE feature with capability </w:t>
      </w:r>
      <w:proofErr w:type="spellStart"/>
      <w:r>
        <w:t>signaling</w:t>
      </w:r>
      <w:proofErr w:type="spellEnd"/>
      <w:r>
        <w:t xml:space="preserve"> for NR Rel-15, UL beam would be </w:t>
      </w:r>
      <w:proofErr w:type="spellStart"/>
      <w:r>
        <w:t>QCLed</w:t>
      </w:r>
      <w:proofErr w:type="spellEnd"/>
      <w:r>
        <w:t xml:space="preserve"> with a downlink signal, and therefore there will not be a need for any UL Tx beam sweeping for UL PRS.</w:t>
      </w:r>
    </w:p>
    <w:p w14:paraId="61F509BF" w14:textId="14F554F0" w:rsidR="00110C3E" w:rsidRPr="00110C3E" w:rsidRDefault="000B54DC" w:rsidP="000B54DC">
      <w:pPr>
        <w:pStyle w:val="Caption"/>
        <w:jc w:val="left"/>
        <w:rPr>
          <w:sz w:val="20"/>
          <w:szCs w:val="20"/>
        </w:rPr>
      </w:pPr>
      <w:bookmarkStart w:id="19" w:name="_Hlk534967829"/>
      <w:r w:rsidRPr="000B54DC">
        <w:rPr>
          <w:sz w:val="20"/>
          <w:szCs w:val="20"/>
        </w:rPr>
        <w:t xml:space="preserve">Proposal </w:t>
      </w:r>
      <w:r w:rsidRPr="000B54DC">
        <w:rPr>
          <w:sz w:val="20"/>
          <w:szCs w:val="20"/>
        </w:rPr>
        <w:fldChar w:fldCharType="begin"/>
      </w:r>
      <w:r w:rsidRPr="000B54DC">
        <w:rPr>
          <w:sz w:val="20"/>
          <w:szCs w:val="20"/>
        </w:rPr>
        <w:instrText xml:space="preserve"> SEQ Proposal \* ARABIC </w:instrText>
      </w:r>
      <w:r w:rsidRPr="000B54DC">
        <w:rPr>
          <w:sz w:val="20"/>
          <w:szCs w:val="20"/>
        </w:rPr>
        <w:fldChar w:fldCharType="separate"/>
      </w:r>
      <w:r w:rsidR="00AE1FC7">
        <w:rPr>
          <w:noProof/>
          <w:sz w:val="20"/>
          <w:szCs w:val="20"/>
        </w:rPr>
        <w:t>5</w:t>
      </w:r>
      <w:r w:rsidRPr="000B54DC">
        <w:rPr>
          <w:sz w:val="20"/>
          <w:szCs w:val="20"/>
        </w:rPr>
        <w:fldChar w:fldCharType="end"/>
      </w:r>
      <w:r w:rsidRPr="000B54DC">
        <w:rPr>
          <w:sz w:val="20"/>
          <w:szCs w:val="20"/>
        </w:rPr>
        <w:t>:</w:t>
      </w:r>
      <w:r>
        <w:tab/>
      </w:r>
      <w:r w:rsidR="00036ED2">
        <w:rPr>
          <w:sz w:val="20"/>
          <w:szCs w:val="20"/>
        </w:rPr>
        <w:t>The spatial Relation info of an SRS resource can be a configured</w:t>
      </w:r>
      <w:r w:rsidR="00C43693">
        <w:rPr>
          <w:sz w:val="20"/>
          <w:szCs w:val="20"/>
        </w:rPr>
        <w:t xml:space="preserve"> to be a</w:t>
      </w:r>
      <w:r w:rsidR="00036ED2">
        <w:rPr>
          <w:sz w:val="20"/>
          <w:szCs w:val="20"/>
        </w:rPr>
        <w:t xml:space="preserve"> DL PRS or SSB from </w:t>
      </w:r>
      <w:r w:rsidR="00C43693">
        <w:rPr>
          <w:sz w:val="20"/>
          <w:szCs w:val="20"/>
        </w:rPr>
        <w:t xml:space="preserve">the </w:t>
      </w:r>
      <w:r w:rsidR="00036ED2">
        <w:rPr>
          <w:sz w:val="20"/>
          <w:szCs w:val="20"/>
        </w:rPr>
        <w:t>serving or</w:t>
      </w:r>
      <w:r w:rsidR="00C43693">
        <w:rPr>
          <w:sz w:val="20"/>
          <w:szCs w:val="20"/>
        </w:rPr>
        <w:t xml:space="preserve"> a</w:t>
      </w:r>
      <w:r w:rsidR="00036ED2">
        <w:rPr>
          <w:sz w:val="20"/>
          <w:szCs w:val="20"/>
        </w:rPr>
        <w:t xml:space="preserve"> </w:t>
      </w:r>
      <w:proofErr w:type="spellStart"/>
      <w:r w:rsidR="00036ED2">
        <w:rPr>
          <w:sz w:val="20"/>
          <w:szCs w:val="20"/>
        </w:rPr>
        <w:t>neighboring</w:t>
      </w:r>
      <w:proofErr w:type="spellEnd"/>
      <w:r w:rsidR="00036ED2">
        <w:rPr>
          <w:sz w:val="20"/>
          <w:szCs w:val="20"/>
        </w:rPr>
        <w:t xml:space="preserve"> BS</w:t>
      </w:r>
      <w:r w:rsidR="00036ED2" w:rsidRPr="0099392E">
        <w:rPr>
          <w:sz w:val="20"/>
          <w:szCs w:val="20"/>
        </w:rPr>
        <w:t>.</w:t>
      </w:r>
      <w:bookmarkEnd w:id="19"/>
    </w:p>
    <w:p w14:paraId="4EEDCB06" w14:textId="2ABC3F68" w:rsidR="000B134F" w:rsidRDefault="000B134F" w:rsidP="000B134F">
      <w:pPr>
        <w:pStyle w:val="Heading2"/>
        <w:numPr>
          <w:ilvl w:val="0"/>
          <w:numId w:val="0"/>
        </w:numPr>
        <w:ind w:left="576" w:hanging="576"/>
        <w:rPr>
          <w:rFonts w:eastAsia="SimSun"/>
          <w:sz w:val="24"/>
        </w:rPr>
      </w:pPr>
      <w:r w:rsidRPr="00917044">
        <w:rPr>
          <w:rFonts w:eastAsia="SimSun"/>
          <w:sz w:val="24"/>
        </w:rPr>
        <w:t>3.3.</w:t>
      </w:r>
      <w:r w:rsidR="00036ED2">
        <w:rPr>
          <w:rFonts w:eastAsia="SimSun"/>
          <w:sz w:val="24"/>
        </w:rPr>
        <w:t>4</w:t>
      </w:r>
      <w:r w:rsidRPr="00917044">
        <w:rPr>
          <w:rFonts w:eastAsia="SimSun"/>
          <w:sz w:val="24"/>
        </w:rPr>
        <w:t xml:space="preserve"> </w:t>
      </w:r>
      <w:r>
        <w:rPr>
          <w:rFonts w:eastAsia="SimSun"/>
          <w:sz w:val="24"/>
        </w:rPr>
        <w:t>Other Enhancements: UL power control, UL timing advance</w:t>
      </w:r>
      <w:r w:rsidR="0068565C">
        <w:rPr>
          <w:rFonts w:eastAsia="SimSun"/>
          <w:sz w:val="24"/>
        </w:rPr>
        <w:t>, Relation to BWP</w:t>
      </w:r>
    </w:p>
    <w:p w14:paraId="3FCD78E5" w14:textId="3B838040" w:rsidR="000B134F" w:rsidRDefault="00514248" w:rsidP="000B134F">
      <w:r>
        <w:t>An SRS resource is always associated within one (or more) SRS resource sets which have one of the following use-cases: UL codebook-based, UL non-codebook-based, UL beam management, Antenna switching. The first 3 use-cases are used for UL-related purposes (e.g</w:t>
      </w:r>
      <w:r w:rsidR="00841CDE">
        <w:t>.</w:t>
      </w:r>
      <w:r>
        <w:t xml:space="preserve">, UL scheduling), and the last one is used for DL CSI acquisition in TDD. </w:t>
      </w:r>
      <w:r w:rsidR="0068565C">
        <w:t xml:space="preserve">Note also that an SRS resource for antenna switching can also be configured to be triggered across carriers using the feature of SRS carrier switching and DCI format 2_3. </w:t>
      </w:r>
    </w:p>
    <w:p w14:paraId="047B48AD" w14:textId="6B1D0D19" w:rsidR="0068565C" w:rsidRDefault="0068565C" w:rsidP="000B134F">
      <w:r>
        <w:t xml:space="preserve">If the above use-cases are configured, the UL power control and the UL timing advance are configured such that the UE communicates with the serving cell and perform the associated functionalities. Changing the TA or the Tx power for the sake of positioning would undermine the main purpose of those SRS resource sets. </w:t>
      </w:r>
    </w:p>
    <w:p w14:paraId="3AEF74C6" w14:textId="1D687479" w:rsidR="0099392E" w:rsidRDefault="000B54DC" w:rsidP="000B54DC">
      <w:pPr>
        <w:pStyle w:val="Caption"/>
        <w:jc w:val="left"/>
        <w:rPr>
          <w:sz w:val="20"/>
          <w:szCs w:val="20"/>
        </w:rPr>
      </w:pPr>
      <w:bookmarkStart w:id="20" w:name="_Ref1134973"/>
      <w:r w:rsidRPr="000B54DC">
        <w:rPr>
          <w:sz w:val="20"/>
          <w:szCs w:val="20"/>
        </w:rPr>
        <w:t xml:space="preserve">Proposal </w:t>
      </w:r>
      <w:r w:rsidRPr="000B54DC">
        <w:rPr>
          <w:sz w:val="20"/>
          <w:szCs w:val="20"/>
        </w:rPr>
        <w:fldChar w:fldCharType="begin"/>
      </w:r>
      <w:r w:rsidRPr="000B54DC">
        <w:rPr>
          <w:sz w:val="20"/>
          <w:szCs w:val="20"/>
        </w:rPr>
        <w:instrText xml:space="preserve"> SEQ Proposal \* ARABIC </w:instrText>
      </w:r>
      <w:r w:rsidRPr="000B54DC">
        <w:rPr>
          <w:sz w:val="20"/>
          <w:szCs w:val="20"/>
        </w:rPr>
        <w:fldChar w:fldCharType="separate"/>
      </w:r>
      <w:r w:rsidR="00AE1FC7">
        <w:rPr>
          <w:noProof/>
          <w:sz w:val="20"/>
          <w:szCs w:val="20"/>
        </w:rPr>
        <w:t>6</w:t>
      </w:r>
      <w:r w:rsidRPr="000B54DC">
        <w:rPr>
          <w:sz w:val="20"/>
          <w:szCs w:val="20"/>
        </w:rPr>
        <w:fldChar w:fldCharType="end"/>
      </w:r>
      <w:r w:rsidRPr="000B54DC">
        <w:rPr>
          <w:sz w:val="20"/>
          <w:szCs w:val="20"/>
        </w:rPr>
        <w:t>:</w:t>
      </w:r>
      <w:r w:rsidRPr="000B54DC">
        <w:rPr>
          <w:sz w:val="20"/>
          <w:szCs w:val="20"/>
        </w:rPr>
        <w:tab/>
      </w:r>
      <w:r w:rsidR="0099392E">
        <w:rPr>
          <w:sz w:val="20"/>
          <w:szCs w:val="20"/>
        </w:rPr>
        <w:t>For an SRS resource set used for the legacy NR Rel-15 use-cases, no change in the UL power control, or UL timing advance should be considered even if these SRS resources are also used for positioning purposes.</w:t>
      </w:r>
      <w:bookmarkEnd w:id="20"/>
      <w:r w:rsidR="0099392E">
        <w:rPr>
          <w:sz w:val="20"/>
          <w:szCs w:val="20"/>
        </w:rPr>
        <w:t xml:space="preserve"> </w:t>
      </w:r>
    </w:p>
    <w:p w14:paraId="018FECAD" w14:textId="21204CDD" w:rsidR="0068565C" w:rsidRPr="0068565C" w:rsidRDefault="00841CDE" w:rsidP="0068565C">
      <w:r>
        <w:t xml:space="preserve">In NR Rel-15, an SRS is always configured within an UL BWP. When an SRS for communication-purposes (legacy NR Rel-15 use-cases) is used also for positioning, the same principle should carry over for NR Rel-16. Note that the </w:t>
      </w:r>
      <w:proofErr w:type="spellStart"/>
      <w:r>
        <w:t>gNB</w:t>
      </w:r>
      <w:proofErr w:type="spellEnd"/>
      <w:r>
        <w:t xml:space="preserve"> can use the UL BWP switching, or UL SRS carrier switching for enabling the UE to sound larger bandwidths on UL. Such procedures are already defined in legacy NR Rel-15 and there would not be any need of additional specification work.</w:t>
      </w:r>
    </w:p>
    <w:p w14:paraId="14FD4572" w14:textId="0E174A18" w:rsidR="0099392E" w:rsidRPr="0068565C" w:rsidRDefault="000B54DC" w:rsidP="000B54DC">
      <w:pPr>
        <w:pStyle w:val="Caption"/>
        <w:jc w:val="left"/>
        <w:rPr>
          <w:sz w:val="20"/>
          <w:szCs w:val="20"/>
        </w:rPr>
      </w:pPr>
      <w:bookmarkStart w:id="21" w:name="_Ref1134978"/>
      <w:r w:rsidRPr="000B54DC">
        <w:rPr>
          <w:sz w:val="20"/>
          <w:szCs w:val="20"/>
        </w:rPr>
        <w:t xml:space="preserve">Proposal </w:t>
      </w:r>
      <w:r w:rsidRPr="000B54DC">
        <w:rPr>
          <w:sz w:val="20"/>
          <w:szCs w:val="20"/>
        </w:rPr>
        <w:fldChar w:fldCharType="begin"/>
      </w:r>
      <w:r w:rsidRPr="000B54DC">
        <w:rPr>
          <w:sz w:val="20"/>
          <w:szCs w:val="20"/>
        </w:rPr>
        <w:instrText xml:space="preserve"> SEQ Proposal \* ARABIC </w:instrText>
      </w:r>
      <w:r w:rsidRPr="000B54DC">
        <w:rPr>
          <w:sz w:val="20"/>
          <w:szCs w:val="20"/>
        </w:rPr>
        <w:fldChar w:fldCharType="separate"/>
      </w:r>
      <w:r w:rsidR="00AE1FC7">
        <w:rPr>
          <w:noProof/>
          <w:sz w:val="20"/>
          <w:szCs w:val="20"/>
        </w:rPr>
        <w:t>7</w:t>
      </w:r>
      <w:r w:rsidRPr="000B54DC">
        <w:rPr>
          <w:sz w:val="20"/>
          <w:szCs w:val="20"/>
        </w:rPr>
        <w:fldChar w:fldCharType="end"/>
      </w:r>
      <w:r>
        <w:t>:</w:t>
      </w:r>
      <w:r>
        <w:tab/>
      </w:r>
      <w:r w:rsidR="0099392E">
        <w:rPr>
          <w:sz w:val="20"/>
          <w:szCs w:val="20"/>
        </w:rPr>
        <w:t>Carry-over the association of an SRS with an UL BWP from NR Rel-15 to NR Rel-16. Use the legacy features of UL BWP switching and UL SRS carrier switching for transmitting SRS used for positioning</w:t>
      </w:r>
      <w:r w:rsidR="00201762">
        <w:rPr>
          <w:sz w:val="20"/>
          <w:szCs w:val="20"/>
        </w:rPr>
        <w:t xml:space="preserve"> in other BWPs or CCs.</w:t>
      </w:r>
      <w:bookmarkEnd w:id="21"/>
      <w:r w:rsidR="00201762">
        <w:rPr>
          <w:sz w:val="20"/>
          <w:szCs w:val="20"/>
        </w:rPr>
        <w:t xml:space="preserve"> </w:t>
      </w:r>
      <w:r w:rsidR="0099392E">
        <w:rPr>
          <w:sz w:val="20"/>
          <w:szCs w:val="20"/>
        </w:rPr>
        <w:t xml:space="preserve"> </w:t>
      </w:r>
    </w:p>
    <w:p w14:paraId="70CBCFF0" w14:textId="77777777" w:rsidR="00A42AC1" w:rsidRPr="00A42AC1" w:rsidRDefault="00A42AC1" w:rsidP="00A42AC1">
      <w:pPr>
        <w:pStyle w:val="ListParagraph"/>
        <w:keepNext/>
        <w:keepLines/>
        <w:numPr>
          <w:ilvl w:val="0"/>
          <w:numId w:val="9"/>
        </w:numPr>
        <w:spacing w:before="240"/>
        <w:contextualSpacing w:val="0"/>
        <w:jc w:val="left"/>
        <w:outlineLvl w:val="0"/>
        <w:rPr>
          <w:rFonts w:ascii="Arial" w:hAnsi="Arial"/>
          <w:vanish/>
          <w:sz w:val="32"/>
        </w:rPr>
      </w:pPr>
    </w:p>
    <w:p w14:paraId="39E68A63" w14:textId="77777777" w:rsidR="00A42AC1" w:rsidRPr="00A42AC1" w:rsidRDefault="00A42AC1" w:rsidP="00A42AC1">
      <w:pPr>
        <w:pStyle w:val="ListParagraph"/>
        <w:keepNext/>
        <w:keepLines/>
        <w:numPr>
          <w:ilvl w:val="0"/>
          <w:numId w:val="9"/>
        </w:numPr>
        <w:spacing w:before="240"/>
        <w:contextualSpacing w:val="0"/>
        <w:jc w:val="left"/>
        <w:outlineLvl w:val="0"/>
        <w:rPr>
          <w:rFonts w:ascii="Arial" w:hAnsi="Arial"/>
          <w:vanish/>
          <w:sz w:val="32"/>
        </w:rPr>
      </w:pPr>
    </w:p>
    <w:p w14:paraId="2CE5625E" w14:textId="77777777" w:rsidR="00A42AC1" w:rsidRPr="00A42AC1" w:rsidRDefault="00A42AC1" w:rsidP="00A42AC1">
      <w:pPr>
        <w:pStyle w:val="ListParagraph"/>
        <w:keepNext/>
        <w:keepLines/>
        <w:numPr>
          <w:ilvl w:val="0"/>
          <w:numId w:val="9"/>
        </w:numPr>
        <w:spacing w:before="240"/>
        <w:contextualSpacing w:val="0"/>
        <w:jc w:val="left"/>
        <w:outlineLvl w:val="0"/>
        <w:rPr>
          <w:rFonts w:ascii="Arial" w:hAnsi="Arial"/>
          <w:vanish/>
          <w:sz w:val="32"/>
        </w:rPr>
      </w:pPr>
    </w:p>
    <w:p w14:paraId="641E89F7" w14:textId="77777777" w:rsidR="00A42AC1" w:rsidRPr="00A42AC1" w:rsidRDefault="00A42AC1" w:rsidP="00A42AC1">
      <w:pPr>
        <w:pStyle w:val="ListParagraph"/>
        <w:keepNext/>
        <w:keepLines/>
        <w:numPr>
          <w:ilvl w:val="1"/>
          <w:numId w:val="9"/>
        </w:numPr>
        <w:spacing w:before="180"/>
        <w:contextualSpacing w:val="0"/>
        <w:jc w:val="left"/>
        <w:outlineLvl w:val="1"/>
        <w:rPr>
          <w:rFonts w:ascii="Arial" w:hAnsi="Arial"/>
          <w:vanish/>
          <w:sz w:val="28"/>
        </w:rPr>
      </w:pPr>
    </w:p>
    <w:p w14:paraId="44098BBC" w14:textId="77777777" w:rsidR="00A42AC1" w:rsidRPr="00A42AC1" w:rsidRDefault="00A42AC1" w:rsidP="00A42AC1">
      <w:pPr>
        <w:pStyle w:val="ListParagraph"/>
        <w:keepNext/>
        <w:keepLines/>
        <w:numPr>
          <w:ilvl w:val="1"/>
          <w:numId w:val="9"/>
        </w:numPr>
        <w:spacing w:before="180"/>
        <w:contextualSpacing w:val="0"/>
        <w:jc w:val="left"/>
        <w:outlineLvl w:val="1"/>
        <w:rPr>
          <w:rFonts w:ascii="Arial" w:hAnsi="Arial"/>
          <w:vanish/>
          <w:sz w:val="28"/>
        </w:rPr>
      </w:pPr>
    </w:p>
    <w:p w14:paraId="39A77329" w14:textId="77777777" w:rsidR="00A42AC1" w:rsidRPr="00A42AC1" w:rsidRDefault="00A42AC1" w:rsidP="00A42AC1">
      <w:pPr>
        <w:pStyle w:val="ListParagraph"/>
        <w:keepNext/>
        <w:keepLines/>
        <w:numPr>
          <w:ilvl w:val="1"/>
          <w:numId w:val="9"/>
        </w:numPr>
        <w:spacing w:before="180"/>
        <w:contextualSpacing w:val="0"/>
        <w:jc w:val="left"/>
        <w:outlineLvl w:val="1"/>
        <w:rPr>
          <w:rFonts w:ascii="Arial" w:hAnsi="Arial"/>
          <w:vanish/>
          <w:sz w:val="28"/>
        </w:rPr>
      </w:pPr>
    </w:p>
    <w:p w14:paraId="5DA250C5" w14:textId="77777777" w:rsidR="00A42AC1" w:rsidRPr="00A42AC1" w:rsidRDefault="00A42AC1" w:rsidP="00A42AC1">
      <w:pPr>
        <w:pStyle w:val="ListParagraph"/>
        <w:keepNext/>
        <w:keepLines/>
        <w:numPr>
          <w:ilvl w:val="2"/>
          <w:numId w:val="9"/>
        </w:numPr>
        <w:spacing w:before="120"/>
        <w:contextualSpacing w:val="0"/>
        <w:jc w:val="left"/>
        <w:outlineLvl w:val="2"/>
        <w:rPr>
          <w:rFonts w:ascii="Arial" w:hAnsi="Arial"/>
          <w:vanish/>
          <w:sz w:val="24"/>
        </w:rPr>
      </w:pPr>
    </w:p>
    <w:p w14:paraId="502C7725" w14:textId="77777777" w:rsidR="00A42AC1" w:rsidRPr="00A42AC1" w:rsidRDefault="00A42AC1" w:rsidP="00A42AC1">
      <w:pPr>
        <w:pStyle w:val="ListParagraph"/>
        <w:keepNext/>
        <w:keepLines/>
        <w:numPr>
          <w:ilvl w:val="2"/>
          <w:numId w:val="9"/>
        </w:numPr>
        <w:spacing w:before="120"/>
        <w:contextualSpacing w:val="0"/>
        <w:jc w:val="left"/>
        <w:outlineLvl w:val="2"/>
        <w:rPr>
          <w:rFonts w:ascii="Arial" w:hAnsi="Arial"/>
          <w:vanish/>
          <w:sz w:val="24"/>
        </w:rPr>
      </w:pPr>
    </w:p>
    <w:p w14:paraId="3F572FFD" w14:textId="77777777" w:rsidR="00A42AC1" w:rsidRPr="00A42AC1" w:rsidRDefault="00A42AC1" w:rsidP="00A42AC1">
      <w:pPr>
        <w:pStyle w:val="ListParagraph"/>
        <w:keepNext/>
        <w:keepLines/>
        <w:numPr>
          <w:ilvl w:val="2"/>
          <w:numId w:val="9"/>
        </w:numPr>
        <w:spacing w:before="120"/>
        <w:contextualSpacing w:val="0"/>
        <w:jc w:val="left"/>
        <w:outlineLvl w:val="2"/>
        <w:rPr>
          <w:rFonts w:ascii="Arial" w:hAnsi="Arial"/>
          <w:vanish/>
          <w:sz w:val="24"/>
        </w:rPr>
      </w:pPr>
    </w:p>
    <w:p w14:paraId="476A1FE3" w14:textId="4CFA6079" w:rsidR="00742369" w:rsidRDefault="00917044" w:rsidP="00917044">
      <w:pPr>
        <w:pStyle w:val="Heading3"/>
        <w:numPr>
          <w:ilvl w:val="0"/>
          <w:numId w:val="0"/>
        </w:numPr>
        <w:ind w:left="810" w:hanging="720"/>
      </w:pPr>
      <w:r>
        <w:t>3.3.</w:t>
      </w:r>
      <w:r w:rsidR="005A331E">
        <w:t>5</w:t>
      </w:r>
      <w:r>
        <w:t xml:space="preserve"> </w:t>
      </w:r>
      <w:r w:rsidR="00BE3876">
        <w:t xml:space="preserve">UL </w:t>
      </w:r>
      <w:r w:rsidR="00742369">
        <w:t>PRS</w:t>
      </w:r>
      <w:r w:rsidR="002368D1">
        <w:t xml:space="preserve"> activation</w:t>
      </w:r>
      <w:r w:rsidR="007066FE">
        <w:t>/deactivation</w:t>
      </w:r>
    </w:p>
    <w:p w14:paraId="24F7EB6B" w14:textId="5D72D063" w:rsidR="00BE3876" w:rsidRDefault="003D0E61" w:rsidP="00742369">
      <w:r>
        <w:t>W</w:t>
      </w:r>
      <w:r w:rsidR="00BE3876">
        <w:t xml:space="preserve">ith the expected much larger number of UEs compared to the number of </w:t>
      </w:r>
      <w:proofErr w:type="spellStart"/>
      <w:r w:rsidR="00BE3876">
        <w:t>gNBs</w:t>
      </w:r>
      <w:proofErr w:type="spellEnd"/>
      <w:r w:rsidR="00BE3876">
        <w:t xml:space="preserve"> in NR, </w:t>
      </w:r>
      <w:r w:rsidR="002368D1">
        <w:t xml:space="preserve">always-on UL PRS would be challenging from </w:t>
      </w:r>
      <w:proofErr w:type="spellStart"/>
      <w:r w:rsidR="002368D1">
        <w:t>hearability</w:t>
      </w:r>
      <w:proofErr w:type="spellEnd"/>
      <w:r w:rsidR="002368D1">
        <w:t xml:space="preserve">, </w:t>
      </w:r>
      <w:r w:rsidR="007066FE">
        <w:t>overhead</w:t>
      </w:r>
      <w:r w:rsidR="002368D1">
        <w:t xml:space="preserve"> and power consumption considerations.  Instead, </w:t>
      </w:r>
      <w:r w:rsidR="007066FE">
        <w:t>UL PRS could be activated only for UEs that need navigation or positioning and only for times when such is required.  One option to consider would aperiodic operations where each UL PRS occasion would need an explicit grant</w:t>
      </w:r>
      <w:r w:rsidR="00865A76">
        <w:t xml:space="preserve"> and the grant would be implicitly revoked thereafter</w:t>
      </w:r>
      <w:r w:rsidR="007066FE">
        <w:t>.</w:t>
      </w:r>
      <w:r w:rsidR="00865A76">
        <w:t xml:space="preserve">  A different option would be to grant the UE UL PRS transmission for a pre-determined number of occasions, after which the grant would be implicitly revoked.  Yet a</w:t>
      </w:r>
      <w:r w:rsidR="007066FE">
        <w:t>nother option would be semi-</w:t>
      </w:r>
      <w:proofErr w:type="spellStart"/>
      <w:r w:rsidR="007066FE">
        <w:t>presistent</w:t>
      </w:r>
      <w:proofErr w:type="spellEnd"/>
      <w:r w:rsidR="007066FE">
        <w:t xml:space="preserve"> operation where a grant would be given to start UL PRS transmission</w:t>
      </w:r>
      <w:r w:rsidR="00865A76">
        <w:t xml:space="preserve"> (activation)</w:t>
      </w:r>
      <w:r w:rsidR="007066FE">
        <w:t xml:space="preserve">, and UL PRS transmission would continue </w:t>
      </w:r>
      <w:r w:rsidR="00865A76">
        <w:t>until the grant was explicitly revoked (deactivation).  Some of the options may also contain information about the periodicity of UL PRS transmissions.</w:t>
      </w:r>
    </w:p>
    <w:p w14:paraId="4630A063" w14:textId="50E0F4AD" w:rsidR="00D86C5C" w:rsidRPr="00D86C5C" w:rsidRDefault="000B54DC" w:rsidP="00D86C5C">
      <w:pPr>
        <w:pStyle w:val="Caption"/>
        <w:jc w:val="left"/>
        <w:rPr>
          <w:sz w:val="20"/>
          <w:szCs w:val="20"/>
          <w:lang w:val="en-US"/>
        </w:rPr>
      </w:pPr>
      <w:bookmarkStart w:id="22" w:name="_Ref1134982"/>
      <w:bookmarkStart w:id="23" w:name="_Ref534964676"/>
      <w:bookmarkStart w:id="24" w:name="_Hlk534967858"/>
      <w:r w:rsidRPr="000B54DC">
        <w:rPr>
          <w:sz w:val="20"/>
          <w:szCs w:val="20"/>
        </w:rPr>
        <w:t xml:space="preserve">Proposal </w:t>
      </w:r>
      <w:r w:rsidRPr="000B54DC">
        <w:rPr>
          <w:sz w:val="20"/>
          <w:szCs w:val="20"/>
        </w:rPr>
        <w:fldChar w:fldCharType="begin"/>
      </w:r>
      <w:r w:rsidRPr="000B54DC">
        <w:rPr>
          <w:sz w:val="20"/>
          <w:szCs w:val="20"/>
        </w:rPr>
        <w:instrText xml:space="preserve"> SEQ Proposal \* ARABIC </w:instrText>
      </w:r>
      <w:r w:rsidRPr="000B54DC">
        <w:rPr>
          <w:sz w:val="20"/>
          <w:szCs w:val="20"/>
        </w:rPr>
        <w:fldChar w:fldCharType="separate"/>
      </w:r>
      <w:r w:rsidR="00AE1FC7">
        <w:rPr>
          <w:noProof/>
          <w:sz w:val="20"/>
          <w:szCs w:val="20"/>
        </w:rPr>
        <w:t>8</w:t>
      </w:r>
      <w:r w:rsidRPr="000B54DC">
        <w:rPr>
          <w:sz w:val="20"/>
          <w:szCs w:val="20"/>
        </w:rPr>
        <w:fldChar w:fldCharType="end"/>
      </w:r>
      <w:r w:rsidRPr="000B54DC">
        <w:rPr>
          <w:sz w:val="20"/>
          <w:szCs w:val="20"/>
        </w:rPr>
        <w:t>:</w:t>
      </w:r>
      <w:r>
        <w:tab/>
      </w:r>
      <w:r w:rsidR="005A331E" w:rsidRPr="00C43693">
        <w:rPr>
          <w:sz w:val="20"/>
          <w:szCs w:val="20"/>
          <w:lang w:val="en-US"/>
        </w:rPr>
        <w:t>The legacy NR Rel-15 time</w:t>
      </w:r>
      <w:r w:rsidR="00C43693">
        <w:rPr>
          <w:sz w:val="20"/>
          <w:szCs w:val="20"/>
          <w:lang w:val="en-US"/>
        </w:rPr>
        <w:t>-domain</w:t>
      </w:r>
      <w:r w:rsidR="005A331E" w:rsidRPr="00C43693">
        <w:rPr>
          <w:sz w:val="20"/>
          <w:szCs w:val="20"/>
          <w:lang w:val="en-US"/>
        </w:rPr>
        <w:t xml:space="preserve"> behaviors of SRS resources, i.e., periodic, semi-persistent, aperiodic, SRS can be used as UL PRS.</w:t>
      </w:r>
      <w:bookmarkEnd w:id="22"/>
      <w:r w:rsidR="005A331E" w:rsidRPr="00C43693">
        <w:rPr>
          <w:sz w:val="20"/>
          <w:szCs w:val="20"/>
          <w:lang w:val="en-US"/>
        </w:rPr>
        <w:t xml:space="preserve"> </w:t>
      </w:r>
      <w:bookmarkEnd w:id="23"/>
    </w:p>
    <w:bookmarkEnd w:id="24"/>
    <w:p w14:paraId="0B188F69" w14:textId="41098650" w:rsidR="000A0AAA" w:rsidRPr="0099392E" w:rsidRDefault="000A0AAA" w:rsidP="000A0AAA">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0EDA4511" w14:textId="77777777" w:rsidR="000A0AAA" w:rsidRDefault="000A0AAA" w:rsidP="000A0AAA">
      <w:pPr>
        <w:pStyle w:val="NO"/>
        <w:ind w:left="0" w:firstLine="0"/>
        <w:jc w:val="left"/>
        <w:rPr>
          <w:lang w:val="en-US" w:eastAsia="ko-KR"/>
        </w:rPr>
      </w:pPr>
      <w:r>
        <w:rPr>
          <w:noProof/>
          <w:lang w:val="en-US" w:eastAsia="ko-KR"/>
        </w:rPr>
        <w:t>In this contribution, we make the following observations</w:t>
      </w:r>
      <w:r>
        <w:rPr>
          <w:lang w:val="en-US" w:eastAsia="ko-KR"/>
        </w:rPr>
        <w:t>:</w:t>
      </w:r>
    </w:p>
    <w:p w14:paraId="3F0B63CA" w14:textId="60603878" w:rsidR="00AE1FC7" w:rsidRDefault="00AE1FC7" w:rsidP="00AE1FC7">
      <w:pPr>
        <w:pStyle w:val="NO"/>
        <w:spacing w:after="0"/>
        <w:ind w:left="0" w:firstLine="0"/>
        <w:jc w:val="left"/>
        <w:rPr>
          <w:noProof/>
          <w:lang w:val="en-US" w:eastAsia="ko-KR"/>
        </w:rPr>
      </w:pPr>
      <w:r>
        <w:rPr>
          <w:noProof/>
          <w:lang w:val="en-US" w:eastAsia="ko-KR"/>
        </w:rPr>
        <w:fldChar w:fldCharType="begin"/>
      </w:r>
      <w:r>
        <w:rPr>
          <w:noProof/>
          <w:lang w:val="en-US" w:eastAsia="ko-KR"/>
        </w:rPr>
        <w:instrText xml:space="preserve"> REF _Ref1133493 \h  \* MERGEFORMAT </w:instrText>
      </w:r>
      <w:r>
        <w:rPr>
          <w:noProof/>
          <w:lang w:val="en-US" w:eastAsia="ko-KR"/>
        </w:rPr>
      </w:r>
      <w:r>
        <w:rPr>
          <w:noProof/>
          <w:lang w:val="en-US" w:eastAsia="ko-KR"/>
        </w:rPr>
        <w:fldChar w:fldCharType="separate"/>
      </w:r>
      <w:r w:rsidRPr="00AE1FC7">
        <w:rPr>
          <w:b/>
        </w:rPr>
        <w:t xml:space="preserve">Observation </w:t>
      </w:r>
      <w:r w:rsidRPr="00AE1FC7">
        <w:rPr>
          <w:b/>
          <w:noProof/>
        </w:rPr>
        <w:t>1</w:t>
      </w:r>
      <w:r w:rsidRPr="000C71D4">
        <w:t>:</w:t>
      </w:r>
      <w:r>
        <w:tab/>
        <w:t xml:space="preserve">RAT-dependent </w:t>
      </w:r>
      <w:r w:rsidRPr="000C71D4">
        <w:t>UE-Based positioning has an abundance of beneficial characteristics including but not limited to the following:</w:t>
      </w:r>
      <w:r>
        <w:rPr>
          <w:noProof/>
          <w:lang w:val="en-US" w:eastAsia="ko-KR"/>
        </w:rPr>
        <w:fldChar w:fldCharType="end"/>
      </w:r>
    </w:p>
    <w:p w14:paraId="083151B6" w14:textId="77777777" w:rsidR="00AE1FC7" w:rsidRPr="00AE1FC7" w:rsidRDefault="00AE1FC7" w:rsidP="00AE1FC7">
      <w:pPr>
        <w:pStyle w:val="ListParagraph"/>
        <w:numPr>
          <w:ilvl w:val="0"/>
          <w:numId w:val="21"/>
        </w:numPr>
        <w:spacing w:after="0"/>
        <w:rPr>
          <w:bCs/>
          <w:szCs w:val="18"/>
        </w:rPr>
      </w:pPr>
      <w:r w:rsidRPr="00AE1FC7">
        <w:rPr>
          <w:bCs/>
          <w:szCs w:val="18"/>
        </w:rPr>
        <w:t>Enables new use cases</w:t>
      </w:r>
    </w:p>
    <w:p w14:paraId="671872F4" w14:textId="77777777" w:rsidR="00AE1FC7" w:rsidRPr="00AE1FC7" w:rsidRDefault="00AE1FC7" w:rsidP="00AE1FC7">
      <w:pPr>
        <w:pStyle w:val="ListParagraph"/>
        <w:numPr>
          <w:ilvl w:val="0"/>
          <w:numId w:val="21"/>
        </w:numPr>
        <w:spacing w:after="0"/>
        <w:rPr>
          <w:bCs/>
          <w:szCs w:val="18"/>
        </w:rPr>
      </w:pPr>
      <w:r w:rsidRPr="00AE1FC7">
        <w:rPr>
          <w:bCs/>
          <w:szCs w:val="18"/>
        </w:rPr>
        <w:t>Enables improved performance of existing use cases</w:t>
      </w:r>
    </w:p>
    <w:p w14:paraId="2FFEF18E" w14:textId="77777777" w:rsidR="00AE1FC7" w:rsidRPr="00AE1FC7" w:rsidRDefault="00AE1FC7" w:rsidP="00AE1FC7">
      <w:pPr>
        <w:pStyle w:val="ListParagraph"/>
        <w:numPr>
          <w:ilvl w:val="0"/>
          <w:numId w:val="21"/>
        </w:numPr>
        <w:spacing w:after="0"/>
        <w:rPr>
          <w:bCs/>
          <w:szCs w:val="18"/>
        </w:rPr>
      </w:pPr>
      <w:r w:rsidRPr="00AE1FC7">
        <w:rPr>
          <w:bCs/>
          <w:szCs w:val="18"/>
        </w:rPr>
        <w:lastRenderedPageBreak/>
        <w:t>Improved scalability</w:t>
      </w:r>
    </w:p>
    <w:p w14:paraId="6285922D" w14:textId="77777777" w:rsidR="00AE1FC7" w:rsidRPr="00AE1FC7" w:rsidRDefault="00AE1FC7" w:rsidP="00AE1FC7">
      <w:pPr>
        <w:pStyle w:val="ListParagraph"/>
        <w:numPr>
          <w:ilvl w:val="0"/>
          <w:numId w:val="21"/>
        </w:numPr>
        <w:spacing w:after="0"/>
        <w:rPr>
          <w:bCs/>
          <w:szCs w:val="18"/>
        </w:rPr>
      </w:pPr>
      <w:r w:rsidRPr="00AE1FC7">
        <w:rPr>
          <w:bCs/>
          <w:szCs w:val="18"/>
        </w:rPr>
        <w:t>Low UL overhead</w:t>
      </w:r>
    </w:p>
    <w:p w14:paraId="3945AE07" w14:textId="77777777" w:rsidR="00AE1FC7" w:rsidRPr="00AE1FC7" w:rsidRDefault="00AE1FC7" w:rsidP="00AE1FC7">
      <w:pPr>
        <w:pStyle w:val="ListParagraph"/>
        <w:numPr>
          <w:ilvl w:val="0"/>
          <w:numId w:val="21"/>
        </w:numPr>
        <w:spacing w:after="0"/>
        <w:rPr>
          <w:bCs/>
          <w:szCs w:val="18"/>
        </w:rPr>
      </w:pPr>
      <w:r w:rsidRPr="00AE1FC7">
        <w:rPr>
          <w:bCs/>
          <w:szCs w:val="18"/>
        </w:rPr>
        <w:t>Low latency</w:t>
      </w:r>
    </w:p>
    <w:p w14:paraId="413208AD" w14:textId="77777777" w:rsidR="00AE1FC7" w:rsidRPr="00AE1FC7" w:rsidRDefault="00AE1FC7" w:rsidP="00AE1FC7">
      <w:pPr>
        <w:pStyle w:val="ListParagraph"/>
        <w:numPr>
          <w:ilvl w:val="0"/>
          <w:numId w:val="21"/>
        </w:numPr>
        <w:spacing w:after="0"/>
        <w:rPr>
          <w:bCs/>
          <w:szCs w:val="18"/>
        </w:rPr>
      </w:pPr>
      <w:r w:rsidRPr="00AE1FC7">
        <w:rPr>
          <w:bCs/>
          <w:szCs w:val="18"/>
        </w:rPr>
        <w:t>Very low specifications impact</w:t>
      </w:r>
    </w:p>
    <w:p w14:paraId="3783AF49" w14:textId="77777777" w:rsidR="00AE1FC7" w:rsidRPr="00AE1FC7" w:rsidRDefault="00AE1FC7" w:rsidP="00AE1FC7">
      <w:pPr>
        <w:pStyle w:val="ListParagraph"/>
        <w:numPr>
          <w:ilvl w:val="0"/>
          <w:numId w:val="21"/>
        </w:numPr>
        <w:spacing w:after="0"/>
        <w:rPr>
          <w:bCs/>
          <w:szCs w:val="18"/>
        </w:rPr>
      </w:pPr>
      <w:r w:rsidRPr="00AE1FC7">
        <w:rPr>
          <w:bCs/>
          <w:szCs w:val="18"/>
        </w:rPr>
        <w:t>Parity with RAT-independent UE-Based features</w:t>
      </w:r>
    </w:p>
    <w:p w14:paraId="028AD96D" w14:textId="25557A2F" w:rsidR="00AE1FC7" w:rsidRDefault="00AE1FC7" w:rsidP="00BB72F1">
      <w:pPr>
        <w:pStyle w:val="NO"/>
        <w:ind w:left="0" w:firstLine="0"/>
        <w:jc w:val="left"/>
        <w:rPr>
          <w:noProof/>
          <w:lang w:val="en-US" w:eastAsia="ko-KR"/>
        </w:rPr>
      </w:pPr>
      <w:r>
        <w:rPr>
          <w:noProof/>
          <w:lang w:val="en-US" w:eastAsia="ko-KR"/>
        </w:rPr>
        <w:fldChar w:fldCharType="begin"/>
      </w:r>
      <w:r>
        <w:rPr>
          <w:noProof/>
          <w:lang w:val="en-US" w:eastAsia="ko-KR"/>
        </w:rPr>
        <w:instrText xml:space="preserve"> REF _Ref1133511 \h  \* MERGEFORMAT </w:instrText>
      </w:r>
      <w:r>
        <w:rPr>
          <w:noProof/>
          <w:lang w:val="en-US" w:eastAsia="ko-KR"/>
        </w:rPr>
      </w:r>
      <w:r>
        <w:rPr>
          <w:noProof/>
          <w:lang w:val="en-US" w:eastAsia="ko-KR"/>
        </w:rPr>
        <w:fldChar w:fldCharType="separate"/>
      </w:r>
      <w:r w:rsidRPr="00AE1FC7">
        <w:rPr>
          <w:b/>
        </w:rPr>
        <w:t xml:space="preserve">Observation </w:t>
      </w:r>
      <w:r w:rsidRPr="00AE1FC7">
        <w:rPr>
          <w:b/>
          <w:noProof/>
        </w:rPr>
        <w:t>2</w:t>
      </w:r>
      <w:r w:rsidRPr="0093128F">
        <w:t>:</w:t>
      </w:r>
      <w:r w:rsidRPr="0093128F">
        <w:tab/>
      </w:r>
      <w:r>
        <w:t xml:space="preserve">RAT-dependent </w:t>
      </w:r>
      <w:r w:rsidRPr="0093128F">
        <w:t>UE-Based positioning was agreed, but not yet implemented for Rel-15 (RP-172313 (RP-78)).</w:t>
      </w:r>
      <w:r>
        <w:rPr>
          <w:noProof/>
          <w:lang w:val="en-US" w:eastAsia="ko-KR"/>
        </w:rPr>
        <w:fldChar w:fldCharType="end"/>
      </w:r>
    </w:p>
    <w:p w14:paraId="3CD291D5" w14:textId="662AF8CC" w:rsidR="00AE1FC7" w:rsidRDefault="00AE1FC7" w:rsidP="00BB72F1">
      <w:pPr>
        <w:pStyle w:val="NO"/>
        <w:ind w:left="0" w:firstLine="0"/>
        <w:jc w:val="left"/>
        <w:rPr>
          <w:noProof/>
          <w:lang w:val="en-US" w:eastAsia="ko-KR"/>
        </w:rPr>
      </w:pPr>
      <w:r>
        <w:rPr>
          <w:noProof/>
          <w:lang w:val="en-US" w:eastAsia="ko-KR"/>
        </w:rPr>
        <w:fldChar w:fldCharType="begin"/>
      </w:r>
      <w:r>
        <w:rPr>
          <w:noProof/>
          <w:lang w:val="en-US" w:eastAsia="ko-KR"/>
        </w:rPr>
        <w:instrText xml:space="preserve"> REF _Ref1133515 \h  \* MERGEFORMAT </w:instrText>
      </w:r>
      <w:r>
        <w:rPr>
          <w:noProof/>
          <w:lang w:val="en-US" w:eastAsia="ko-KR"/>
        </w:rPr>
      </w:r>
      <w:r>
        <w:rPr>
          <w:noProof/>
          <w:lang w:val="en-US" w:eastAsia="ko-KR"/>
        </w:rPr>
        <w:fldChar w:fldCharType="separate"/>
      </w:r>
      <w:r w:rsidRPr="00AE1FC7">
        <w:rPr>
          <w:b/>
        </w:rPr>
        <w:t xml:space="preserve">Observation </w:t>
      </w:r>
      <w:r w:rsidRPr="00AE1FC7">
        <w:rPr>
          <w:b/>
          <w:noProof/>
        </w:rPr>
        <w:t>3</w:t>
      </w:r>
      <w:r w:rsidRPr="0093128F">
        <w:t>:</w:t>
      </w:r>
      <w:r w:rsidRPr="0093128F">
        <w:tab/>
      </w:r>
      <w:r>
        <w:t xml:space="preserve">RAT-dependent </w:t>
      </w:r>
      <w:r w:rsidRPr="0093128F">
        <w:t>UE-Based positioning exists for RAT-independent methods.</w:t>
      </w:r>
      <w:r>
        <w:rPr>
          <w:noProof/>
          <w:lang w:val="en-US" w:eastAsia="ko-KR"/>
        </w:rPr>
        <w:fldChar w:fldCharType="end"/>
      </w:r>
    </w:p>
    <w:p w14:paraId="3EF87EBA" w14:textId="2128A4AD" w:rsidR="00AE1FC7" w:rsidRDefault="00AE1FC7" w:rsidP="00BB72F1">
      <w:pPr>
        <w:pStyle w:val="NO"/>
        <w:ind w:left="0" w:firstLine="0"/>
        <w:jc w:val="left"/>
        <w:rPr>
          <w:noProof/>
          <w:lang w:val="en-US" w:eastAsia="ko-KR"/>
        </w:rPr>
      </w:pPr>
      <w:r>
        <w:rPr>
          <w:noProof/>
          <w:lang w:val="en-US" w:eastAsia="ko-KR"/>
        </w:rPr>
        <w:fldChar w:fldCharType="begin"/>
      </w:r>
      <w:r>
        <w:rPr>
          <w:noProof/>
          <w:lang w:val="en-US" w:eastAsia="ko-KR"/>
        </w:rPr>
        <w:instrText xml:space="preserve"> REF _Ref1135121 \h  \* MERGEFORMAT </w:instrText>
      </w:r>
      <w:r>
        <w:rPr>
          <w:noProof/>
          <w:lang w:val="en-US" w:eastAsia="ko-KR"/>
        </w:rPr>
      </w:r>
      <w:r>
        <w:rPr>
          <w:noProof/>
          <w:lang w:val="en-US" w:eastAsia="ko-KR"/>
        </w:rPr>
        <w:fldChar w:fldCharType="separate"/>
      </w:r>
      <w:r w:rsidRPr="00AE1FC7">
        <w:rPr>
          <w:b/>
        </w:rPr>
        <w:t xml:space="preserve">Observation </w:t>
      </w:r>
      <w:r w:rsidRPr="00AE1FC7">
        <w:rPr>
          <w:b/>
          <w:noProof/>
        </w:rPr>
        <w:t>4</w:t>
      </w:r>
      <w:r w:rsidRPr="00AE1FC7">
        <w:rPr>
          <w:b/>
        </w:rPr>
        <w:t>:</w:t>
      </w:r>
      <w:r>
        <w:tab/>
      </w:r>
      <w:r w:rsidRPr="000B54DC">
        <w:t>Both UTDOA &amp; OTDOA require network synchronization, while multi-RTT does not have this requirement. If the network is tightly synchronized, using OTDOA would result in better performance compared to UTDOA, otherwise if the network is only loosely synchronized, using multi-RTT would again result in better performance than UTDOA.</w:t>
      </w:r>
      <w:r>
        <w:rPr>
          <w:noProof/>
          <w:lang w:val="en-US" w:eastAsia="ko-KR"/>
        </w:rPr>
        <w:fldChar w:fldCharType="end"/>
      </w:r>
    </w:p>
    <w:p w14:paraId="454CB4FD" w14:textId="5D651678" w:rsidR="00AE1FC7" w:rsidRDefault="00AE1FC7" w:rsidP="00BB72F1">
      <w:pPr>
        <w:pStyle w:val="NO"/>
        <w:ind w:left="0" w:firstLine="0"/>
        <w:jc w:val="left"/>
        <w:rPr>
          <w:noProof/>
          <w:lang w:val="en-US" w:eastAsia="ko-KR"/>
        </w:rPr>
      </w:pPr>
      <w:r>
        <w:rPr>
          <w:noProof/>
          <w:lang w:val="en-US" w:eastAsia="ko-KR"/>
        </w:rPr>
        <w:fldChar w:fldCharType="begin"/>
      </w:r>
      <w:r>
        <w:rPr>
          <w:noProof/>
          <w:lang w:val="en-US" w:eastAsia="ko-KR"/>
        </w:rPr>
        <w:instrText xml:space="preserve"> REF _Ref1135125 \h  \* MERGEFORMAT </w:instrText>
      </w:r>
      <w:r>
        <w:rPr>
          <w:noProof/>
          <w:lang w:val="en-US" w:eastAsia="ko-KR"/>
        </w:rPr>
      </w:r>
      <w:r>
        <w:rPr>
          <w:noProof/>
          <w:lang w:val="en-US" w:eastAsia="ko-KR"/>
        </w:rPr>
        <w:fldChar w:fldCharType="separate"/>
      </w:r>
      <w:r w:rsidRPr="00AE1FC7">
        <w:rPr>
          <w:b/>
        </w:rPr>
        <w:t xml:space="preserve">Observation </w:t>
      </w:r>
      <w:r w:rsidRPr="00AE1FC7">
        <w:rPr>
          <w:b/>
          <w:noProof/>
        </w:rPr>
        <w:t>5</w:t>
      </w:r>
      <w:r w:rsidRPr="000B54DC">
        <w:t>:</w:t>
      </w:r>
      <w:r w:rsidRPr="000B54DC">
        <w:tab/>
        <w:t>UTDOA positioning can be considered as a special case of multi-RTT positioning.</w:t>
      </w:r>
      <w:r>
        <w:rPr>
          <w:noProof/>
          <w:lang w:val="en-US" w:eastAsia="ko-KR"/>
        </w:rPr>
        <w:fldChar w:fldCharType="end"/>
      </w:r>
    </w:p>
    <w:p w14:paraId="191084AC" w14:textId="666286A6" w:rsidR="00AE1FC7" w:rsidRDefault="00AE1FC7" w:rsidP="00BB72F1">
      <w:pPr>
        <w:pStyle w:val="NO"/>
        <w:ind w:left="0" w:firstLine="0"/>
        <w:jc w:val="left"/>
        <w:rPr>
          <w:noProof/>
          <w:lang w:val="en-US" w:eastAsia="ko-KR"/>
        </w:rPr>
      </w:pPr>
      <w:r>
        <w:rPr>
          <w:noProof/>
          <w:lang w:val="en-US" w:eastAsia="ko-KR"/>
        </w:rPr>
        <w:fldChar w:fldCharType="begin"/>
      </w:r>
      <w:r>
        <w:rPr>
          <w:noProof/>
          <w:lang w:val="en-US" w:eastAsia="ko-KR"/>
        </w:rPr>
        <w:instrText xml:space="preserve"> REF _Ref1135129 \h  \* MERGEFORMAT </w:instrText>
      </w:r>
      <w:r>
        <w:rPr>
          <w:noProof/>
          <w:lang w:val="en-US" w:eastAsia="ko-KR"/>
        </w:rPr>
      </w:r>
      <w:r>
        <w:rPr>
          <w:noProof/>
          <w:lang w:val="en-US" w:eastAsia="ko-KR"/>
        </w:rPr>
        <w:fldChar w:fldCharType="separate"/>
      </w:r>
      <w:r w:rsidRPr="00AE1FC7">
        <w:rPr>
          <w:b/>
        </w:rPr>
        <w:t xml:space="preserve">Observation </w:t>
      </w:r>
      <w:r w:rsidRPr="00AE1FC7">
        <w:rPr>
          <w:b/>
          <w:noProof/>
        </w:rPr>
        <w:t>6</w:t>
      </w:r>
      <w:r w:rsidRPr="000B54DC">
        <w:t>:</w:t>
      </w:r>
      <w:r w:rsidRPr="000B54DC">
        <w:tab/>
      </w:r>
      <w:r w:rsidRPr="000B54DC">
        <w:rPr>
          <w:rFonts w:eastAsia="Times New Roman"/>
          <w:bCs/>
          <w:lang w:val="en-US"/>
        </w:rPr>
        <w:t xml:space="preserve">Uplink </w:t>
      </w:r>
      <w:proofErr w:type="spellStart"/>
      <w:r w:rsidRPr="000B54DC">
        <w:rPr>
          <w:rFonts w:eastAsia="Times New Roman"/>
          <w:bCs/>
          <w:lang w:val="en-US"/>
        </w:rPr>
        <w:t>AoA</w:t>
      </w:r>
      <w:proofErr w:type="spellEnd"/>
      <w:r w:rsidRPr="000B54DC">
        <w:rPr>
          <w:rFonts w:eastAsia="Times New Roman"/>
          <w:bCs/>
          <w:lang w:val="en-US"/>
        </w:rPr>
        <w:t xml:space="preserve"> positioning can be considered inside the procedural framework available for multi-RTT positioning.</w:t>
      </w:r>
      <w:r>
        <w:rPr>
          <w:noProof/>
          <w:lang w:val="en-US" w:eastAsia="ko-KR"/>
        </w:rPr>
        <w:fldChar w:fldCharType="end"/>
      </w:r>
    </w:p>
    <w:p w14:paraId="25D20610" w14:textId="262D9DCC" w:rsidR="00BB72F1" w:rsidRDefault="000A0AAA" w:rsidP="00BB72F1">
      <w:pPr>
        <w:pStyle w:val="NO"/>
        <w:ind w:left="0" w:firstLine="0"/>
        <w:jc w:val="left"/>
        <w:rPr>
          <w:lang w:val="en-US" w:eastAsia="ko-KR"/>
        </w:rPr>
      </w:pPr>
      <w:r>
        <w:rPr>
          <w:noProof/>
          <w:lang w:val="en-US" w:eastAsia="ko-KR"/>
        </w:rPr>
        <w:t>In this contribution, we make the following proposals</w:t>
      </w:r>
      <w:r>
        <w:rPr>
          <w:lang w:val="en-US" w:eastAsia="ko-KR"/>
        </w:rPr>
        <w:t>:</w:t>
      </w:r>
    </w:p>
    <w:bookmarkStart w:id="25" w:name="_Hlk1132480"/>
    <w:p w14:paraId="39B4AD99" w14:textId="561C1C63" w:rsidR="00AE1FC7" w:rsidRPr="00AE1FC7" w:rsidRDefault="00AE1FC7" w:rsidP="0099392E">
      <w:pPr>
        <w:pStyle w:val="Caption"/>
        <w:jc w:val="left"/>
        <w:rPr>
          <w:sz w:val="20"/>
          <w:szCs w:val="20"/>
        </w:rPr>
      </w:pPr>
      <w:r w:rsidRPr="00AE1FC7">
        <w:rPr>
          <w:sz w:val="20"/>
          <w:szCs w:val="20"/>
        </w:rPr>
        <w:fldChar w:fldCharType="begin"/>
      </w:r>
      <w:r w:rsidRPr="00AE1FC7">
        <w:rPr>
          <w:sz w:val="20"/>
          <w:szCs w:val="20"/>
        </w:rPr>
        <w:instrText xml:space="preserve"> REF _Ref1133585 \h  \* MERGEFORMAT </w:instrText>
      </w:r>
      <w:r w:rsidRPr="00AE1FC7">
        <w:rPr>
          <w:sz w:val="20"/>
          <w:szCs w:val="20"/>
        </w:rPr>
      </w:r>
      <w:r w:rsidRPr="00AE1FC7">
        <w:rPr>
          <w:sz w:val="20"/>
          <w:szCs w:val="20"/>
        </w:rPr>
        <w:fldChar w:fldCharType="separate"/>
      </w:r>
      <w:r w:rsidRPr="00AE1FC7">
        <w:rPr>
          <w:sz w:val="20"/>
          <w:szCs w:val="20"/>
        </w:rPr>
        <w:t xml:space="preserve">Proposal </w:t>
      </w:r>
      <w:r w:rsidRPr="00AE1FC7">
        <w:rPr>
          <w:noProof/>
          <w:sz w:val="20"/>
          <w:szCs w:val="20"/>
        </w:rPr>
        <w:t>1</w:t>
      </w:r>
      <w:r w:rsidRPr="00AE1FC7">
        <w:rPr>
          <w:b w:val="0"/>
          <w:noProof/>
          <w:sz w:val="20"/>
          <w:szCs w:val="20"/>
        </w:rPr>
        <w:t>:</w:t>
      </w:r>
      <w:r w:rsidRPr="00AE1FC7">
        <w:rPr>
          <w:b w:val="0"/>
          <w:noProof/>
          <w:sz w:val="20"/>
          <w:szCs w:val="20"/>
        </w:rPr>
        <w:tab/>
      </w:r>
      <w:r w:rsidRPr="00AE1FC7">
        <w:rPr>
          <w:b w:val="0"/>
          <w:sz w:val="20"/>
          <w:szCs w:val="20"/>
        </w:rPr>
        <w:t>Support RAT-dependent UE-Based positioning for NR in Rel-16</w:t>
      </w:r>
      <w:r w:rsidRPr="00AE1FC7">
        <w:rPr>
          <w:sz w:val="20"/>
          <w:szCs w:val="20"/>
        </w:rPr>
        <w:fldChar w:fldCharType="end"/>
      </w:r>
    </w:p>
    <w:p w14:paraId="18DC6B48" w14:textId="662BC342" w:rsidR="00AE1FC7" w:rsidRPr="00AE1FC7" w:rsidRDefault="00AE1FC7" w:rsidP="00AE1FC7">
      <w:r w:rsidRPr="00AE1FC7">
        <w:fldChar w:fldCharType="begin"/>
      </w:r>
      <w:r w:rsidRPr="00AE1FC7">
        <w:instrText xml:space="preserve"> REF _Ref534790231 \h  \* MERGEFORMAT </w:instrText>
      </w:r>
      <w:r w:rsidRPr="00AE1FC7">
        <w:fldChar w:fldCharType="separate"/>
      </w:r>
      <w:r w:rsidRPr="00AE1FC7">
        <w:rPr>
          <w:b/>
        </w:rPr>
        <w:t xml:space="preserve">Proposal </w:t>
      </w:r>
      <w:r w:rsidRPr="00AE1FC7">
        <w:rPr>
          <w:b/>
          <w:noProof/>
        </w:rPr>
        <w:t>2</w:t>
      </w:r>
      <w:r>
        <w:t>:</w:t>
      </w:r>
      <w:r w:rsidRPr="00F74C9F">
        <w:tab/>
      </w:r>
      <w:r>
        <w:t>An UL PRS</w:t>
      </w:r>
      <w:r w:rsidRPr="003645A5">
        <w:t xml:space="preserve"> should have a uniform comb density</w:t>
      </w:r>
      <w:r>
        <w:t xml:space="preserve"> in the frequency domain such that all subcarriers of the occupied bandwidth are occupied.</w:t>
      </w:r>
      <w:r w:rsidRPr="00AE1FC7">
        <w:fldChar w:fldCharType="end"/>
      </w:r>
    </w:p>
    <w:p w14:paraId="05B47BA4" w14:textId="1A9F2D2B" w:rsidR="00AE1FC7" w:rsidRPr="00AE1FC7" w:rsidRDefault="00AE1FC7" w:rsidP="00AE1FC7">
      <w:r w:rsidRPr="00AE1FC7">
        <w:fldChar w:fldCharType="begin"/>
      </w:r>
      <w:r w:rsidRPr="00AE1FC7">
        <w:instrText xml:space="preserve"> REF _Ref1134962 \h  \* MERGEFORMAT </w:instrText>
      </w:r>
      <w:r w:rsidRPr="00AE1FC7">
        <w:fldChar w:fldCharType="separate"/>
      </w:r>
      <w:r w:rsidRPr="00AE1FC7">
        <w:rPr>
          <w:b/>
        </w:rPr>
        <w:t xml:space="preserve">Proposal </w:t>
      </w:r>
      <w:r w:rsidRPr="00AE1FC7">
        <w:rPr>
          <w:b/>
          <w:noProof/>
        </w:rPr>
        <w:t>3</w:t>
      </w:r>
      <w:r w:rsidRPr="000B54DC">
        <w:t>:</w:t>
      </w:r>
      <w:r w:rsidRPr="000B54DC">
        <w:tab/>
      </w:r>
      <w:r>
        <w:t>NR Rel-16 should support configuration of SRS resource with repetition across 2(4) symbols with comb-2(4) such that all 2(4) frequency domain offsets are used.</w:t>
      </w:r>
      <w:r w:rsidRPr="00AE1FC7">
        <w:fldChar w:fldCharType="end"/>
      </w:r>
    </w:p>
    <w:p w14:paraId="4307E985" w14:textId="3F1FEDA7" w:rsidR="00AE1FC7" w:rsidRPr="00AE1FC7" w:rsidRDefault="00AE1FC7" w:rsidP="00AE1FC7">
      <w:r w:rsidRPr="00AE1FC7">
        <w:fldChar w:fldCharType="begin"/>
      </w:r>
      <w:r w:rsidRPr="00AE1FC7">
        <w:instrText xml:space="preserve"> REF _Ref1134966 \h  \* MERGEFORMAT </w:instrText>
      </w:r>
      <w:r w:rsidRPr="00AE1FC7">
        <w:fldChar w:fldCharType="separate"/>
      </w:r>
      <w:r w:rsidRPr="00AE1FC7">
        <w:rPr>
          <w:b/>
        </w:rPr>
        <w:t xml:space="preserve">Proposal </w:t>
      </w:r>
      <w:r w:rsidRPr="00AE1FC7">
        <w:rPr>
          <w:b/>
          <w:noProof/>
        </w:rPr>
        <w:t>4</w:t>
      </w:r>
      <w:r w:rsidRPr="000B54DC">
        <w:t>:</w:t>
      </w:r>
      <w:r>
        <w:t xml:space="preserve"> NR Rel-16 should support configuration of SRS resource with repetition factor with up to N consecutive symbols, where N is larger than 4. Discuss further the value of N.</w:t>
      </w:r>
      <w:r w:rsidRPr="00AE1FC7">
        <w:fldChar w:fldCharType="end"/>
      </w:r>
    </w:p>
    <w:p w14:paraId="3596E7E9" w14:textId="771280F0" w:rsidR="00AE1FC7" w:rsidRPr="00AE1FC7" w:rsidRDefault="00AE1FC7" w:rsidP="00AE1FC7">
      <w:r w:rsidRPr="00AE1FC7">
        <w:fldChar w:fldCharType="begin"/>
      </w:r>
      <w:r w:rsidRPr="00AE1FC7">
        <w:instrText xml:space="preserve"> REF _Hlk534967829 \h  \* MERGEFORMAT </w:instrText>
      </w:r>
      <w:r w:rsidRPr="00AE1FC7">
        <w:fldChar w:fldCharType="separate"/>
      </w:r>
      <w:r w:rsidRPr="00AE1FC7">
        <w:rPr>
          <w:b/>
        </w:rPr>
        <w:t xml:space="preserve">Proposal </w:t>
      </w:r>
      <w:r w:rsidRPr="00AE1FC7">
        <w:rPr>
          <w:b/>
          <w:noProof/>
        </w:rPr>
        <w:t>5</w:t>
      </w:r>
      <w:r w:rsidRPr="000B54DC">
        <w:t>:</w:t>
      </w:r>
      <w:r>
        <w:tab/>
        <w:t xml:space="preserve">The spatial Relation info of an SRS resource can be a configured to be a DL PRS or SSB from the serving or a </w:t>
      </w:r>
      <w:proofErr w:type="spellStart"/>
      <w:r>
        <w:t>neighboring</w:t>
      </w:r>
      <w:proofErr w:type="spellEnd"/>
      <w:r>
        <w:t xml:space="preserve"> BS</w:t>
      </w:r>
      <w:r w:rsidRPr="0099392E">
        <w:t>.</w:t>
      </w:r>
      <w:r w:rsidRPr="00AE1FC7">
        <w:fldChar w:fldCharType="end"/>
      </w:r>
    </w:p>
    <w:p w14:paraId="4284CDD9" w14:textId="30046FA0" w:rsidR="00AE1FC7" w:rsidRPr="00AE1FC7" w:rsidRDefault="00AE1FC7" w:rsidP="00AE1FC7">
      <w:r w:rsidRPr="00AE1FC7">
        <w:fldChar w:fldCharType="begin"/>
      </w:r>
      <w:r w:rsidRPr="00AE1FC7">
        <w:instrText xml:space="preserve"> REF _Ref1134973 \h  \* MERGEFORMAT </w:instrText>
      </w:r>
      <w:r w:rsidRPr="00AE1FC7">
        <w:fldChar w:fldCharType="separate"/>
      </w:r>
      <w:r w:rsidRPr="00AE1FC7">
        <w:rPr>
          <w:b/>
        </w:rPr>
        <w:t xml:space="preserve">Proposal </w:t>
      </w:r>
      <w:r w:rsidRPr="00AE1FC7">
        <w:rPr>
          <w:b/>
          <w:noProof/>
        </w:rPr>
        <w:t>6</w:t>
      </w:r>
      <w:r w:rsidRPr="000B54DC">
        <w:t>:</w:t>
      </w:r>
      <w:r w:rsidRPr="000B54DC">
        <w:tab/>
      </w:r>
      <w:r>
        <w:t>For an SRS resource set used for the legacy NR Rel-15 use-cases, no change in the UL power control, or UL timing advance should be considered even if these SRS resources are also used for positioning purposes.</w:t>
      </w:r>
      <w:r w:rsidRPr="00AE1FC7">
        <w:fldChar w:fldCharType="end"/>
      </w:r>
    </w:p>
    <w:p w14:paraId="6B75AFF4" w14:textId="61734319" w:rsidR="00AE1FC7" w:rsidRPr="00AE1FC7" w:rsidRDefault="00AE1FC7" w:rsidP="00AE1FC7">
      <w:r w:rsidRPr="00AE1FC7">
        <w:fldChar w:fldCharType="begin"/>
      </w:r>
      <w:r w:rsidRPr="00AE1FC7">
        <w:instrText xml:space="preserve"> REF _Ref1134978 \h  \* MERGEFORMAT </w:instrText>
      </w:r>
      <w:r w:rsidRPr="00AE1FC7">
        <w:fldChar w:fldCharType="separate"/>
      </w:r>
      <w:r w:rsidRPr="00AE1FC7">
        <w:rPr>
          <w:b/>
        </w:rPr>
        <w:t xml:space="preserve">Proposal </w:t>
      </w:r>
      <w:r w:rsidRPr="00AE1FC7">
        <w:rPr>
          <w:b/>
          <w:noProof/>
        </w:rPr>
        <w:t>7</w:t>
      </w:r>
      <w:r>
        <w:t>:</w:t>
      </w:r>
      <w:r>
        <w:tab/>
        <w:t>Carry-over the association of an SRS with an UL BWP from NR Rel-15 to NR Rel-16. Use the legacy features of UL BWP switching and UL SRS carrier switching for transmitting SRS used for positioning in other BWPs or CCs.</w:t>
      </w:r>
      <w:r w:rsidRPr="00AE1FC7">
        <w:fldChar w:fldCharType="end"/>
      </w:r>
    </w:p>
    <w:p w14:paraId="344D87CF" w14:textId="5D79E5F2" w:rsidR="00AE1FC7" w:rsidRPr="00AE1FC7" w:rsidRDefault="00AE1FC7" w:rsidP="00AE1FC7">
      <w:r w:rsidRPr="00AE1FC7">
        <w:fldChar w:fldCharType="begin"/>
      </w:r>
      <w:r w:rsidRPr="00AE1FC7">
        <w:instrText xml:space="preserve"> REF _Ref1134982 \h  \* MERGEFORMAT </w:instrText>
      </w:r>
      <w:r w:rsidRPr="00AE1FC7">
        <w:fldChar w:fldCharType="separate"/>
      </w:r>
      <w:r w:rsidRPr="00AE1FC7">
        <w:rPr>
          <w:b/>
        </w:rPr>
        <w:t xml:space="preserve">Proposal </w:t>
      </w:r>
      <w:r w:rsidRPr="00AE1FC7">
        <w:rPr>
          <w:b/>
          <w:noProof/>
        </w:rPr>
        <w:t>8</w:t>
      </w:r>
      <w:r w:rsidRPr="000B54DC">
        <w:t>:</w:t>
      </w:r>
      <w:r>
        <w:tab/>
      </w:r>
      <w:r w:rsidRPr="00C43693">
        <w:rPr>
          <w:lang w:val="en-US"/>
        </w:rPr>
        <w:t>The legacy NR Rel-15 time</w:t>
      </w:r>
      <w:r>
        <w:rPr>
          <w:lang w:val="en-US"/>
        </w:rPr>
        <w:t>-domain</w:t>
      </w:r>
      <w:r w:rsidRPr="00C43693">
        <w:rPr>
          <w:lang w:val="en-US"/>
        </w:rPr>
        <w:t xml:space="preserve"> behaviors of SRS resources, i.e., periodic, semi-persistent, aperiodic, SRS can be used as UL PRS.</w:t>
      </w:r>
      <w:r w:rsidRPr="00AE1FC7">
        <w:fldChar w:fldCharType="end"/>
      </w:r>
    </w:p>
    <w:bookmarkEnd w:id="25"/>
    <w:p w14:paraId="245F84CF" w14:textId="453F0E2C" w:rsidR="000A0AAA" w:rsidRPr="00E66724"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26" w:name="_Ref450583331"/>
      <w:bookmarkEnd w:id="26"/>
    </w:p>
    <w:p w14:paraId="3E9DF219" w14:textId="7C64DE3D" w:rsidR="000A0AAA" w:rsidRDefault="000A0AAA" w:rsidP="000A0AAA">
      <w:pPr>
        <w:spacing w:after="0"/>
        <w:ind w:left="568" w:hanging="568"/>
        <w:jc w:val="left"/>
        <w:rPr>
          <w:lang w:eastAsia="ko-KR"/>
        </w:rPr>
      </w:pPr>
      <w:r>
        <w:rPr>
          <w:lang w:eastAsia="ko-KR"/>
        </w:rPr>
        <w:t>[1]</w:t>
      </w:r>
      <w:r>
        <w:rPr>
          <w:lang w:eastAsia="ko-KR"/>
        </w:rPr>
        <w:tab/>
      </w:r>
      <w:hyperlink r:id="rId17" w:history="1">
        <w:r w:rsidRPr="007500B6">
          <w:rPr>
            <w:rStyle w:val="Hyperlink"/>
            <w:lang w:eastAsia="ko-KR"/>
          </w:rPr>
          <w:t>RP-181399</w:t>
        </w:r>
      </w:hyperlink>
      <w:r>
        <w:rPr>
          <w:lang w:eastAsia="ko-KR"/>
        </w:rPr>
        <w:t xml:space="preserve">, </w:t>
      </w:r>
      <w:r w:rsidRPr="004B4CA0">
        <w:t>"</w:t>
      </w:r>
      <w:r w:rsidRPr="00CE0AF0">
        <w:rPr>
          <w:lang w:eastAsia="ko-KR"/>
        </w:rPr>
        <w:t>New SID: Study on NR positioning support</w:t>
      </w:r>
      <w:r w:rsidRPr="004B4CA0">
        <w:t>"</w:t>
      </w:r>
      <w:r>
        <w:rPr>
          <w:lang w:eastAsia="ko-KR"/>
        </w:rPr>
        <w:t xml:space="preserve">, </w:t>
      </w:r>
      <w:r w:rsidRPr="00CE0AF0">
        <w:rPr>
          <w:lang w:eastAsia="ko-KR"/>
        </w:rPr>
        <w:t>Intel Corporation, Ericsson</w:t>
      </w:r>
      <w:r>
        <w:rPr>
          <w:lang w:eastAsia="ko-KR"/>
        </w:rPr>
        <w:t>.</w:t>
      </w:r>
    </w:p>
    <w:p w14:paraId="4C5D7668" w14:textId="44AECE09" w:rsidR="000A0AAA" w:rsidRDefault="000A0AAA" w:rsidP="000A0AAA">
      <w:pPr>
        <w:spacing w:after="0"/>
        <w:ind w:left="568" w:hanging="568"/>
        <w:jc w:val="left"/>
        <w:rPr>
          <w:lang w:eastAsia="ko-KR"/>
        </w:rPr>
      </w:pPr>
      <w:r>
        <w:rPr>
          <w:lang w:eastAsia="ko-KR"/>
        </w:rPr>
        <w:t>[2]</w:t>
      </w:r>
      <w:r>
        <w:rPr>
          <w:lang w:eastAsia="ko-KR"/>
        </w:rPr>
        <w:tab/>
      </w:r>
      <w:hyperlink r:id="rId18"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w:t>
      </w:r>
    </w:p>
    <w:p w14:paraId="38945F01" w14:textId="77777777" w:rsidR="000A0AAA" w:rsidRDefault="000A0AAA" w:rsidP="000A0AAA">
      <w:pPr>
        <w:spacing w:after="0"/>
        <w:ind w:left="568" w:hanging="568"/>
        <w:jc w:val="left"/>
      </w:pPr>
      <w:r>
        <w:rPr>
          <w:lang w:eastAsia="ko-KR"/>
        </w:rPr>
        <w:t>[3</w:t>
      </w:r>
      <w:r w:rsidRPr="00E81ED1">
        <w:rPr>
          <w:lang w:eastAsia="ko-KR"/>
        </w:rPr>
        <w:t>]</w:t>
      </w:r>
      <w:r w:rsidRPr="00E81ED1">
        <w:rPr>
          <w:lang w:eastAsia="ko-KR"/>
        </w:rPr>
        <w:tab/>
      </w:r>
      <w:r>
        <w:t>3GPP RAN1#94bis Chairman’s Notes</w:t>
      </w:r>
    </w:p>
    <w:p w14:paraId="72B93735" w14:textId="36D90402" w:rsidR="005F0EA5" w:rsidRDefault="005F0EA5" w:rsidP="005F0EA5">
      <w:pPr>
        <w:spacing w:after="0"/>
        <w:ind w:left="568" w:hanging="568"/>
        <w:jc w:val="left"/>
      </w:pPr>
      <w:r>
        <w:rPr>
          <w:lang w:eastAsia="ko-KR"/>
        </w:rPr>
        <w:t>[4]</w:t>
      </w:r>
      <w:r>
        <w:rPr>
          <w:lang w:eastAsia="ko-KR"/>
        </w:rPr>
        <w:tab/>
      </w:r>
      <w:r>
        <w:t>3GPP RAN1#95 Chairman’s Notes</w:t>
      </w:r>
    </w:p>
    <w:p w14:paraId="6567377F" w14:textId="24D673D5" w:rsidR="000A0AAA" w:rsidRDefault="000A0AAA" w:rsidP="000A0AAA">
      <w:pPr>
        <w:spacing w:after="0"/>
        <w:ind w:left="568" w:hanging="568"/>
        <w:jc w:val="left"/>
      </w:pPr>
      <w:r>
        <w:t>[</w:t>
      </w:r>
      <w:r w:rsidR="005F0EA5">
        <w:t>5</w:t>
      </w:r>
      <w:r>
        <w:t>]</w:t>
      </w:r>
      <w:r>
        <w:tab/>
        <w:t xml:space="preserve">3GPP TR 38.802: </w:t>
      </w:r>
      <w:r w:rsidRPr="004B4CA0">
        <w:t>"</w:t>
      </w:r>
      <w:r>
        <w:t>Study on New Radio Access Technology; Physical Layer Aspects</w:t>
      </w:r>
      <w:r w:rsidRPr="004B4CA0">
        <w:t>"</w:t>
      </w:r>
      <w:r>
        <w:t>.</w:t>
      </w:r>
    </w:p>
    <w:p w14:paraId="43C8F09B" w14:textId="52266781" w:rsidR="000A0AAA" w:rsidRDefault="000A0AAA" w:rsidP="000A0AAA">
      <w:pPr>
        <w:spacing w:after="0"/>
        <w:ind w:left="568" w:hanging="568"/>
        <w:jc w:val="left"/>
      </w:pPr>
      <w:r>
        <w:t>[</w:t>
      </w:r>
      <w:r w:rsidR="005F0EA5">
        <w:t>6</w:t>
      </w:r>
      <w:r>
        <w:t>]</w:t>
      </w:r>
      <w:r>
        <w:tab/>
        <w:t>3GPP TR 37.857:</w:t>
      </w:r>
      <w:r w:rsidRPr="000D75DB">
        <w:t xml:space="preserve"> </w:t>
      </w:r>
      <w:r w:rsidRPr="004B4CA0">
        <w:t>"</w:t>
      </w:r>
      <w:r>
        <w:t>Study on indoor positioning enhancements for UTRA and LTE</w:t>
      </w:r>
      <w:r w:rsidRPr="004B4CA0">
        <w:t>"</w:t>
      </w:r>
      <w:r>
        <w:t>.</w:t>
      </w:r>
    </w:p>
    <w:p w14:paraId="0EC3529D" w14:textId="265D9163" w:rsidR="000A0AAA" w:rsidRDefault="000A0AAA" w:rsidP="000A0AAA">
      <w:pPr>
        <w:spacing w:after="0"/>
        <w:ind w:left="568" w:hanging="568"/>
        <w:jc w:val="left"/>
      </w:pPr>
      <w:r>
        <w:t>[</w:t>
      </w:r>
      <w:r w:rsidR="005F0EA5">
        <w:t>7</w:t>
      </w:r>
      <w:r>
        <w:t>]</w:t>
      </w:r>
      <w:r>
        <w:tab/>
        <w:t>3GPP TR 36.873:</w:t>
      </w:r>
      <w:r w:rsidRPr="0099071A">
        <w:t xml:space="preserve"> </w:t>
      </w:r>
      <w:r w:rsidRPr="004B4CA0">
        <w:t>"</w:t>
      </w:r>
      <w:r w:rsidRPr="0099071A">
        <w:t>Study on 3D channel model for LTE</w:t>
      </w:r>
      <w:r w:rsidRPr="004B4CA0">
        <w:t>"</w:t>
      </w:r>
      <w:r>
        <w:t xml:space="preserve">. </w:t>
      </w:r>
    </w:p>
    <w:p w14:paraId="3CB4B7F9" w14:textId="51EB6485" w:rsidR="00836153" w:rsidRDefault="00836153" w:rsidP="00EF2EA8">
      <w:pPr>
        <w:spacing w:after="0"/>
        <w:ind w:left="562" w:hanging="562"/>
        <w:jc w:val="left"/>
      </w:pPr>
      <w:r>
        <w:t>[</w:t>
      </w:r>
      <w:r w:rsidR="005F0EA5">
        <w:t>8</w:t>
      </w:r>
      <w:r>
        <w:t>]</w:t>
      </w:r>
      <w:r>
        <w:tab/>
      </w:r>
      <w:bookmarkStart w:id="27" w:name="_Hlk531248919"/>
      <w:r>
        <w:rPr>
          <w:lang w:eastAsia="ko-KR"/>
        </w:rPr>
        <w:t xml:space="preserve">3GPP TS 38.305: </w:t>
      </w:r>
      <w:r w:rsidRPr="004B4CA0">
        <w:t>"</w:t>
      </w:r>
      <w:r>
        <w:t>Stage 2 functional specification of User Equipment (UE) positioning in NG-RAN</w:t>
      </w:r>
      <w:r w:rsidRPr="004B4CA0">
        <w:t>"</w:t>
      </w:r>
      <w:r>
        <w:t>.</w:t>
      </w:r>
    </w:p>
    <w:p w14:paraId="01BF6E87" w14:textId="0122FD20" w:rsidR="00B77082" w:rsidRDefault="00B77082" w:rsidP="00EF2EA8">
      <w:pPr>
        <w:spacing w:after="0"/>
        <w:ind w:left="568" w:hanging="568"/>
        <w:jc w:val="left"/>
      </w:pPr>
      <w:r>
        <w:t>[</w:t>
      </w:r>
      <w:r w:rsidR="005F0EA5">
        <w:t>9</w:t>
      </w:r>
      <w:r>
        <w:t>]</w:t>
      </w:r>
      <w:r>
        <w:tab/>
      </w:r>
      <w:hyperlink r:id="rId19" w:history="1">
        <w:r w:rsidRPr="00C27461">
          <w:rPr>
            <w:rStyle w:val="Hyperlink"/>
          </w:rPr>
          <w:t>R2-18</w:t>
        </w:r>
        <w:r w:rsidR="00C27461" w:rsidRPr="00C27461">
          <w:rPr>
            <w:rStyle w:val="Hyperlink"/>
          </w:rPr>
          <w:t>17899</w:t>
        </w:r>
      </w:hyperlink>
      <w:r w:rsidR="00C27461">
        <w:t xml:space="preserve">, </w:t>
      </w:r>
      <w:r w:rsidR="00C27461" w:rsidRPr="004B4CA0">
        <w:t>"</w:t>
      </w:r>
      <w:r w:rsidR="00C27461">
        <w:t>Combined Downlink and Uplink Positioning Procedures</w:t>
      </w:r>
      <w:r w:rsidR="00C27461" w:rsidRPr="004B4CA0">
        <w:t>"</w:t>
      </w:r>
      <w:r w:rsidR="00C27461">
        <w:t>, Qualcomm Incorporated.</w:t>
      </w:r>
    </w:p>
    <w:p w14:paraId="0789C111" w14:textId="3857899F" w:rsidR="00C27461" w:rsidRDefault="00C27461" w:rsidP="00EF2EA8">
      <w:pPr>
        <w:spacing w:after="0"/>
        <w:ind w:left="568" w:hanging="568"/>
        <w:jc w:val="left"/>
      </w:pPr>
      <w:r>
        <w:t>[1</w:t>
      </w:r>
      <w:r w:rsidR="005F0EA5">
        <w:t>0</w:t>
      </w:r>
      <w:r>
        <w:t>]</w:t>
      </w:r>
      <w:r>
        <w:tab/>
        <w:t xml:space="preserve">3GPP TS 36.305: </w:t>
      </w:r>
      <w:r w:rsidRPr="00905585">
        <w:t>"</w:t>
      </w:r>
      <w:r>
        <w:t>Stage 2 functional specification of User Equipment (UE) positioning in E-UTRAN</w:t>
      </w:r>
      <w:r w:rsidRPr="00905585">
        <w:t>"</w:t>
      </w:r>
      <w:r>
        <w:t>.</w:t>
      </w:r>
    </w:p>
    <w:p w14:paraId="1B181A91" w14:textId="1147730E" w:rsidR="00C27461" w:rsidRDefault="00C27461" w:rsidP="00EF2EA8">
      <w:pPr>
        <w:spacing w:after="0"/>
        <w:ind w:left="568" w:hanging="568"/>
        <w:jc w:val="left"/>
      </w:pPr>
      <w:r>
        <w:t>[1</w:t>
      </w:r>
      <w:r w:rsidR="005F0EA5">
        <w:t>1</w:t>
      </w:r>
      <w:r>
        <w:t>]</w:t>
      </w:r>
      <w:r>
        <w:tab/>
        <w:t xml:space="preserve">3GPP TS 36.455: </w:t>
      </w:r>
      <w:r w:rsidRPr="00905585">
        <w:t>"</w:t>
      </w:r>
      <w:r>
        <w:t>LTE Positioning Protocol A (</w:t>
      </w:r>
      <w:proofErr w:type="spellStart"/>
      <w:r>
        <w:t>LPPa</w:t>
      </w:r>
      <w:proofErr w:type="spellEnd"/>
      <w:r>
        <w:t>)</w:t>
      </w:r>
      <w:r w:rsidRPr="00905585">
        <w:t>".</w:t>
      </w:r>
    </w:p>
    <w:p w14:paraId="6AF971F5" w14:textId="1766890A" w:rsidR="005F0EA5" w:rsidRPr="006B289A" w:rsidRDefault="005F0EA5" w:rsidP="005F0EA5">
      <w:pPr>
        <w:spacing w:after="0"/>
        <w:jc w:val="left"/>
        <w:rPr>
          <w:rFonts w:ascii="Arial" w:eastAsia="Times New Roman" w:hAnsi="Arial" w:cs="Arial"/>
          <w:b/>
          <w:color w:val="FF00FF"/>
          <w:sz w:val="16"/>
          <w:szCs w:val="16"/>
          <w:lang w:val="en-US"/>
        </w:rPr>
      </w:pPr>
      <w:r w:rsidRPr="006B289A">
        <w:t xml:space="preserve">[12] </w:t>
      </w:r>
      <w:r w:rsidRPr="006B289A">
        <w:tab/>
      </w:r>
      <w:r w:rsidR="006B289A" w:rsidRPr="006B289A">
        <w:t>R1-1903018</w:t>
      </w:r>
      <w:r w:rsidRPr="006B289A">
        <w:t>, “RAT-dependent DL-only NR positioning techniques”, Qualcomm</w:t>
      </w:r>
      <w:r w:rsidR="00683D97">
        <w:t xml:space="preserve"> </w:t>
      </w:r>
      <w:r w:rsidR="00683D97" w:rsidRPr="00683D97">
        <w:t>Incorporated</w:t>
      </w:r>
      <w:r w:rsidRPr="006B289A">
        <w:t xml:space="preserve">, 3GPP RAN1 </w:t>
      </w:r>
      <w:r w:rsidR="006B289A">
        <w:t>96</w:t>
      </w:r>
    </w:p>
    <w:p w14:paraId="494CF56A" w14:textId="0CF850E9" w:rsidR="00785371" w:rsidRPr="006B289A" w:rsidRDefault="00785371" w:rsidP="00785371">
      <w:pPr>
        <w:spacing w:after="0"/>
        <w:jc w:val="left"/>
      </w:pPr>
      <w:r w:rsidRPr="006B289A">
        <w:t xml:space="preserve">[13] </w:t>
      </w:r>
      <w:r w:rsidRPr="006B289A">
        <w:tab/>
      </w:r>
      <w:r w:rsidR="006B289A" w:rsidRPr="006B289A">
        <w:t>R1-1903020</w:t>
      </w:r>
      <w:r w:rsidRPr="006B289A">
        <w:t>, “RAT-dependent DL and UL NR positioning techniques”, Qualcomm</w:t>
      </w:r>
      <w:r w:rsidR="00683D97">
        <w:t xml:space="preserve"> </w:t>
      </w:r>
      <w:r w:rsidR="00683D97" w:rsidRPr="00683D97">
        <w:t>Incorporated</w:t>
      </w:r>
      <w:r w:rsidRPr="006B289A">
        <w:t xml:space="preserve">, 3GPP RAN1 </w:t>
      </w:r>
      <w:r w:rsidR="006B289A">
        <w:t>96</w:t>
      </w:r>
    </w:p>
    <w:p w14:paraId="51D45F97" w14:textId="2D190D60" w:rsidR="005F0EA5" w:rsidRPr="006B289A" w:rsidRDefault="005F0EA5" w:rsidP="00785371">
      <w:pPr>
        <w:spacing w:after="0"/>
        <w:jc w:val="left"/>
      </w:pPr>
      <w:r w:rsidRPr="006B289A">
        <w:t xml:space="preserve">[14] </w:t>
      </w:r>
      <w:r w:rsidRPr="006B289A">
        <w:tab/>
      </w:r>
      <w:r w:rsidR="006B289A" w:rsidRPr="006B289A">
        <w:t>R1-1903021</w:t>
      </w:r>
      <w:r w:rsidRPr="006B289A">
        <w:t>, “Evaluation results for RAT-dependent positioning Techniques”, Qualcomm</w:t>
      </w:r>
      <w:r w:rsidR="00683D97">
        <w:t xml:space="preserve"> </w:t>
      </w:r>
      <w:r w:rsidR="00683D97" w:rsidRPr="00683D97">
        <w:t>Incorporated</w:t>
      </w:r>
      <w:r w:rsidRPr="006B289A">
        <w:t xml:space="preserve">, 3GPP RAN1 </w:t>
      </w:r>
      <w:r w:rsidR="006B289A">
        <w:t>96</w:t>
      </w:r>
    </w:p>
    <w:p w14:paraId="35C7B5A3" w14:textId="4B8ADCD8" w:rsidR="000A0AAA" w:rsidRPr="009F079F" w:rsidRDefault="005F0EA5" w:rsidP="005F0EA5">
      <w:pPr>
        <w:spacing w:after="0"/>
        <w:jc w:val="left"/>
        <w:rPr>
          <w:rFonts w:ascii="Arial" w:eastAsia="MS Mincho" w:hAnsi="Arial"/>
          <w:sz w:val="24"/>
        </w:rPr>
      </w:pPr>
      <w:r w:rsidRPr="006B289A">
        <w:t xml:space="preserve">[15] </w:t>
      </w:r>
      <w:r w:rsidRPr="006B289A">
        <w:tab/>
      </w:r>
      <w:r w:rsidR="006B289A" w:rsidRPr="006B289A">
        <w:t>R1-1903022</w:t>
      </w:r>
      <w:r w:rsidRPr="006B289A">
        <w:t>, “RAT Independent and Hybrid Positioning Solutions”, Qualcomm</w:t>
      </w:r>
      <w:r w:rsidR="00683D97">
        <w:t xml:space="preserve"> </w:t>
      </w:r>
      <w:r w:rsidR="00683D97" w:rsidRPr="00683D97">
        <w:t>Incorporated</w:t>
      </w:r>
      <w:r w:rsidRPr="006B289A">
        <w:t xml:space="preserve">, 3GPP RAN1 </w:t>
      </w:r>
      <w:bookmarkEnd w:id="27"/>
      <w:r w:rsidR="006B289A">
        <w:t>96</w:t>
      </w:r>
    </w:p>
    <w:sectPr w:rsidR="000A0AAA" w:rsidRPr="009F079F" w:rsidSect="00A92D32">
      <w:footerReference w:type="default" r:id="rId20"/>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68707" w14:textId="77777777" w:rsidR="009E5254" w:rsidRDefault="009E5254">
      <w:r>
        <w:separator/>
      </w:r>
    </w:p>
  </w:endnote>
  <w:endnote w:type="continuationSeparator" w:id="0">
    <w:p w14:paraId="10FCA282" w14:textId="77777777" w:rsidR="009E5254" w:rsidRDefault="009E5254">
      <w:r>
        <w:continuationSeparator/>
      </w:r>
    </w:p>
  </w:endnote>
  <w:endnote w:type="continuationNotice" w:id="1">
    <w:p w14:paraId="75DB04F7" w14:textId="77777777" w:rsidR="009E5254" w:rsidRDefault="009E5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1C1C1B" w:rsidRDefault="001C1C1B">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1C1C1B" w:rsidRDefault="001C1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37E61" w14:textId="77777777" w:rsidR="009E5254" w:rsidRDefault="009E5254">
      <w:r>
        <w:separator/>
      </w:r>
    </w:p>
  </w:footnote>
  <w:footnote w:type="continuationSeparator" w:id="0">
    <w:p w14:paraId="505725D8" w14:textId="77777777" w:rsidR="009E5254" w:rsidRDefault="009E5254">
      <w:r>
        <w:continuationSeparator/>
      </w:r>
    </w:p>
  </w:footnote>
  <w:footnote w:type="continuationNotice" w:id="1">
    <w:p w14:paraId="37BB200D" w14:textId="77777777" w:rsidR="009E5254" w:rsidRDefault="009E52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3" w15:restartNumberingAfterBreak="0">
    <w:nsid w:val="19D53510"/>
    <w:multiLevelType w:val="hybridMultilevel"/>
    <w:tmpl w:val="B9D8194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FB47535"/>
    <w:multiLevelType w:val="multilevel"/>
    <w:tmpl w:val="1DB05A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10"/>
        </w:tabs>
        <w:ind w:left="81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8533766"/>
    <w:multiLevelType w:val="hybridMultilevel"/>
    <w:tmpl w:val="E3D6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AD1764"/>
    <w:multiLevelType w:val="hybridMultilevel"/>
    <w:tmpl w:val="282A5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C65065"/>
    <w:multiLevelType w:val="hybridMultilevel"/>
    <w:tmpl w:val="81367AE4"/>
    <w:lvl w:ilvl="0" w:tplc="B8344BA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CA7F36"/>
    <w:multiLevelType w:val="hybridMultilevel"/>
    <w:tmpl w:val="1154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8"/>
  </w:num>
  <w:num w:numId="4">
    <w:abstractNumId w:val="11"/>
  </w:num>
  <w:num w:numId="5">
    <w:abstractNumId w:val="10"/>
  </w:num>
  <w:num w:numId="6">
    <w:abstractNumId w:val="9"/>
  </w:num>
  <w:num w:numId="7">
    <w:abstractNumId w:val="8"/>
  </w:num>
  <w:num w:numId="8">
    <w:abstractNumId w:val="2"/>
  </w:num>
  <w:num w:numId="9">
    <w:abstractNumId w:val="4"/>
  </w:num>
  <w:num w:numId="10">
    <w:abstractNumId w:val="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9"/>
  </w:num>
  <w:num w:numId="14">
    <w:abstractNumId w:val="7"/>
  </w:num>
  <w:num w:numId="15">
    <w:abstractNumId w:val="3"/>
  </w:num>
  <w:num w:numId="16">
    <w:abstractNumId w:val="15"/>
  </w:num>
  <w:num w:numId="17">
    <w:abstractNumId w:val="2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16"/>
  </w:num>
  <w:num w:numId="2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BD4"/>
    <w:rsid w:val="00001E2A"/>
    <w:rsid w:val="00002162"/>
    <w:rsid w:val="00002505"/>
    <w:rsid w:val="00002656"/>
    <w:rsid w:val="00002CD0"/>
    <w:rsid w:val="00002CF2"/>
    <w:rsid w:val="00002E47"/>
    <w:rsid w:val="0000441D"/>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5049"/>
    <w:rsid w:val="0001664E"/>
    <w:rsid w:val="00016AF9"/>
    <w:rsid w:val="00016E21"/>
    <w:rsid w:val="0001742C"/>
    <w:rsid w:val="000177DE"/>
    <w:rsid w:val="000205E9"/>
    <w:rsid w:val="0002070C"/>
    <w:rsid w:val="00020733"/>
    <w:rsid w:val="0002144F"/>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B25"/>
    <w:rsid w:val="000270D3"/>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6ED2"/>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2DD4"/>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3DF2"/>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4F"/>
    <w:rsid w:val="00097696"/>
    <w:rsid w:val="0009777A"/>
    <w:rsid w:val="000A0040"/>
    <w:rsid w:val="000A0076"/>
    <w:rsid w:val="000A0623"/>
    <w:rsid w:val="000A0992"/>
    <w:rsid w:val="000A0A11"/>
    <w:rsid w:val="000A0A9C"/>
    <w:rsid w:val="000A0AAA"/>
    <w:rsid w:val="000A14C8"/>
    <w:rsid w:val="000A15BF"/>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34F"/>
    <w:rsid w:val="000B1508"/>
    <w:rsid w:val="000B17C7"/>
    <w:rsid w:val="000B1CF6"/>
    <w:rsid w:val="000B268C"/>
    <w:rsid w:val="000B28F5"/>
    <w:rsid w:val="000B341E"/>
    <w:rsid w:val="000B4280"/>
    <w:rsid w:val="000B455F"/>
    <w:rsid w:val="000B4DA0"/>
    <w:rsid w:val="000B51A7"/>
    <w:rsid w:val="000B54DC"/>
    <w:rsid w:val="000B5ED8"/>
    <w:rsid w:val="000B6290"/>
    <w:rsid w:val="000B6828"/>
    <w:rsid w:val="000B76F7"/>
    <w:rsid w:val="000B7D8E"/>
    <w:rsid w:val="000C00D8"/>
    <w:rsid w:val="000C038A"/>
    <w:rsid w:val="000C04D3"/>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0AD"/>
    <w:rsid w:val="000D3223"/>
    <w:rsid w:val="000D3342"/>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1D84"/>
    <w:rsid w:val="000F2722"/>
    <w:rsid w:val="000F3799"/>
    <w:rsid w:val="000F3C1D"/>
    <w:rsid w:val="000F3C74"/>
    <w:rsid w:val="000F3E52"/>
    <w:rsid w:val="000F4637"/>
    <w:rsid w:val="000F4DA0"/>
    <w:rsid w:val="000F522D"/>
    <w:rsid w:val="000F5307"/>
    <w:rsid w:val="000F5F87"/>
    <w:rsid w:val="000F76CF"/>
    <w:rsid w:val="000F78CE"/>
    <w:rsid w:val="00100222"/>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428"/>
    <w:rsid w:val="0011052C"/>
    <w:rsid w:val="00110C3E"/>
    <w:rsid w:val="001110A4"/>
    <w:rsid w:val="00111277"/>
    <w:rsid w:val="0011151E"/>
    <w:rsid w:val="00111A07"/>
    <w:rsid w:val="00111A29"/>
    <w:rsid w:val="00111EBA"/>
    <w:rsid w:val="0011310F"/>
    <w:rsid w:val="00113243"/>
    <w:rsid w:val="00113E7D"/>
    <w:rsid w:val="001140AC"/>
    <w:rsid w:val="001145DA"/>
    <w:rsid w:val="00114BDD"/>
    <w:rsid w:val="00115245"/>
    <w:rsid w:val="00115292"/>
    <w:rsid w:val="00115655"/>
    <w:rsid w:val="00115A2F"/>
    <w:rsid w:val="00116EB7"/>
    <w:rsid w:val="00117BB9"/>
    <w:rsid w:val="001201C5"/>
    <w:rsid w:val="00120F24"/>
    <w:rsid w:val="00121673"/>
    <w:rsid w:val="00122A46"/>
    <w:rsid w:val="00122FFD"/>
    <w:rsid w:val="00123A88"/>
    <w:rsid w:val="00124CB2"/>
    <w:rsid w:val="00124F20"/>
    <w:rsid w:val="001252EE"/>
    <w:rsid w:val="00125AA7"/>
    <w:rsid w:val="00125CD3"/>
    <w:rsid w:val="00127CB6"/>
    <w:rsid w:val="0013026B"/>
    <w:rsid w:val="00130664"/>
    <w:rsid w:val="00130FF8"/>
    <w:rsid w:val="001315C0"/>
    <w:rsid w:val="00133116"/>
    <w:rsid w:val="001343E1"/>
    <w:rsid w:val="001344D4"/>
    <w:rsid w:val="00134668"/>
    <w:rsid w:val="00134C60"/>
    <w:rsid w:val="001356E9"/>
    <w:rsid w:val="00136461"/>
    <w:rsid w:val="001366C9"/>
    <w:rsid w:val="00137351"/>
    <w:rsid w:val="00137B04"/>
    <w:rsid w:val="00140191"/>
    <w:rsid w:val="001404F4"/>
    <w:rsid w:val="00140534"/>
    <w:rsid w:val="00140CFF"/>
    <w:rsid w:val="001410F3"/>
    <w:rsid w:val="001419E1"/>
    <w:rsid w:val="00141FAB"/>
    <w:rsid w:val="00142820"/>
    <w:rsid w:val="001432CD"/>
    <w:rsid w:val="001435C8"/>
    <w:rsid w:val="001439C0"/>
    <w:rsid w:val="00143B59"/>
    <w:rsid w:val="00143DF3"/>
    <w:rsid w:val="0014507A"/>
    <w:rsid w:val="00145174"/>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3C97"/>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3A27"/>
    <w:rsid w:val="00173D55"/>
    <w:rsid w:val="001742FF"/>
    <w:rsid w:val="001745E8"/>
    <w:rsid w:val="0017492E"/>
    <w:rsid w:val="001757A5"/>
    <w:rsid w:val="00175FE2"/>
    <w:rsid w:val="0017606B"/>
    <w:rsid w:val="00176237"/>
    <w:rsid w:val="00176822"/>
    <w:rsid w:val="00177213"/>
    <w:rsid w:val="00177B6D"/>
    <w:rsid w:val="001810C6"/>
    <w:rsid w:val="0018117D"/>
    <w:rsid w:val="001816E5"/>
    <w:rsid w:val="00182016"/>
    <w:rsid w:val="0018202B"/>
    <w:rsid w:val="0018213D"/>
    <w:rsid w:val="0018391E"/>
    <w:rsid w:val="0018392E"/>
    <w:rsid w:val="0018411F"/>
    <w:rsid w:val="001843AD"/>
    <w:rsid w:val="00184559"/>
    <w:rsid w:val="001849B5"/>
    <w:rsid w:val="001852F6"/>
    <w:rsid w:val="00185373"/>
    <w:rsid w:val="00185C1B"/>
    <w:rsid w:val="0018697C"/>
    <w:rsid w:val="00186B32"/>
    <w:rsid w:val="0018776E"/>
    <w:rsid w:val="00187E7F"/>
    <w:rsid w:val="00190CD8"/>
    <w:rsid w:val="0019141E"/>
    <w:rsid w:val="00191560"/>
    <w:rsid w:val="00191CE4"/>
    <w:rsid w:val="00192FB4"/>
    <w:rsid w:val="00192FEA"/>
    <w:rsid w:val="00193357"/>
    <w:rsid w:val="00193872"/>
    <w:rsid w:val="00193931"/>
    <w:rsid w:val="00193B00"/>
    <w:rsid w:val="00193BE4"/>
    <w:rsid w:val="00194223"/>
    <w:rsid w:val="001945AC"/>
    <w:rsid w:val="00194F7D"/>
    <w:rsid w:val="00195630"/>
    <w:rsid w:val="001968C6"/>
    <w:rsid w:val="00196BDB"/>
    <w:rsid w:val="0019719E"/>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8F2"/>
    <w:rsid w:val="001C0A3C"/>
    <w:rsid w:val="001C1382"/>
    <w:rsid w:val="001C1BC2"/>
    <w:rsid w:val="001C1C1B"/>
    <w:rsid w:val="001C2239"/>
    <w:rsid w:val="001C2599"/>
    <w:rsid w:val="001C3BE8"/>
    <w:rsid w:val="001C4406"/>
    <w:rsid w:val="001C5124"/>
    <w:rsid w:val="001C5250"/>
    <w:rsid w:val="001C64D1"/>
    <w:rsid w:val="001D140A"/>
    <w:rsid w:val="001D14C3"/>
    <w:rsid w:val="001D1B37"/>
    <w:rsid w:val="001D24C7"/>
    <w:rsid w:val="001D2936"/>
    <w:rsid w:val="001D3140"/>
    <w:rsid w:val="001D35F2"/>
    <w:rsid w:val="001D392D"/>
    <w:rsid w:val="001D3EEA"/>
    <w:rsid w:val="001D4940"/>
    <w:rsid w:val="001D49FF"/>
    <w:rsid w:val="001D53C8"/>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D57"/>
    <w:rsid w:val="001E41F3"/>
    <w:rsid w:val="001E4D74"/>
    <w:rsid w:val="001E514F"/>
    <w:rsid w:val="001E531D"/>
    <w:rsid w:val="001E5B56"/>
    <w:rsid w:val="001E5FEE"/>
    <w:rsid w:val="001E6149"/>
    <w:rsid w:val="001E6615"/>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EA2"/>
    <w:rsid w:val="001F5F1C"/>
    <w:rsid w:val="001F5F6F"/>
    <w:rsid w:val="001F6192"/>
    <w:rsid w:val="001F7097"/>
    <w:rsid w:val="001F7442"/>
    <w:rsid w:val="001F78B3"/>
    <w:rsid w:val="001F7D06"/>
    <w:rsid w:val="001F7F6A"/>
    <w:rsid w:val="00200A69"/>
    <w:rsid w:val="00201762"/>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105E"/>
    <w:rsid w:val="0021149A"/>
    <w:rsid w:val="00211C8B"/>
    <w:rsid w:val="002125DB"/>
    <w:rsid w:val="00212ACD"/>
    <w:rsid w:val="00212C4E"/>
    <w:rsid w:val="002130BF"/>
    <w:rsid w:val="00213B0F"/>
    <w:rsid w:val="0021439E"/>
    <w:rsid w:val="00214982"/>
    <w:rsid w:val="00215940"/>
    <w:rsid w:val="00215BD1"/>
    <w:rsid w:val="00216138"/>
    <w:rsid w:val="002166C3"/>
    <w:rsid w:val="002168B0"/>
    <w:rsid w:val="00216E29"/>
    <w:rsid w:val="00220785"/>
    <w:rsid w:val="002208D8"/>
    <w:rsid w:val="0022099A"/>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72A"/>
    <w:rsid w:val="00227B4B"/>
    <w:rsid w:val="002301FB"/>
    <w:rsid w:val="00231505"/>
    <w:rsid w:val="002318F2"/>
    <w:rsid w:val="00231F85"/>
    <w:rsid w:val="0023203C"/>
    <w:rsid w:val="00232085"/>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8D1"/>
    <w:rsid w:val="002375DA"/>
    <w:rsid w:val="00237899"/>
    <w:rsid w:val="00237D22"/>
    <w:rsid w:val="00237F25"/>
    <w:rsid w:val="00237F81"/>
    <w:rsid w:val="00240698"/>
    <w:rsid w:val="00240905"/>
    <w:rsid w:val="0024091F"/>
    <w:rsid w:val="00240FE8"/>
    <w:rsid w:val="00241E4D"/>
    <w:rsid w:val="00242096"/>
    <w:rsid w:val="002421A8"/>
    <w:rsid w:val="00242503"/>
    <w:rsid w:val="00242A88"/>
    <w:rsid w:val="002435DB"/>
    <w:rsid w:val="0024372D"/>
    <w:rsid w:val="00243DB2"/>
    <w:rsid w:val="002442A9"/>
    <w:rsid w:val="002457B3"/>
    <w:rsid w:val="00245DA8"/>
    <w:rsid w:val="00245DDC"/>
    <w:rsid w:val="0024752D"/>
    <w:rsid w:val="002476FD"/>
    <w:rsid w:val="00247977"/>
    <w:rsid w:val="002503C0"/>
    <w:rsid w:val="0025116B"/>
    <w:rsid w:val="0025206B"/>
    <w:rsid w:val="0025247B"/>
    <w:rsid w:val="00252592"/>
    <w:rsid w:val="00252973"/>
    <w:rsid w:val="00252D34"/>
    <w:rsid w:val="00253391"/>
    <w:rsid w:val="00253884"/>
    <w:rsid w:val="00254963"/>
    <w:rsid w:val="00255832"/>
    <w:rsid w:val="00255979"/>
    <w:rsid w:val="00256296"/>
    <w:rsid w:val="00256897"/>
    <w:rsid w:val="00257600"/>
    <w:rsid w:val="00257BD6"/>
    <w:rsid w:val="00257C98"/>
    <w:rsid w:val="00257D7E"/>
    <w:rsid w:val="00257FCE"/>
    <w:rsid w:val="00261B0D"/>
    <w:rsid w:val="00262492"/>
    <w:rsid w:val="002628B9"/>
    <w:rsid w:val="00262EFA"/>
    <w:rsid w:val="0026327A"/>
    <w:rsid w:val="002635A9"/>
    <w:rsid w:val="0026399A"/>
    <w:rsid w:val="00263B21"/>
    <w:rsid w:val="0026455F"/>
    <w:rsid w:val="00264877"/>
    <w:rsid w:val="00264B2F"/>
    <w:rsid w:val="00265227"/>
    <w:rsid w:val="0026528B"/>
    <w:rsid w:val="002656D1"/>
    <w:rsid w:val="00265883"/>
    <w:rsid w:val="00265F1F"/>
    <w:rsid w:val="00266B9E"/>
    <w:rsid w:val="002674AD"/>
    <w:rsid w:val="00267E2A"/>
    <w:rsid w:val="0027019C"/>
    <w:rsid w:val="002701F4"/>
    <w:rsid w:val="00270B6B"/>
    <w:rsid w:val="00270C15"/>
    <w:rsid w:val="00270F7F"/>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695E"/>
    <w:rsid w:val="002A7096"/>
    <w:rsid w:val="002A75D5"/>
    <w:rsid w:val="002B03DE"/>
    <w:rsid w:val="002B0855"/>
    <w:rsid w:val="002B17B2"/>
    <w:rsid w:val="002B1BC7"/>
    <w:rsid w:val="002B1E98"/>
    <w:rsid w:val="002B23D3"/>
    <w:rsid w:val="002B259D"/>
    <w:rsid w:val="002B26A4"/>
    <w:rsid w:val="002B2FFB"/>
    <w:rsid w:val="002B3064"/>
    <w:rsid w:val="002B3BBF"/>
    <w:rsid w:val="002B5618"/>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1116"/>
    <w:rsid w:val="002F15A7"/>
    <w:rsid w:val="002F15E8"/>
    <w:rsid w:val="002F337F"/>
    <w:rsid w:val="002F3C22"/>
    <w:rsid w:val="002F3D02"/>
    <w:rsid w:val="002F40D3"/>
    <w:rsid w:val="002F4F90"/>
    <w:rsid w:val="002F5565"/>
    <w:rsid w:val="002F5EB0"/>
    <w:rsid w:val="002F603C"/>
    <w:rsid w:val="002F68B6"/>
    <w:rsid w:val="002F6EBE"/>
    <w:rsid w:val="002F7231"/>
    <w:rsid w:val="002F7271"/>
    <w:rsid w:val="002F7A91"/>
    <w:rsid w:val="002F7FED"/>
    <w:rsid w:val="003007BD"/>
    <w:rsid w:val="00300B07"/>
    <w:rsid w:val="00301335"/>
    <w:rsid w:val="003014A0"/>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4A6"/>
    <w:rsid w:val="00315819"/>
    <w:rsid w:val="003158EC"/>
    <w:rsid w:val="00315B44"/>
    <w:rsid w:val="003161E1"/>
    <w:rsid w:val="00316AB1"/>
    <w:rsid w:val="00316C2C"/>
    <w:rsid w:val="00316CDE"/>
    <w:rsid w:val="00317004"/>
    <w:rsid w:val="00317349"/>
    <w:rsid w:val="00317416"/>
    <w:rsid w:val="0031773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518F"/>
    <w:rsid w:val="00335B8B"/>
    <w:rsid w:val="00335F18"/>
    <w:rsid w:val="00336258"/>
    <w:rsid w:val="00336336"/>
    <w:rsid w:val="003365DB"/>
    <w:rsid w:val="00336BE9"/>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CBB"/>
    <w:rsid w:val="00345E46"/>
    <w:rsid w:val="003462FB"/>
    <w:rsid w:val="0034674F"/>
    <w:rsid w:val="00346A29"/>
    <w:rsid w:val="00346AC6"/>
    <w:rsid w:val="00346B42"/>
    <w:rsid w:val="003476EB"/>
    <w:rsid w:val="00347D1B"/>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14"/>
    <w:rsid w:val="00357D2F"/>
    <w:rsid w:val="00360086"/>
    <w:rsid w:val="00360105"/>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64E7"/>
    <w:rsid w:val="00366E23"/>
    <w:rsid w:val="00367DAF"/>
    <w:rsid w:val="00370559"/>
    <w:rsid w:val="00370CBD"/>
    <w:rsid w:val="00370D3B"/>
    <w:rsid w:val="00371A2A"/>
    <w:rsid w:val="00373359"/>
    <w:rsid w:val="0037380F"/>
    <w:rsid w:val="00373EAD"/>
    <w:rsid w:val="00374C98"/>
    <w:rsid w:val="00375A96"/>
    <w:rsid w:val="00376930"/>
    <w:rsid w:val="00376E02"/>
    <w:rsid w:val="00376E04"/>
    <w:rsid w:val="003775A0"/>
    <w:rsid w:val="00377BAF"/>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4F15"/>
    <w:rsid w:val="00386410"/>
    <w:rsid w:val="003867B0"/>
    <w:rsid w:val="00387481"/>
    <w:rsid w:val="0039015E"/>
    <w:rsid w:val="0039027E"/>
    <w:rsid w:val="00390493"/>
    <w:rsid w:val="00391E5B"/>
    <w:rsid w:val="00391FA8"/>
    <w:rsid w:val="00392052"/>
    <w:rsid w:val="003920EF"/>
    <w:rsid w:val="00392A8B"/>
    <w:rsid w:val="0039310C"/>
    <w:rsid w:val="0039360C"/>
    <w:rsid w:val="003938B5"/>
    <w:rsid w:val="0039398B"/>
    <w:rsid w:val="003942A9"/>
    <w:rsid w:val="00394990"/>
    <w:rsid w:val="00394C71"/>
    <w:rsid w:val="00395433"/>
    <w:rsid w:val="00395CEE"/>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6446"/>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A5A"/>
    <w:rsid w:val="003C5FCD"/>
    <w:rsid w:val="003C72A8"/>
    <w:rsid w:val="003C791A"/>
    <w:rsid w:val="003C7ECB"/>
    <w:rsid w:val="003D0A58"/>
    <w:rsid w:val="003D0B60"/>
    <w:rsid w:val="003D0E61"/>
    <w:rsid w:val="003D14F7"/>
    <w:rsid w:val="003D1539"/>
    <w:rsid w:val="003D186F"/>
    <w:rsid w:val="003D1D7C"/>
    <w:rsid w:val="003D2466"/>
    <w:rsid w:val="003D2713"/>
    <w:rsid w:val="003D2D84"/>
    <w:rsid w:val="003D4CED"/>
    <w:rsid w:val="003D54E9"/>
    <w:rsid w:val="003D5B9F"/>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511B"/>
    <w:rsid w:val="003F51AC"/>
    <w:rsid w:val="003F5305"/>
    <w:rsid w:val="003F57AC"/>
    <w:rsid w:val="003F5A0B"/>
    <w:rsid w:val="003F62DA"/>
    <w:rsid w:val="003F6AAD"/>
    <w:rsid w:val="003F7069"/>
    <w:rsid w:val="003F77D6"/>
    <w:rsid w:val="003F7C48"/>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EF8"/>
    <w:rsid w:val="00415738"/>
    <w:rsid w:val="00415B12"/>
    <w:rsid w:val="00416856"/>
    <w:rsid w:val="00416915"/>
    <w:rsid w:val="004169E9"/>
    <w:rsid w:val="00416ED7"/>
    <w:rsid w:val="004174ED"/>
    <w:rsid w:val="00417776"/>
    <w:rsid w:val="0041778D"/>
    <w:rsid w:val="00417B70"/>
    <w:rsid w:val="00417CC7"/>
    <w:rsid w:val="00417E12"/>
    <w:rsid w:val="00417F2C"/>
    <w:rsid w:val="0042142F"/>
    <w:rsid w:val="004219D4"/>
    <w:rsid w:val="00422934"/>
    <w:rsid w:val="00422F87"/>
    <w:rsid w:val="004235CA"/>
    <w:rsid w:val="00423C66"/>
    <w:rsid w:val="00423D0D"/>
    <w:rsid w:val="004240AC"/>
    <w:rsid w:val="004243A3"/>
    <w:rsid w:val="004248FA"/>
    <w:rsid w:val="00424E52"/>
    <w:rsid w:val="004253CE"/>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5BAA"/>
    <w:rsid w:val="004363FB"/>
    <w:rsid w:val="00436643"/>
    <w:rsid w:val="00437202"/>
    <w:rsid w:val="004373A4"/>
    <w:rsid w:val="004374FC"/>
    <w:rsid w:val="00437597"/>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0D0D"/>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20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B2F"/>
    <w:rsid w:val="00492E85"/>
    <w:rsid w:val="00493DD8"/>
    <w:rsid w:val="00493E06"/>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34B4"/>
    <w:rsid w:val="004A3AD1"/>
    <w:rsid w:val="004A3C87"/>
    <w:rsid w:val="004A4A2E"/>
    <w:rsid w:val="004A56BB"/>
    <w:rsid w:val="004A5FBE"/>
    <w:rsid w:val="004A672D"/>
    <w:rsid w:val="004A67E8"/>
    <w:rsid w:val="004A68A3"/>
    <w:rsid w:val="004A6F21"/>
    <w:rsid w:val="004A7D3B"/>
    <w:rsid w:val="004B04BD"/>
    <w:rsid w:val="004B1A56"/>
    <w:rsid w:val="004B1EE3"/>
    <w:rsid w:val="004B2065"/>
    <w:rsid w:val="004B224E"/>
    <w:rsid w:val="004B33D8"/>
    <w:rsid w:val="004B3A40"/>
    <w:rsid w:val="004B3B60"/>
    <w:rsid w:val="004B4661"/>
    <w:rsid w:val="004B4D41"/>
    <w:rsid w:val="004B50C1"/>
    <w:rsid w:val="004B5F3F"/>
    <w:rsid w:val="004B6E0C"/>
    <w:rsid w:val="004B75B7"/>
    <w:rsid w:val="004B7B1B"/>
    <w:rsid w:val="004B7BF1"/>
    <w:rsid w:val="004B7E85"/>
    <w:rsid w:val="004C105D"/>
    <w:rsid w:val="004C109F"/>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4C23"/>
    <w:rsid w:val="004D6220"/>
    <w:rsid w:val="004D626F"/>
    <w:rsid w:val="004D7304"/>
    <w:rsid w:val="004D73D4"/>
    <w:rsid w:val="004D7F9A"/>
    <w:rsid w:val="004E0362"/>
    <w:rsid w:val="004E03A2"/>
    <w:rsid w:val="004E1868"/>
    <w:rsid w:val="004E2E01"/>
    <w:rsid w:val="004E2EFF"/>
    <w:rsid w:val="004E311D"/>
    <w:rsid w:val="004E3E5D"/>
    <w:rsid w:val="004E3F8D"/>
    <w:rsid w:val="004E457E"/>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2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5C20"/>
    <w:rsid w:val="00545EE9"/>
    <w:rsid w:val="00546A6B"/>
    <w:rsid w:val="0054733C"/>
    <w:rsid w:val="0054768B"/>
    <w:rsid w:val="00550E82"/>
    <w:rsid w:val="00550F97"/>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13AD"/>
    <w:rsid w:val="005713F9"/>
    <w:rsid w:val="005717CA"/>
    <w:rsid w:val="00572650"/>
    <w:rsid w:val="00573088"/>
    <w:rsid w:val="005731DA"/>
    <w:rsid w:val="0057441B"/>
    <w:rsid w:val="00574611"/>
    <w:rsid w:val="00574AF6"/>
    <w:rsid w:val="00574CE7"/>
    <w:rsid w:val="005757D6"/>
    <w:rsid w:val="005757D8"/>
    <w:rsid w:val="00576D19"/>
    <w:rsid w:val="00576FB0"/>
    <w:rsid w:val="005776B7"/>
    <w:rsid w:val="00577858"/>
    <w:rsid w:val="00580326"/>
    <w:rsid w:val="005807AD"/>
    <w:rsid w:val="00580C38"/>
    <w:rsid w:val="00581F17"/>
    <w:rsid w:val="0058244E"/>
    <w:rsid w:val="00583363"/>
    <w:rsid w:val="005840CD"/>
    <w:rsid w:val="005841F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A0100"/>
    <w:rsid w:val="005A065F"/>
    <w:rsid w:val="005A161C"/>
    <w:rsid w:val="005A1DC1"/>
    <w:rsid w:val="005A1E0E"/>
    <w:rsid w:val="005A254A"/>
    <w:rsid w:val="005A25D7"/>
    <w:rsid w:val="005A3087"/>
    <w:rsid w:val="005A3134"/>
    <w:rsid w:val="005A3240"/>
    <w:rsid w:val="005A331E"/>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00B8"/>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28B0"/>
    <w:rsid w:val="005D4112"/>
    <w:rsid w:val="005D4115"/>
    <w:rsid w:val="005D47A1"/>
    <w:rsid w:val="005D5883"/>
    <w:rsid w:val="005D5E0E"/>
    <w:rsid w:val="005D5E59"/>
    <w:rsid w:val="005D603F"/>
    <w:rsid w:val="005D6067"/>
    <w:rsid w:val="005D65EE"/>
    <w:rsid w:val="005D6A9C"/>
    <w:rsid w:val="005D7004"/>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0EA5"/>
    <w:rsid w:val="005F1AC9"/>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4D62"/>
    <w:rsid w:val="006156A2"/>
    <w:rsid w:val="0061577E"/>
    <w:rsid w:val="006157B4"/>
    <w:rsid w:val="006159E7"/>
    <w:rsid w:val="00615C35"/>
    <w:rsid w:val="0061697F"/>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584"/>
    <w:rsid w:val="006228AC"/>
    <w:rsid w:val="006236DE"/>
    <w:rsid w:val="00623CEB"/>
    <w:rsid w:val="00623E47"/>
    <w:rsid w:val="00624487"/>
    <w:rsid w:val="006258A2"/>
    <w:rsid w:val="00626425"/>
    <w:rsid w:val="0062668A"/>
    <w:rsid w:val="006267D1"/>
    <w:rsid w:val="0062734F"/>
    <w:rsid w:val="00627C05"/>
    <w:rsid w:val="006303C4"/>
    <w:rsid w:val="00630F1F"/>
    <w:rsid w:val="006311F3"/>
    <w:rsid w:val="0063126D"/>
    <w:rsid w:val="006315DB"/>
    <w:rsid w:val="00631625"/>
    <w:rsid w:val="00632408"/>
    <w:rsid w:val="00632529"/>
    <w:rsid w:val="006326E3"/>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A66"/>
    <w:rsid w:val="00642BD9"/>
    <w:rsid w:val="00643137"/>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65D"/>
    <w:rsid w:val="006543AB"/>
    <w:rsid w:val="00655D38"/>
    <w:rsid w:val="00656107"/>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1A3"/>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3D97"/>
    <w:rsid w:val="006840F5"/>
    <w:rsid w:val="0068485F"/>
    <w:rsid w:val="00684901"/>
    <w:rsid w:val="00684D05"/>
    <w:rsid w:val="0068565C"/>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89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0DA3"/>
    <w:rsid w:val="006F1DCB"/>
    <w:rsid w:val="006F1F18"/>
    <w:rsid w:val="006F3451"/>
    <w:rsid w:val="006F4408"/>
    <w:rsid w:val="006F54A7"/>
    <w:rsid w:val="006F6CF8"/>
    <w:rsid w:val="007000D3"/>
    <w:rsid w:val="00700596"/>
    <w:rsid w:val="0070067F"/>
    <w:rsid w:val="007013FE"/>
    <w:rsid w:val="00701553"/>
    <w:rsid w:val="007016F8"/>
    <w:rsid w:val="00702059"/>
    <w:rsid w:val="007023F1"/>
    <w:rsid w:val="00702618"/>
    <w:rsid w:val="00702A84"/>
    <w:rsid w:val="00702D80"/>
    <w:rsid w:val="00703599"/>
    <w:rsid w:val="00703985"/>
    <w:rsid w:val="007047D2"/>
    <w:rsid w:val="00705341"/>
    <w:rsid w:val="0070550E"/>
    <w:rsid w:val="00705952"/>
    <w:rsid w:val="00705AA8"/>
    <w:rsid w:val="00705D3D"/>
    <w:rsid w:val="0070617A"/>
    <w:rsid w:val="00706207"/>
    <w:rsid w:val="0070621A"/>
    <w:rsid w:val="007066FE"/>
    <w:rsid w:val="00706CD4"/>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7DC"/>
    <w:rsid w:val="00715EA1"/>
    <w:rsid w:val="007169D8"/>
    <w:rsid w:val="00716FA1"/>
    <w:rsid w:val="00717536"/>
    <w:rsid w:val="00717BC3"/>
    <w:rsid w:val="00717E72"/>
    <w:rsid w:val="00721362"/>
    <w:rsid w:val="00721E2E"/>
    <w:rsid w:val="00722E2B"/>
    <w:rsid w:val="00722E7E"/>
    <w:rsid w:val="0072305E"/>
    <w:rsid w:val="0072354E"/>
    <w:rsid w:val="00723BFC"/>
    <w:rsid w:val="0072454F"/>
    <w:rsid w:val="0072480B"/>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41202"/>
    <w:rsid w:val="00741470"/>
    <w:rsid w:val="00742369"/>
    <w:rsid w:val="00742477"/>
    <w:rsid w:val="00742879"/>
    <w:rsid w:val="007428BF"/>
    <w:rsid w:val="00742FDC"/>
    <w:rsid w:val="00744414"/>
    <w:rsid w:val="0074443F"/>
    <w:rsid w:val="007444D5"/>
    <w:rsid w:val="00745630"/>
    <w:rsid w:val="00745F24"/>
    <w:rsid w:val="007464DB"/>
    <w:rsid w:val="007470DB"/>
    <w:rsid w:val="00747229"/>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0354"/>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4791"/>
    <w:rsid w:val="00784EEC"/>
    <w:rsid w:val="00784F9E"/>
    <w:rsid w:val="00785128"/>
    <w:rsid w:val="00785371"/>
    <w:rsid w:val="007853D9"/>
    <w:rsid w:val="007858BC"/>
    <w:rsid w:val="00785BEF"/>
    <w:rsid w:val="00786160"/>
    <w:rsid w:val="007862FF"/>
    <w:rsid w:val="00786679"/>
    <w:rsid w:val="00786FD4"/>
    <w:rsid w:val="00787922"/>
    <w:rsid w:val="007906E1"/>
    <w:rsid w:val="00790BFC"/>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C7C67"/>
    <w:rsid w:val="007C7E1B"/>
    <w:rsid w:val="007D114A"/>
    <w:rsid w:val="007D1221"/>
    <w:rsid w:val="007D1A56"/>
    <w:rsid w:val="007D21EF"/>
    <w:rsid w:val="007D2E7E"/>
    <w:rsid w:val="007D3342"/>
    <w:rsid w:val="007D459B"/>
    <w:rsid w:val="007D4872"/>
    <w:rsid w:val="007D4EE2"/>
    <w:rsid w:val="007D5260"/>
    <w:rsid w:val="007D5543"/>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918"/>
    <w:rsid w:val="007E4E65"/>
    <w:rsid w:val="007E4EAF"/>
    <w:rsid w:val="007E5603"/>
    <w:rsid w:val="007E5AD3"/>
    <w:rsid w:val="007E6473"/>
    <w:rsid w:val="007E67F2"/>
    <w:rsid w:val="007E6DD0"/>
    <w:rsid w:val="007E710D"/>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B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D84"/>
    <w:rsid w:val="008360FA"/>
    <w:rsid w:val="00836153"/>
    <w:rsid w:val="00836750"/>
    <w:rsid w:val="008376BF"/>
    <w:rsid w:val="008400F9"/>
    <w:rsid w:val="0084091C"/>
    <w:rsid w:val="0084120B"/>
    <w:rsid w:val="008412D1"/>
    <w:rsid w:val="0084155A"/>
    <w:rsid w:val="00841BEF"/>
    <w:rsid w:val="00841CDE"/>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A76"/>
    <w:rsid w:val="00865C08"/>
    <w:rsid w:val="00866A19"/>
    <w:rsid w:val="008674DE"/>
    <w:rsid w:val="00867CE8"/>
    <w:rsid w:val="00870122"/>
    <w:rsid w:val="008708A0"/>
    <w:rsid w:val="00870EE7"/>
    <w:rsid w:val="0087106B"/>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72"/>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AC8"/>
    <w:rsid w:val="00887D55"/>
    <w:rsid w:val="00887FC0"/>
    <w:rsid w:val="008904F6"/>
    <w:rsid w:val="00891513"/>
    <w:rsid w:val="00892079"/>
    <w:rsid w:val="00892AC6"/>
    <w:rsid w:val="008933E9"/>
    <w:rsid w:val="00893DF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6E50"/>
    <w:rsid w:val="008A73C2"/>
    <w:rsid w:val="008A7D9A"/>
    <w:rsid w:val="008A7FCB"/>
    <w:rsid w:val="008B0060"/>
    <w:rsid w:val="008B0071"/>
    <w:rsid w:val="008B0166"/>
    <w:rsid w:val="008B1B17"/>
    <w:rsid w:val="008B2231"/>
    <w:rsid w:val="008B25B9"/>
    <w:rsid w:val="008B29F5"/>
    <w:rsid w:val="008B2B35"/>
    <w:rsid w:val="008B3840"/>
    <w:rsid w:val="008B3EB5"/>
    <w:rsid w:val="008B422E"/>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2668"/>
    <w:rsid w:val="00912D27"/>
    <w:rsid w:val="00913254"/>
    <w:rsid w:val="009138A5"/>
    <w:rsid w:val="00913E21"/>
    <w:rsid w:val="00913E4E"/>
    <w:rsid w:val="009143D9"/>
    <w:rsid w:val="0091444D"/>
    <w:rsid w:val="00915225"/>
    <w:rsid w:val="00915650"/>
    <w:rsid w:val="009156C2"/>
    <w:rsid w:val="009167EF"/>
    <w:rsid w:val="00916CAD"/>
    <w:rsid w:val="00916FC9"/>
    <w:rsid w:val="00917044"/>
    <w:rsid w:val="009175D3"/>
    <w:rsid w:val="00917759"/>
    <w:rsid w:val="00917E08"/>
    <w:rsid w:val="00920175"/>
    <w:rsid w:val="0092034C"/>
    <w:rsid w:val="0092230F"/>
    <w:rsid w:val="00923178"/>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23D9"/>
    <w:rsid w:val="0093274E"/>
    <w:rsid w:val="009331FE"/>
    <w:rsid w:val="00933601"/>
    <w:rsid w:val="009336A8"/>
    <w:rsid w:val="00933B01"/>
    <w:rsid w:val="00934DC6"/>
    <w:rsid w:val="00935162"/>
    <w:rsid w:val="00935639"/>
    <w:rsid w:val="0093621E"/>
    <w:rsid w:val="00936DD3"/>
    <w:rsid w:val="00936EE0"/>
    <w:rsid w:val="0093745C"/>
    <w:rsid w:val="0093761C"/>
    <w:rsid w:val="00937DCB"/>
    <w:rsid w:val="009400B9"/>
    <w:rsid w:val="0094087E"/>
    <w:rsid w:val="00940C64"/>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42A"/>
    <w:rsid w:val="009717DC"/>
    <w:rsid w:val="00971EE4"/>
    <w:rsid w:val="00971F9B"/>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1BE6"/>
    <w:rsid w:val="009921D8"/>
    <w:rsid w:val="00992C47"/>
    <w:rsid w:val="00992FAA"/>
    <w:rsid w:val="009937EF"/>
    <w:rsid w:val="0099391B"/>
    <w:rsid w:val="0099392E"/>
    <w:rsid w:val="009940ED"/>
    <w:rsid w:val="00994EF6"/>
    <w:rsid w:val="009950B1"/>
    <w:rsid w:val="009958C0"/>
    <w:rsid w:val="00995A3F"/>
    <w:rsid w:val="009960A9"/>
    <w:rsid w:val="00996805"/>
    <w:rsid w:val="00996848"/>
    <w:rsid w:val="00997573"/>
    <w:rsid w:val="00997661"/>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314"/>
    <w:rsid w:val="009A686E"/>
    <w:rsid w:val="009A70AF"/>
    <w:rsid w:val="009A729C"/>
    <w:rsid w:val="009A78E3"/>
    <w:rsid w:val="009B00B6"/>
    <w:rsid w:val="009B0A6D"/>
    <w:rsid w:val="009B0F97"/>
    <w:rsid w:val="009B1920"/>
    <w:rsid w:val="009B1D67"/>
    <w:rsid w:val="009B22AE"/>
    <w:rsid w:val="009B2F12"/>
    <w:rsid w:val="009B3561"/>
    <w:rsid w:val="009B394F"/>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E68"/>
    <w:rsid w:val="009C2631"/>
    <w:rsid w:val="009C2B05"/>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3CE"/>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8C8"/>
    <w:rsid w:val="009D6EDC"/>
    <w:rsid w:val="009D6F30"/>
    <w:rsid w:val="009E0589"/>
    <w:rsid w:val="009E0D81"/>
    <w:rsid w:val="009E0E15"/>
    <w:rsid w:val="009E16CC"/>
    <w:rsid w:val="009E19AB"/>
    <w:rsid w:val="009E2387"/>
    <w:rsid w:val="009E249D"/>
    <w:rsid w:val="009E29F0"/>
    <w:rsid w:val="009E2A03"/>
    <w:rsid w:val="009E3297"/>
    <w:rsid w:val="009E36F8"/>
    <w:rsid w:val="009E3FC2"/>
    <w:rsid w:val="009E4FEE"/>
    <w:rsid w:val="009E5254"/>
    <w:rsid w:val="009E555E"/>
    <w:rsid w:val="009E66F6"/>
    <w:rsid w:val="009E6A48"/>
    <w:rsid w:val="009E6B7F"/>
    <w:rsid w:val="009E6E70"/>
    <w:rsid w:val="009E7089"/>
    <w:rsid w:val="009E7225"/>
    <w:rsid w:val="009E791A"/>
    <w:rsid w:val="009F0645"/>
    <w:rsid w:val="009F079F"/>
    <w:rsid w:val="009F0FCF"/>
    <w:rsid w:val="009F128D"/>
    <w:rsid w:val="009F232E"/>
    <w:rsid w:val="009F2389"/>
    <w:rsid w:val="009F3515"/>
    <w:rsid w:val="009F3C01"/>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834"/>
    <w:rsid w:val="00A1291A"/>
    <w:rsid w:val="00A13741"/>
    <w:rsid w:val="00A14FFC"/>
    <w:rsid w:val="00A158AE"/>
    <w:rsid w:val="00A16F20"/>
    <w:rsid w:val="00A174AE"/>
    <w:rsid w:val="00A17D54"/>
    <w:rsid w:val="00A20F63"/>
    <w:rsid w:val="00A2128F"/>
    <w:rsid w:val="00A2142C"/>
    <w:rsid w:val="00A21B3B"/>
    <w:rsid w:val="00A21F7F"/>
    <w:rsid w:val="00A23A98"/>
    <w:rsid w:val="00A24949"/>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055"/>
    <w:rsid w:val="00A36495"/>
    <w:rsid w:val="00A364A4"/>
    <w:rsid w:val="00A36505"/>
    <w:rsid w:val="00A36CBB"/>
    <w:rsid w:val="00A37003"/>
    <w:rsid w:val="00A37A46"/>
    <w:rsid w:val="00A400E6"/>
    <w:rsid w:val="00A4039B"/>
    <w:rsid w:val="00A40842"/>
    <w:rsid w:val="00A40CCD"/>
    <w:rsid w:val="00A40F2D"/>
    <w:rsid w:val="00A40FB2"/>
    <w:rsid w:val="00A413A3"/>
    <w:rsid w:val="00A4149C"/>
    <w:rsid w:val="00A415D3"/>
    <w:rsid w:val="00A4192A"/>
    <w:rsid w:val="00A42205"/>
    <w:rsid w:val="00A42683"/>
    <w:rsid w:val="00A42684"/>
    <w:rsid w:val="00A429AC"/>
    <w:rsid w:val="00A429DC"/>
    <w:rsid w:val="00A42AC1"/>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80B6B"/>
    <w:rsid w:val="00A80BFD"/>
    <w:rsid w:val="00A832D2"/>
    <w:rsid w:val="00A8342F"/>
    <w:rsid w:val="00A8365B"/>
    <w:rsid w:val="00A84128"/>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6E0"/>
    <w:rsid w:val="00AB0D21"/>
    <w:rsid w:val="00AB1077"/>
    <w:rsid w:val="00AB1365"/>
    <w:rsid w:val="00AB17A2"/>
    <w:rsid w:val="00AB195E"/>
    <w:rsid w:val="00AB1C4C"/>
    <w:rsid w:val="00AB2296"/>
    <w:rsid w:val="00AB2370"/>
    <w:rsid w:val="00AB2D3C"/>
    <w:rsid w:val="00AB2F34"/>
    <w:rsid w:val="00AB32D2"/>
    <w:rsid w:val="00AB3332"/>
    <w:rsid w:val="00AB3667"/>
    <w:rsid w:val="00AB39CB"/>
    <w:rsid w:val="00AB4339"/>
    <w:rsid w:val="00AB4372"/>
    <w:rsid w:val="00AB4510"/>
    <w:rsid w:val="00AB478A"/>
    <w:rsid w:val="00AB4832"/>
    <w:rsid w:val="00AB48B3"/>
    <w:rsid w:val="00AB4DE2"/>
    <w:rsid w:val="00AB554C"/>
    <w:rsid w:val="00AB5677"/>
    <w:rsid w:val="00AB5A31"/>
    <w:rsid w:val="00AB6368"/>
    <w:rsid w:val="00AB6C59"/>
    <w:rsid w:val="00AB704D"/>
    <w:rsid w:val="00AB70BB"/>
    <w:rsid w:val="00AB768F"/>
    <w:rsid w:val="00AB76A4"/>
    <w:rsid w:val="00AB7B23"/>
    <w:rsid w:val="00AC0DA7"/>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ACB"/>
    <w:rsid w:val="00AD4E86"/>
    <w:rsid w:val="00AD4E95"/>
    <w:rsid w:val="00AD53AA"/>
    <w:rsid w:val="00AD5627"/>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1FC7"/>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555F"/>
    <w:rsid w:val="00B155EA"/>
    <w:rsid w:val="00B1618F"/>
    <w:rsid w:val="00B16C2B"/>
    <w:rsid w:val="00B1773D"/>
    <w:rsid w:val="00B17C7B"/>
    <w:rsid w:val="00B200C0"/>
    <w:rsid w:val="00B2024A"/>
    <w:rsid w:val="00B20EF6"/>
    <w:rsid w:val="00B211C8"/>
    <w:rsid w:val="00B216E0"/>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74E"/>
    <w:rsid w:val="00B3681D"/>
    <w:rsid w:val="00B369BE"/>
    <w:rsid w:val="00B36FAF"/>
    <w:rsid w:val="00B3708C"/>
    <w:rsid w:val="00B37565"/>
    <w:rsid w:val="00B3770B"/>
    <w:rsid w:val="00B378E2"/>
    <w:rsid w:val="00B400F5"/>
    <w:rsid w:val="00B4134D"/>
    <w:rsid w:val="00B417F1"/>
    <w:rsid w:val="00B41F00"/>
    <w:rsid w:val="00B41F5C"/>
    <w:rsid w:val="00B421D4"/>
    <w:rsid w:val="00B42334"/>
    <w:rsid w:val="00B423F4"/>
    <w:rsid w:val="00B42409"/>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08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90037"/>
    <w:rsid w:val="00B906F7"/>
    <w:rsid w:val="00B90B30"/>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97FDC"/>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DFC"/>
    <w:rsid w:val="00BB6526"/>
    <w:rsid w:val="00BB66C5"/>
    <w:rsid w:val="00BB6FA1"/>
    <w:rsid w:val="00BB72F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14"/>
    <w:rsid w:val="00BD1077"/>
    <w:rsid w:val="00BD10D3"/>
    <w:rsid w:val="00BD112C"/>
    <w:rsid w:val="00BD11FB"/>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85D"/>
    <w:rsid w:val="00BE3876"/>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36"/>
    <w:rsid w:val="00BF356D"/>
    <w:rsid w:val="00BF37E3"/>
    <w:rsid w:val="00BF492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23E"/>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6BF3"/>
    <w:rsid w:val="00C27461"/>
    <w:rsid w:val="00C2748C"/>
    <w:rsid w:val="00C31186"/>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1F1F"/>
    <w:rsid w:val="00C426FA"/>
    <w:rsid w:val="00C42B25"/>
    <w:rsid w:val="00C42BAC"/>
    <w:rsid w:val="00C435BD"/>
    <w:rsid w:val="00C43693"/>
    <w:rsid w:val="00C436FC"/>
    <w:rsid w:val="00C43E9B"/>
    <w:rsid w:val="00C4490A"/>
    <w:rsid w:val="00C45114"/>
    <w:rsid w:val="00C4548E"/>
    <w:rsid w:val="00C4634A"/>
    <w:rsid w:val="00C46BBB"/>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4FA0"/>
    <w:rsid w:val="00C6531C"/>
    <w:rsid w:val="00C65BC7"/>
    <w:rsid w:val="00C661FA"/>
    <w:rsid w:val="00C663A6"/>
    <w:rsid w:val="00C67216"/>
    <w:rsid w:val="00C67CDE"/>
    <w:rsid w:val="00C70494"/>
    <w:rsid w:val="00C7126E"/>
    <w:rsid w:val="00C717AC"/>
    <w:rsid w:val="00C7210E"/>
    <w:rsid w:val="00C72C5A"/>
    <w:rsid w:val="00C72E0F"/>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AC7"/>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208E"/>
    <w:rsid w:val="00CB3239"/>
    <w:rsid w:val="00CB3C53"/>
    <w:rsid w:val="00CB46DD"/>
    <w:rsid w:val="00CB4F93"/>
    <w:rsid w:val="00CB56E3"/>
    <w:rsid w:val="00CB57EA"/>
    <w:rsid w:val="00CB58FD"/>
    <w:rsid w:val="00CB6245"/>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6FBA"/>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3F0C"/>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76BB"/>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418"/>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F98"/>
    <w:rsid w:val="00D5527F"/>
    <w:rsid w:val="00D5533D"/>
    <w:rsid w:val="00D559B0"/>
    <w:rsid w:val="00D55F9E"/>
    <w:rsid w:val="00D560C9"/>
    <w:rsid w:val="00D56E22"/>
    <w:rsid w:val="00D56E2A"/>
    <w:rsid w:val="00D5736A"/>
    <w:rsid w:val="00D576BE"/>
    <w:rsid w:val="00D577AB"/>
    <w:rsid w:val="00D60410"/>
    <w:rsid w:val="00D60782"/>
    <w:rsid w:val="00D60931"/>
    <w:rsid w:val="00D60A6B"/>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C5C"/>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70C1"/>
    <w:rsid w:val="00DA70FB"/>
    <w:rsid w:val="00DA7273"/>
    <w:rsid w:val="00DA72CB"/>
    <w:rsid w:val="00DA7E8B"/>
    <w:rsid w:val="00DB02F6"/>
    <w:rsid w:val="00DB0D2F"/>
    <w:rsid w:val="00DB0E46"/>
    <w:rsid w:val="00DB1B15"/>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00F"/>
    <w:rsid w:val="00DC3116"/>
    <w:rsid w:val="00DC41E3"/>
    <w:rsid w:val="00DC46C9"/>
    <w:rsid w:val="00DC598F"/>
    <w:rsid w:val="00DC5CAB"/>
    <w:rsid w:val="00DC6C17"/>
    <w:rsid w:val="00DC6D71"/>
    <w:rsid w:val="00DC72BD"/>
    <w:rsid w:val="00DC7A89"/>
    <w:rsid w:val="00DD0837"/>
    <w:rsid w:val="00DD0DA4"/>
    <w:rsid w:val="00DD0E9C"/>
    <w:rsid w:val="00DD0F2E"/>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5F47"/>
    <w:rsid w:val="00DE614E"/>
    <w:rsid w:val="00DE667E"/>
    <w:rsid w:val="00DE75D0"/>
    <w:rsid w:val="00DF0213"/>
    <w:rsid w:val="00DF035F"/>
    <w:rsid w:val="00DF0555"/>
    <w:rsid w:val="00DF09AD"/>
    <w:rsid w:val="00DF0A7B"/>
    <w:rsid w:val="00DF16C1"/>
    <w:rsid w:val="00DF2732"/>
    <w:rsid w:val="00DF3302"/>
    <w:rsid w:val="00DF345A"/>
    <w:rsid w:val="00DF3506"/>
    <w:rsid w:val="00DF3C86"/>
    <w:rsid w:val="00DF42A2"/>
    <w:rsid w:val="00DF48B1"/>
    <w:rsid w:val="00DF4DCA"/>
    <w:rsid w:val="00DF5069"/>
    <w:rsid w:val="00DF510F"/>
    <w:rsid w:val="00DF5275"/>
    <w:rsid w:val="00DF55D4"/>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6AA0"/>
    <w:rsid w:val="00E06E69"/>
    <w:rsid w:val="00E075BC"/>
    <w:rsid w:val="00E0767F"/>
    <w:rsid w:val="00E106E8"/>
    <w:rsid w:val="00E1090B"/>
    <w:rsid w:val="00E11D73"/>
    <w:rsid w:val="00E14E0A"/>
    <w:rsid w:val="00E1585B"/>
    <w:rsid w:val="00E1605F"/>
    <w:rsid w:val="00E16529"/>
    <w:rsid w:val="00E167A6"/>
    <w:rsid w:val="00E17223"/>
    <w:rsid w:val="00E17715"/>
    <w:rsid w:val="00E179A0"/>
    <w:rsid w:val="00E20AB7"/>
    <w:rsid w:val="00E20B70"/>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56B8"/>
    <w:rsid w:val="00E35949"/>
    <w:rsid w:val="00E35EC2"/>
    <w:rsid w:val="00E36A9B"/>
    <w:rsid w:val="00E378A1"/>
    <w:rsid w:val="00E4113C"/>
    <w:rsid w:val="00E41454"/>
    <w:rsid w:val="00E4182E"/>
    <w:rsid w:val="00E41B39"/>
    <w:rsid w:val="00E42050"/>
    <w:rsid w:val="00E4210C"/>
    <w:rsid w:val="00E4229E"/>
    <w:rsid w:val="00E42957"/>
    <w:rsid w:val="00E42B34"/>
    <w:rsid w:val="00E43916"/>
    <w:rsid w:val="00E43AAA"/>
    <w:rsid w:val="00E43CD5"/>
    <w:rsid w:val="00E448E8"/>
    <w:rsid w:val="00E4522D"/>
    <w:rsid w:val="00E45C92"/>
    <w:rsid w:val="00E473A4"/>
    <w:rsid w:val="00E510DC"/>
    <w:rsid w:val="00E51626"/>
    <w:rsid w:val="00E51668"/>
    <w:rsid w:val="00E51B3E"/>
    <w:rsid w:val="00E51DF2"/>
    <w:rsid w:val="00E51E91"/>
    <w:rsid w:val="00E51F5A"/>
    <w:rsid w:val="00E53072"/>
    <w:rsid w:val="00E53371"/>
    <w:rsid w:val="00E557B9"/>
    <w:rsid w:val="00E55E9A"/>
    <w:rsid w:val="00E563CD"/>
    <w:rsid w:val="00E5652D"/>
    <w:rsid w:val="00E56941"/>
    <w:rsid w:val="00E56EA4"/>
    <w:rsid w:val="00E60027"/>
    <w:rsid w:val="00E61621"/>
    <w:rsid w:val="00E6294C"/>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1C97"/>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980"/>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2F4"/>
    <w:rsid w:val="00E93762"/>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213A"/>
    <w:rsid w:val="00ED2277"/>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2EA8"/>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5150"/>
    <w:rsid w:val="00F253B9"/>
    <w:rsid w:val="00F25849"/>
    <w:rsid w:val="00F25D98"/>
    <w:rsid w:val="00F2603D"/>
    <w:rsid w:val="00F26886"/>
    <w:rsid w:val="00F26A97"/>
    <w:rsid w:val="00F27364"/>
    <w:rsid w:val="00F27613"/>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5186"/>
    <w:rsid w:val="00F35C28"/>
    <w:rsid w:val="00F36216"/>
    <w:rsid w:val="00F36492"/>
    <w:rsid w:val="00F36501"/>
    <w:rsid w:val="00F375E0"/>
    <w:rsid w:val="00F402A2"/>
    <w:rsid w:val="00F4048A"/>
    <w:rsid w:val="00F4090F"/>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919"/>
    <w:rsid w:val="00F46C82"/>
    <w:rsid w:val="00F47147"/>
    <w:rsid w:val="00F473C0"/>
    <w:rsid w:val="00F47732"/>
    <w:rsid w:val="00F5092D"/>
    <w:rsid w:val="00F50972"/>
    <w:rsid w:val="00F511DF"/>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B6"/>
    <w:rsid w:val="00F6004D"/>
    <w:rsid w:val="00F6067A"/>
    <w:rsid w:val="00F610CC"/>
    <w:rsid w:val="00F622F5"/>
    <w:rsid w:val="00F6234F"/>
    <w:rsid w:val="00F62651"/>
    <w:rsid w:val="00F62CD1"/>
    <w:rsid w:val="00F64437"/>
    <w:rsid w:val="00F6489C"/>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E43"/>
    <w:rsid w:val="00F73F3C"/>
    <w:rsid w:val="00F73F7F"/>
    <w:rsid w:val="00F74C9F"/>
    <w:rsid w:val="00F75436"/>
    <w:rsid w:val="00F758DE"/>
    <w:rsid w:val="00F75BA3"/>
    <w:rsid w:val="00F75C8E"/>
    <w:rsid w:val="00F75EC3"/>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3A4D"/>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F46"/>
    <w:rsid w:val="00FA6A49"/>
    <w:rsid w:val="00FA6C8A"/>
    <w:rsid w:val="00FA751E"/>
    <w:rsid w:val="00FB014E"/>
    <w:rsid w:val="00FB0E70"/>
    <w:rsid w:val="00FB1103"/>
    <w:rsid w:val="00FB16A9"/>
    <w:rsid w:val="00FB1A42"/>
    <w:rsid w:val="00FB2F61"/>
    <w:rsid w:val="00FB327D"/>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8A2"/>
    <w:rsid w:val="00FC61D7"/>
    <w:rsid w:val="00FC67CF"/>
    <w:rsid w:val="00FC6A31"/>
    <w:rsid w:val="00FC6ECD"/>
    <w:rsid w:val="00FC7149"/>
    <w:rsid w:val="00FC743B"/>
    <w:rsid w:val="00FC7C1C"/>
    <w:rsid w:val="00FD074E"/>
    <w:rsid w:val="00FD0963"/>
    <w:rsid w:val="00FD155B"/>
    <w:rsid w:val="00FD1B32"/>
    <w:rsid w:val="00FD2337"/>
    <w:rsid w:val="00FD31E6"/>
    <w:rsid w:val="00FD3690"/>
    <w:rsid w:val="00FD46C1"/>
    <w:rsid w:val="00FD59B1"/>
    <w:rsid w:val="00FD5BB9"/>
    <w:rsid w:val="00FD5D68"/>
    <w:rsid w:val="00FD663B"/>
    <w:rsid w:val="00FD6AA7"/>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71A"/>
    <w:rsid w:val="00FE7907"/>
    <w:rsid w:val="00FF079C"/>
    <w:rsid w:val="00FF1799"/>
    <w:rsid w:val="00FF1B88"/>
    <w:rsid w:val="00FF1D74"/>
    <w:rsid w:val="00FF21FE"/>
    <w:rsid w:val="00FF297C"/>
    <w:rsid w:val="00FF2F0B"/>
    <w:rsid w:val="00FF3D84"/>
    <w:rsid w:val="00FF42BA"/>
    <w:rsid w:val="00FF53B7"/>
    <w:rsid w:val="00FF55E7"/>
    <w:rsid w:val="00FF57FE"/>
    <w:rsid w:val="00FF5C2D"/>
    <w:rsid w:val="00FF64A4"/>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A15BF"/>
    <w:pPr>
      <w:numPr>
        <w:numId w:val="1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rsid w:val="000A15BF"/>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3365608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309354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20233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834062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ftp://ftp.3gpp.org/tsg_ran/TSG_RAN/TSGR_81/Docs/RP-18215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ftp://ftp.3gpp.org/tsg_ran/TSG_RAN/TSGR_80/Docs/RP-181399.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ftp://ftp.3gpp.org/tsg_ran/WG2_RL2/TSGR2_104/Docs/R2-181789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E6JD2UEEJPRS-638-436</_dlc_DocId>
    <_dlc_DocIdUrl xmlns="fcd3d3fb-7db8-45fe-8d4c-f8dfce4af462">
      <Url>https://sharepoint.qualcomm.com/qca/LocationTechnology/ExternalFocus/_layouts/15/DocIdRedir.aspx?ID=E6JD2UEEJPRS-638-436</Url>
      <Description>E6JD2UEEJPRS-638-436</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4.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3D36D7-E17F-4113-99B5-83D318EDB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3058</TotalTime>
  <Pages>6</Pages>
  <Words>3104</Words>
  <Characters>18463</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21524</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248</cp:revision>
  <cp:lastPrinted>2018-09-27T14:55:00Z</cp:lastPrinted>
  <dcterms:created xsi:type="dcterms:W3CDTF">2018-10-26T16:24:00Z</dcterms:created>
  <dcterms:modified xsi:type="dcterms:W3CDTF">2019-02-16T03:30:00Z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f90de1fc-6074-49f7-ba30-ae3a710fd1bf</vt:lpwstr>
  </property>
  <property fmtid="{D5CDD505-2E9C-101B-9397-08002B2CF9AE}" pid="16" name="Tags">
    <vt:lpwstr/>
  </property>
</Properties>
</file>