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8C5657" w:rsidP="00001A01">
      <w:pPr>
        <w:pStyle w:val="Header"/>
        <w:tabs>
          <w:tab w:val="right" w:pos="9400"/>
          <w:tab w:val="right" w:pos="9781"/>
        </w:tabs>
        <w:ind w:right="-58"/>
        <w:rPr>
          <w:bCs w:val="0"/>
          <w:noProof w:val="0"/>
          <w:sz w:val="24"/>
          <w:szCs w:val="24"/>
          <w:lang w:eastAsia="zh-CN"/>
        </w:rPr>
      </w:pPr>
      <w:r w:rsidRPr="008C5657">
        <w:rPr>
          <w:rFonts w:eastAsia="Batang"/>
          <w:bCs w:val="0"/>
          <w:noProof w:val="0"/>
          <w:sz w:val="24"/>
          <w:szCs w:val="24"/>
        </w:rPr>
        <w:t>3GPP TSG RAN WG1 #96</w:t>
      </w:r>
      <w:r w:rsidR="00001A01">
        <w:rPr>
          <w:rFonts w:eastAsia="Batang"/>
          <w:bCs w:val="0"/>
          <w:noProof w:val="0"/>
          <w:sz w:val="24"/>
          <w:szCs w:val="24"/>
        </w:rPr>
        <w:tab/>
      </w:r>
      <w:r w:rsidR="00633DF8" w:rsidRPr="00633DF8">
        <w:rPr>
          <w:rFonts w:eastAsia="Batang"/>
          <w:bCs w:val="0"/>
          <w:noProof w:val="0"/>
          <w:sz w:val="24"/>
          <w:szCs w:val="24"/>
        </w:rPr>
        <w:t>R1-1902580</w:t>
      </w:r>
    </w:p>
    <w:p w:rsidR="00F0177D" w:rsidRDefault="008C5657" w:rsidP="00653744">
      <w:pPr>
        <w:spacing w:after="0"/>
        <w:ind w:left="1988" w:hanging="1988"/>
        <w:rPr>
          <w:rFonts w:ascii="Arial" w:eastAsia="Batang" w:hAnsi="Arial" w:cs="Arial"/>
          <w:b/>
          <w:sz w:val="24"/>
          <w:szCs w:val="24"/>
        </w:rPr>
      </w:pPr>
      <w:r w:rsidRPr="008C5657">
        <w:rPr>
          <w:rFonts w:ascii="Arial" w:eastAsia="Batang" w:hAnsi="Arial" w:cs="Arial"/>
          <w:b/>
          <w:sz w:val="24"/>
          <w:szCs w:val="24"/>
        </w:rPr>
        <w:t xml:space="preserve">Athens, Greece, 25th February – 1st </w:t>
      </w:r>
      <w:proofErr w:type="gramStart"/>
      <w:r w:rsidRPr="008C5657">
        <w:rPr>
          <w:rFonts w:ascii="Arial" w:eastAsia="Batang" w:hAnsi="Arial" w:cs="Arial"/>
          <w:b/>
          <w:sz w:val="24"/>
          <w:szCs w:val="24"/>
        </w:rPr>
        <w:t>March,</w:t>
      </w:r>
      <w:proofErr w:type="gramEnd"/>
      <w:r w:rsidRPr="008C5657">
        <w:rPr>
          <w:rFonts w:ascii="Arial" w:eastAsia="Batang" w:hAnsi="Arial" w:cs="Arial"/>
          <w:b/>
          <w:sz w:val="24"/>
          <w:szCs w:val="24"/>
        </w:rPr>
        <w:t xml:space="preserve"> 2019</w:t>
      </w:r>
    </w:p>
    <w:p w:rsidR="008C5657" w:rsidRDefault="008C5657"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320BA0" w:rsidRPr="00320BA0">
        <w:rPr>
          <w:rFonts w:ascii="Arial" w:hAnsi="Arial" w:cs="Arial"/>
          <w:b/>
          <w:sz w:val="24"/>
          <w:lang w:val="en-US"/>
        </w:rPr>
        <w:t>On QoS Management</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320BA0">
        <w:rPr>
          <w:rFonts w:ascii="Arial" w:hAnsi="Arial" w:cs="Arial"/>
          <w:b/>
          <w:sz w:val="24"/>
          <w:lang w:val="en-US" w:eastAsia="zh-CN"/>
        </w:rPr>
        <w:t>4</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E156F1" w:rsidRPr="008A36C3" w:rsidRDefault="00E156F1" w:rsidP="00E156F1">
      <w:pPr>
        <w:rPr>
          <w:rFonts w:eastAsia="MS Mincho"/>
          <w:lang w:eastAsia="ja-JP"/>
        </w:rPr>
      </w:pPr>
      <w:r w:rsidRPr="00616F3E">
        <w:rPr>
          <w:lang w:val="en-US"/>
        </w:rPr>
        <w:t xml:space="preserve">At RAN#80, a study item “Study on NR V2X” (FS_NR_V2X) was approved </w:t>
      </w:r>
      <w:r w:rsidRPr="00616F3E">
        <w:rPr>
          <w:cs/>
          <w:lang w:val="en-US"/>
        </w:rPr>
        <w:t>‎</w:t>
      </w:r>
      <w:r w:rsidRPr="00616F3E">
        <w:rPr>
          <w:lang w:val="en-US"/>
        </w:rPr>
        <w:t xml:space="preserve">[1]. </w:t>
      </w:r>
    </w:p>
    <w:p w:rsidR="00E156F1" w:rsidRDefault="00E156F1" w:rsidP="00E156F1">
      <w:pPr>
        <w:rPr>
          <w:lang w:val="en-US"/>
        </w:rPr>
      </w:pPr>
      <w:r w:rsidRPr="00AD0212">
        <w:rPr>
          <w:lang w:val="en-US"/>
        </w:rPr>
        <w:t>One of the objectives deals with</w:t>
      </w:r>
      <w:r>
        <w:rPr>
          <w:lang w:val="en-US"/>
        </w:rPr>
        <w:t xml:space="preserve"> QoS management:</w:t>
      </w:r>
    </w:p>
    <w:p w:rsidR="00E156F1" w:rsidRPr="004475E6" w:rsidRDefault="00E156F1" w:rsidP="00E156F1">
      <w:pPr>
        <w:rPr>
          <w:rFonts w:eastAsia="Malgun Gothic"/>
          <w:b/>
          <w:bCs/>
          <w:lang w:val="en-US" w:eastAsia="ko-KR"/>
        </w:rPr>
      </w:pPr>
      <w:r w:rsidRPr="004475E6">
        <w:rPr>
          <w:rFonts w:eastAsia="Malgun Gothic"/>
          <w:b/>
          <w:bCs/>
          <w:lang w:val="en-US" w:eastAsia="ko-KR"/>
        </w:rPr>
        <w:t>5: QoS management [RAN1, RAN2]:</w:t>
      </w:r>
    </w:p>
    <w:p w:rsidR="00E156F1" w:rsidRPr="004475E6" w:rsidRDefault="00E156F1" w:rsidP="00E156F1">
      <w:pPr>
        <w:numPr>
          <w:ilvl w:val="0"/>
          <w:numId w:val="14"/>
        </w:numPr>
        <w:spacing w:after="0"/>
        <w:contextualSpacing/>
        <w:rPr>
          <w:rFonts w:eastAsia="DengXian"/>
          <w:lang w:val="en-US"/>
        </w:rPr>
      </w:pPr>
      <w:r w:rsidRPr="004475E6">
        <w:rPr>
          <w:rFonts w:eastAsia="DengXian"/>
          <w:lang w:val="en-US" w:eastAsia="ko-KR"/>
        </w:rPr>
        <w:t xml:space="preserve">Study technical </w:t>
      </w:r>
      <w:r w:rsidRPr="004475E6">
        <w:rPr>
          <w:rFonts w:eastAsia="DengXian"/>
          <w:lang w:eastAsia="ko-KR"/>
        </w:rPr>
        <w:t>solutions for QoS management of the radio interface (including both Uu and sidelink) used for V2X operations based on input from SA2</w:t>
      </w:r>
    </w:p>
    <w:p w:rsidR="00E156F1" w:rsidRDefault="00E156F1" w:rsidP="00E156F1">
      <w:pPr>
        <w:rPr>
          <w:lang w:val="en-US"/>
        </w:rPr>
      </w:pPr>
    </w:p>
    <w:p w:rsidR="00E156F1" w:rsidRDefault="00E156F1" w:rsidP="00E156F1">
      <w:pPr>
        <w:rPr>
          <w:lang w:val="en-US"/>
        </w:rPr>
      </w:pPr>
      <w:r>
        <w:rPr>
          <w:lang w:val="en-US"/>
        </w:rPr>
        <w:t>T</w:t>
      </w:r>
      <w:r w:rsidRPr="006A2127">
        <w:rPr>
          <w:lang w:val="en-US"/>
        </w:rPr>
        <w:t>he f</w:t>
      </w:r>
      <w:r>
        <w:rPr>
          <w:lang w:val="en-US"/>
        </w:rPr>
        <w:t>ollowing agreement was reached at RAN1#94bis</w:t>
      </w:r>
      <w:r w:rsidR="00B870C4">
        <w:rPr>
          <w:lang w:val="en-US"/>
        </w:rPr>
        <w:t xml:space="preserve"> [4]</w:t>
      </w:r>
      <w:r>
        <w:rPr>
          <w:lang w:val="en-US"/>
        </w:rPr>
        <w:t>:</w:t>
      </w:r>
    </w:p>
    <w:p w:rsidR="00E156F1" w:rsidRPr="00D701C3" w:rsidRDefault="00E156F1" w:rsidP="00E156F1">
      <w:pPr>
        <w:spacing w:after="0" w:line="240" w:lineRule="auto"/>
        <w:ind w:left="720" w:hanging="720"/>
        <w:rPr>
          <w:rFonts w:ascii="Times" w:eastAsia="Batang" w:hAnsi="Times" w:cs="Times New Roman"/>
          <w:sz w:val="20"/>
          <w:szCs w:val="24"/>
          <w:lang w:eastAsia="x-none"/>
        </w:rPr>
      </w:pPr>
      <w:r w:rsidRPr="00D701C3">
        <w:rPr>
          <w:rFonts w:ascii="Times" w:eastAsia="Batang" w:hAnsi="Times" w:cs="Times New Roman"/>
          <w:sz w:val="20"/>
          <w:szCs w:val="24"/>
          <w:highlight w:val="green"/>
          <w:lang w:eastAsia="x-none"/>
        </w:rPr>
        <w:t>Agreements</w:t>
      </w:r>
      <w:r w:rsidRPr="00D701C3">
        <w:rPr>
          <w:rFonts w:ascii="Times" w:eastAsia="Batang" w:hAnsi="Times" w:cs="Times New Roman"/>
          <w:sz w:val="20"/>
          <w:szCs w:val="24"/>
          <w:lang w:eastAsia="x-none"/>
        </w:rPr>
        <w:t>:</w:t>
      </w:r>
    </w:p>
    <w:p w:rsidR="00E156F1" w:rsidRPr="00D701C3" w:rsidRDefault="00E156F1" w:rsidP="00E156F1">
      <w:pPr>
        <w:spacing w:after="0" w:line="240" w:lineRule="auto"/>
        <w:ind w:left="720" w:hanging="720"/>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RAN1 studies further how to use </w:t>
      </w:r>
    </w:p>
    <w:p w:rsidR="00E156F1" w:rsidRPr="00D701C3" w:rsidRDefault="00E156F1" w:rsidP="00E156F1">
      <w:pPr>
        <w:numPr>
          <w:ilvl w:val="0"/>
          <w:numId w:val="16"/>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priority, </w:t>
      </w:r>
    </w:p>
    <w:p w:rsidR="00E156F1" w:rsidRPr="00D701C3" w:rsidRDefault="00E156F1" w:rsidP="00E156F1">
      <w:pPr>
        <w:numPr>
          <w:ilvl w:val="0"/>
          <w:numId w:val="16"/>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latency,</w:t>
      </w:r>
    </w:p>
    <w:p w:rsidR="00E156F1" w:rsidRPr="00D701C3" w:rsidRDefault="00E156F1" w:rsidP="00E156F1">
      <w:pPr>
        <w:numPr>
          <w:ilvl w:val="0"/>
          <w:numId w:val="16"/>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reliability,</w:t>
      </w:r>
    </w:p>
    <w:p w:rsidR="00E156F1" w:rsidRPr="00D701C3" w:rsidRDefault="00E156F1" w:rsidP="00E156F1">
      <w:pPr>
        <w:numPr>
          <w:ilvl w:val="0"/>
          <w:numId w:val="16"/>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minimum required communication range (as defined by higher layers) if agreed to use</w:t>
      </w:r>
    </w:p>
    <w:p w:rsidR="00E156F1" w:rsidRPr="00D701C3" w:rsidRDefault="00E156F1" w:rsidP="00E156F1">
      <w:pPr>
        <w:spacing w:after="0" w:line="240" w:lineRule="auto"/>
        <w:ind w:left="720" w:hanging="720"/>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in the physical layer aspects of at least </w:t>
      </w:r>
    </w:p>
    <w:p w:rsidR="00E156F1" w:rsidRPr="00D701C3" w:rsidRDefault="00E156F1" w:rsidP="00E156F1">
      <w:pPr>
        <w:numPr>
          <w:ilvl w:val="0"/>
          <w:numId w:val="15"/>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resource allocation and </w:t>
      </w:r>
    </w:p>
    <w:p w:rsidR="00E156F1" w:rsidRPr="00D701C3" w:rsidRDefault="00E156F1" w:rsidP="00E156F1">
      <w:pPr>
        <w:numPr>
          <w:ilvl w:val="0"/>
          <w:numId w:val="15"/>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congestion control and </w:t>
      </w:r>
    </w:p>
    <w:p w:rsidR="00E156F1" w:rsidRPr="00D701C3" w:rsidRDefault="00E156F1" w:rsidP="00E156F1">
      <w:pPr>
        <w:numPr>
          <w:ilvl w:val="0"/>
          <w:numId w:val="15"/>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resolution of in-device coexistence issues and </w:t>
      </w:r>
    </w:p>
    <w:p w:rsidR="00E156F1" w:rsidRPr="00D701C3" w:rsidRDefault="00E156F1" w:rsidP="00E156F1">
      <w:pPr>
        <w:numPr>
          <w:ilvl w:val="0"/>
          <w:numId w:val="15"/>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power control</w:t>
      </w:r>
    </w:p>
    <w:p w:rsidR="00E156F1" w:rsidRDefault="00E156F1" w:rsidP="00E156F1">
      <w:pPr>
        <w:rPr>
          <w:lang w:val="en-US"/>
        </w:rPr>
      </w:pPr>
    </w:p>
    <w:p w:rsidR="00F53771" w:rsidRDefault="00F53771" w:rsidP="00B870C4">
      <w:pPr>
        <w:rPr>
          <w:lang w:val="en-US"/>
        </w:rPr>
      </w:pPr>
    </w:p>
    <w:p w:rsidR="00B870C4" w:rsidRPr="00B870C4" w:rsidRDefault="00B870C4" w:rsidP="00B870C4">
      <w:pPr>
        <w:rPr>
          <w:lang w:val="en-US"/>
        </w:rPr>
      </w:pPr>
      <w:r w:rsidRPr="00B870C4">
        <w:rPr>
          <w:lang w:val="en-US"/>
        </w:rPr>
        <w:t>The following agreements have been reached at RAN1#AH_1901 [6]:</w:t>
      </w:r>
    </w:p>
    <w:p w:rsidR="00D65CE0" w:rsidRPr="00D65CE0" w:rsidRDefault="00D65CE0" w:rsidP="00D65CE0">
      <w:pPr>
        <w:spacing w:after="0" w:line="240" w:lineRule="auto"/>
        <w:rPr>
          <w:rFonts w:ascii="Times" w:eastAsia="Batang" w:hAnsi="Times" w:cs="Times New Roman"/>
          <w:sz w:val="20"/>
          <w:szCs w:val="20"/>
          <w:lang w:eastAsia="x-none"/>
        </w:rPr>
      </w:pPr>
      <w:r w:rsidRPr="00D65CE0">
        <w:rPr>
          <w:rFonts w:ascii="Times" w:eastAsia="Batang" w:hAnsi="Times" w:cs="Times New Roman"/>
          <w:sz w:val="20"/>
          <w:szCs w:val="20"/>
          <w:highlight w:val="green"/>
          <w:lang w:eastAsia="x-none"/>
        </w:rPr>
        <w:t>Agreements</w:t>
      </w:r>
      <w:r w:rsidRPr="00D65CE0">
        <w:rPr>
          <w:rFonts w:ascii="Times" w:eastAsia="Batang" w:hAnsi="Times" w:cs="Times New Roman"/>
          <w:sz w:val="20"/>
          <w:szCs w:val="20"/>
          <w:lang w:eastAsia="x-none"/>
        </w:rPr>
        <w:t>:</w:t>
      </w:r>
    </w:p>
    <w:p w:rsidR="00D65CE0" w:rsidRPr="00D65CE0" w:rsidRDefault="00D65CE0" w:rsidP="00D65CE0">
      <w:pPr>
        <w:numPr>
          <w:ilvl w:val="0"/>
          <w:numId w:val="17"/>
        </w:numPr>
        <w:spacing w:after="0" w:line="240" w:lineRule="auto"/>
        <w:rPr>
          <w:rFonts w:ascii="Times" w:eastAsia="Batang" w:hAnsi="Times" w:cs="Times New Roman"/>
          <w:bCs/>
          <w:sz w:val="20"/>
          <w:szCs w:val="20"/>
          <w:lang w:val="en-US" w:eastAsia="zh-CN"/>
        </w:rPr>
      </w:pPr>
      <w:r w:rsidRPr="00D65CE0">
        <w:rPr>
          <w:rFonts w:ascii="Times" w:eastAsia="Batang" w:hAnsi="Times" w:cs="Times New Roman"/>
          <w:bCs/>
          <w:sz w:val="20"/>
          <w:szCs w:val="20"/>
          <w:lang w:val="en-US" w:eastAsia="zh-CN"/>
        </w:rPr>
        <w:t>Introduce at least one congestion metric for NR sidelink</w:t>
      </w:r>
    </w:p>
    <w:p w:rsidR="00D65CE0" w:rsidRPr="00D65CE0" w:rsidRDefault="00D65CE0" w:rsidP="00D65CE0">
      <w:pPr>
        <w:numPr>
          <w:ilvl w:val="1"/>
          <w:numId w:val="17"/>
        </w:numPr>
        <w:spacing w:after="0" w:line="240" w:lineRule="auto"/>
        <w:rPr>
          <w:rFonts w:ascii="Times" w:eastAsia="Batang" w:hAnsi="Times" w:cs="Times New Roman"/>
          <w:bCs/>
          <w:sz w:val="40"/>
          <w:szCs w:val="20"/>
          <w:lang w:val="en-US" w:eastAsia="zh-CN"/>
        </w:rPr>
      </w:pPr>
      <w:r w:rsidRPr="00D65CE0">
        <w:rPr>
          <w:rFonts w:ascii="Times" w:eastAsia="Batang" w:hAnsi="Times" w:cs="Times New Roman"/>
          <w:bCs/>
          <w:sz w:val="20"/>
          <w:szCs w:val="20"/>
          <w:lang w:val="en-US" w:eastAsia="zh-CN"/>
        </w:rPr>
        <w:t>FFS details – to be done in WI phase (if included)</w:t>
      </w:r>
    </w:p>
    <w:p w:rsidR="00D65CE0" w:rsidRDefault="00D65CE0" w:rsidP="0058787A">
      <w:pPr>
        <w:spacing w:after="0"/>
        <w:rPr>
          <w:iCs/>
          <w:lang w:val="en-US" w:eastAsia="zh-CN"/>
        </w:rPr>
      </w:pPr>
    </w:p>
    <w:p w:rsidR="00FA1061" w:rsidRPr="00FA1061" w:rsidRDefault="00FA1061" w:rsidP="00FA1061">
      <w:pPr>
        <w:spacing w:after="0" w:line="240" w:lineRule="auto"/>
        <w:rPr>
          <w:rFonts w:ascii="Times" w:eastAsia="Batang" w:hAnsi="Times" w:cs="Times New Roman"/>
          <w:sz w:val="20"/>
          <w:szCs w:val="20"/>
          <w:lang w:val="en-US" w:eastAsia="x-none"/>
        </w:rPr>
      </w:pPr>
      <w:r w:rsidRPr="00FA1061">
        <w:rPr>
          <w:rFonts w:ascii="Times" w:eastAsia="Batang" w:hAnsi="Times" w:cs="Times New Roman"/>
          <w:sz w:val="20"/>
          <w:szCs w:val="20"/>
          <w:highlight w:val="green"/>
          <w:lang w:val="en-US" w:eastAsia="x-none"/>
        </w:rPr>
        <w:t>Agreements</w:t>
      </w:r>
      <w:r w:rsidRPr="00FA1061">
        <w:rPr>
          <w:rFonts w:ascii="Times" w:eastAsia="Batang" w:hAnsi="Times" w:cs="Times New Roman"/>
          <w:sz w:val="20"/>
          <w:szCs w:val="20"/>
          <w:lang w:val="en-US" w:eastAsia="x-none"/>
        </w:rPr>
        <w:t>:</w:t>
      </w:r>
    </w:p>
    <w:p w:rsidR="00FA1061" w:rsidRPr="00FA1061" w:rsidRDefault="00FA1061" w:rsidP="00FA1061">
      <w:pPr>
        <w:numPr>
          <w:ilvl w:val="0"/>
          <w:numId w:val="17"/>
        </w:numPr>
        <w:spacing w:after="0" w:line="240" w:lineRule="auto"/>
        <w:rPr>
          <w:rFonts w:ascii="Times" w:eastAsia="Batang" w:hAnsi="Times" w:cs="Times New Roman"/>
          <w:sz w:val="20"/>
          <w:szCs w:val="20"/>
          <w:lang w:val="en-US" w:eastAsia="zh-CN"/>
        </w:rPr>
      </w:pPr>
      <w:r w:rsidRPr="00FA1061">
        <w:rPr>
          <w:rFonts w:ascii="Times" w:eastAsia="Batang" w:hAnsi="Times" w:cs="Times New Roman"/>
          <w:sz w:val="20"/>
          <w:szCs w:val="20"/>
          <w:lang w:val="en-US" w:eastAsia="zh-CN"/>
        </w:rPr>
        <w:t>Congestion control is supported at least for sidelink mode 2</w:t>
      </w:r>
    </w:p>
    <w:p w:rsidR="00FA1061" w:rsidRPr="00FA1061" w:rsidRDefault="00FA1061" w:rsidP="00FA1061">
      <w:pPr>
        <w:numPr>
          <w:ilvl w:val="1"/>
          <w:numId w:val="17"/>
        </w:numPr>
        <w:spacing w:after="0" w:line="240" w:lineRule="auto"/>
        <w:rPr>
          <w:rFonts w:ascii="Times" w:eastAsia="Batang" w:hAnsi="Times" w:cs="Times New Roman"/>
          <w:sz w:val="20"/>
          <w:szCs w:val="20"/>
          <w:lang w:val="en-US" w:eastAsia="zh-CN"/>
        </w:rPr>
      </w:pPr>
      <w:r w:rsidRPr="00FA1061">
        <w:rPr>
          <w:rFonts w:ascii="Times" w:eastAsia="Batang" w:hAnsi="Times" w:cs="Times New Roman"/>
          <w:sz w:val="20"/>
          <w:szCs w:val="20"/>
          <w:lang w:val="en-US" w:eastAsia="zh-CN"/>
        </w:rPr>
        <w:t>Note: details of congestion control can be covered in the work item phase, not in this SI.</w:t>
      </w:r>
    </w:p>
    <w:p w:rsidR="00FA1061" w:rsidRPr="00D65CE0" w:rsidRDefault="00FA1061" w:rsidP="0058787A">
      <w:pPr>
        <w:spacing w:after="0"/>
        <w:rPr>
          <w:iCs/>
          <w:lang w:val="en-US" w:eastAsia="zh-CN"/>
        </w:rPr>
      </w:pPr>
    </w:p>
    <w:p w:rsidR="00910515" w:rsidRPr="00313E18" w:rsidRDefault="00910515" w:rsidP="0058787A">
      <w:pPr>
        <w:spacing w:after="0"/>
        <w:rPr>
          <w:iCs/>
          <w:lang w:val="en-US" w:eastAsia="zh-CN"/>
        </w:rPr>
      </w:pPr>
    </w:p>
    <w:p w:rsidR="000D2D9E" w:rsidRDefault="005A37FA" w:rsidP="00635DE5">
      <w:pPr>
        <w:pStyle w:val="Heading1"/>
        <w:spacing w:after="120"/>
        <w:jc w:val="both"/>
        <w:rPr>
          <w:lang w:val="en-US" w:eastAsia="zh-CN"/>
        </w:rPr>
      </w:pPr>
      <w:r>
        <w:rPr>
          <w:lang w:val="en-US" w:eastAsia="zh-CN"/>
        </w:rPr>
        <w:lastRenderedPageBreak/>
        <w:t>Discussion</w:t>
      </w:r>
    </w:p>
    <w:p w:rsidR="00F67C1F" w:rsidRDefault="00F67C1F" w:rsidP="00FC58B1">
      <w:pPr>
        <w:rPr>
          <w:lang w:val="en-US" w:eastAsia="zh-CN"/>
        </w:rPr>
      </w:pPr>
    </w:p>
    <w:p w:rsidR="00F820AA" w:rsidRPr="00F820AA" w:rsidRDefault="00F820AA" w:rsidP="00F820A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val="en-US" w:eastAsia="zh-CN"/>
        </w:rPr>
      </w:pPr>
      <w:r w:rsidRPr="00F820AA">
        <w:rPr>
          <w:rFonts w:ascii="Arial" w:eastAsia="Times New Roman" w:hAnsi="Arial" w:cs="Arial"/>
          <w:sz w:val="28"/>
          <w:szCs w:val="28"/>
          <w:lang w:val="en-US" w:eastAsia="zh-CN"/>
        </w:rPr>
        <w:t>Congestion</w:t>
      </w:r>
      <w:r w:rsidR="002422A8">
        <w:rPr>
          <w:rFonts w:ascii="Arial" w:eastAsia="Times New Roman" w:hAnsi="Arial" w:cs="Arial"/>
          <w:sz w:val="28"/>
          <w:szCs w:val="28"/>
          <w:lang w:val="en-US" w:eastAsia="zh-CN"/>
        </w:rPr>
        <w:t xml:space="preserve"> Control</w:t>
      </w:r>
    </w:p>
    <w:p w:rsidR="00F820AA" w:rsidRPr="00F820AA" w:rsidRDefault="00F820AA" w:rsidP="00F820AA">
      <w:pPr>
        <w:rPr>
          <w:lang w:val="en-US" w:eastAsia="zh-CN"/>
        </w:rPr>
      </w:pPr>
      <w:r w:rsidRPr="00F820AA">
        <w:rPr>
          <w:lang w:val="en-US" w:eastAsia="zh-CN"/>
        </w:rPr>
        <w:t xml:space="preserve">Regional regulation may require UEs to support sidelink congestion control. E.g. ETSI TC ITS has defined </w:t>
      </w:r>
      <w:proofErr w:type="spellStart"/>
      <w:r w:rsidRPr="00F820AA">
        <w:rPr>
          <w:lang w:val="en-US" w:eastAsia="zh-CN"/>
        </w:rPr>
        <w:t>decentralised</w:t>
      </w:r>
      <w:proofErr w:type="spellEnd"/>
      <w:r w:rsidRPr="00F820AA">
        <w:rPr>
          <w:lang w:val="en-US" w:eastAsia="zh-CN"/>
        </w:rPr>
        <w:t xml:space="preserve"> congestion control (DCC); under European regulations ITS stations need to perform DCC on ITS carriers (e.g. 5.9 GHz). </w:t>
      </w:r>
    </w:p>
    <w:p w:rsidR="00F820AA" w:rsidRDefault="00DF103B" w:rsidP="00F820AA">
      <w:pPr>
        <w:rPr>
          <w:lang w:val="en-US" w:eastAsia="zh-CN"/>
        </w:rPr>
      </w:pPr>
      <w:r>
        <w:rPr>
          <w:lang w:val="en-US" w:eastAsia="zh-CN"/>
        </w:rPr>
        <w:t>RAN1 have agreed to i</w:t>
      </w:r>
      <w:r w:rsidRPr="00DF103B">
        <w:rPr>
          <w:lang w:val="en-US" w:eastAsia="zh-CN"/>
        </w:rPr>
        <w:t>ntroduce at least one congestion metric for NR sidelink</w:t>
      </w:r>
      <w:r>
        <w:rPr>
          <w:lang w:val="en-US" w:eastAsia="zh-CN"/>
        </w:rPr>
        <w:t xml:space="preserve">, with details to be studied in the work item phase (if included in WI). </w:t>
      </w:r>
    </w:p>
    <w:p w:rsidR="00DF103B" w:rsidRPr="00F820AA" w:rsidRDefault="00DF103B" w:rsidP="00F820AA">
      <w:pPr>
        <w:rPr>
          <w:lang w:eastAsia="zh-CN"/>
        </w:rPr>
      </w:pPr>
    </w:p>
    <w:p w:rsidR="00F820AA" w:rsidRPr="00F820AA" w:rsidRDefault="00F820AA" w:rsidP="00F820AA">
      <w:pPr>
        <w:rPr>
          <w:lang w:val="en-US" w:eastAsia="zh-CN"/>
        </w:rPr>
      </w:pPr>
    </w:p>
    <w:p w:rsidR="00F820AA" w:rsidRPr="00F820AA" w:rsidRDefault="00F820AA" w:rsidP="00F820AA">
      <w:pPr>
        <w:rPr>
          <w:b/>
          <w:bCs/>
          <w:lang w:val="en-US" w:eastAsia="zh-CN"/>
        </w:rPr>
      </w:pPr>
      <w:r w:rsidRPr="00F820AA">
        <w:rPr>
          <w:lang w:val="en-US" w:eastAsia="zh-CN"/>
        </w:rPr>
        <w:br/>
      </w:r>
      <w:bookmarkStart w:id="0" w:name="P_ReportCongestionMetric"/>
      <w:r w:rsidRPr="00F820AA">
        <w:rPr>
          <w:b/>
          <w:bCs/>
          <w:lang w:val="en-US" w:eastAsia="zh-CN"/>
        </w:rPr>
        <w:t xml:space="preserve">Proposal </w:t>
      </w:r>
      <w:r w:rsidRPr="00F820AA">
        <w:rPr>
          <w:b/>
          <w:bCs/>
          <w:lang w:val="en-US" w:eastAsia="zh-CN"/>
        </w:rPr>
        <w:fldChar w:fldCharType="begin"/>
      </w:r>
      <w:r w:rsidRPr="00F820AA">
        <w:rPr>
          <w:b/>
          <w:bCs/>
          <w:lang w:val="en-US" w:eastAsia="zh-CN"/>
        </w:rPr>
        <w:instrText xml:space="preserve"> SEQ Proposal \* Arabic </w:instrText>
      </w:r>
      <w:r w:rsidRPr="00F820AA">
        <w:rPr>
          <w:b/>
          <w:bCs/>
          <w:lang w:val="en-US" w:eastAsia="zh-CN"/>
        </w:rPr>
        <w:fldChar w:fldCharType="separate"/>
      </w:r>
      <w:r w:rsidR="00C45CEE">
        <w:rPr>
          <w:b/>
          <w:bCs/>
          <w:noProof/>
          <w:lang w:val="en-US" w:eastAsia="zh-CN"/>
        </w:rPr>
        <w:t>1</w:t>
      </w:r>
      <w:r w:rsidRPr="00F820AA">
        <w:rPr>
          <w:b/>
          <w:bCs/>
          <w:lang w:val="en-US" w:eastAsia="zh-CN"/>
        </w:rPr>
        <w:fldChar w:fldCharType="end"/>
      </w:r>
      <w:r w:rsidRPr="00F820AA">
        <w:rPr>
          <w:b/>
          <w:bCs/>
          <w:lang w:val="en-US" w:eastAsia="zh-CN"/>
        </w:rPr>
        <w:t>: Support reporting of the congestion metric(s) to the gNB.</w:t>
      </w:r>
      <w:bookmarkEnd w:id="0"/>
    </w:p>
    <w:p w:rsidR="00CE59D8" w:rsidRPr="005867B5" w:rsidRDefault="00CE59D8" w:rsidP="000D33B2">
      <w:pPr>
        <w:rPr>
          <w:lang w:val="en-US" w:eastAsia="zh-CN"/>
        </w:rPr>
      </w:pPr>
    </w:p>
    <w:p w:rsidR="00D65420" w:rsidRDefault="00D65420" w:rsidP="001562FD">
      <w:pPr>
        <w:rPr>
          <w:lang w:val="en-US" w:eastAsia="zh-CN"/>
        </w:rPr>
      </w:pPr>
    </w:p>
    <w:p w:rsidR="00DB430B" w:rsidRPr="00DB430B" w:rsidRDefault="00DB430B" w:rsidP="00DB430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DB430B">
        <w:rPr>
          <w:rFonts w:ascii="Arial" w:eastAsia="Times New Roman" w:hAnsi="Arial" w:cs="Arial"/>
          <w:sz w:val="32"/>
          <w:szCs w:val="32"/>
          <w:lang w:val="en-US" w:eastAsia="zh-CN"/>
        </w:rPr>
        <w:t>Tools to achieve QoS</w:t>
      </w:r>
    </w:p>
    <w:p w:rsidR="00DB430B" w:rsidRPr="00DB430B" w:rsidRDefault="00DB430B" w:rsidP="00DB430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val="en-US" w:eastAsia="zh-CN"/>
        </w:rPr>
      </w:pPr>
      <w:r w:rsidRPr="00DB430B">
        <w:rPr>
          <w:rFonts w:ascii="Arial" w:eastAsia="Times New Roman" w:hAnsi="Arial" w:cs="Arial"/>
          <w:sz w:val="28"/>
          <w:szCs w:val="28"/>
          <w:lang w:val="en-US" w:eastAsia="zh-CN"/>
        </w:rPr>
        <w:t>Sidelink Inter-UE Preemption in UE-autonomous mode</w:t>
      </w:r>
    </w:p>
    <w:p w:rsidR="00DB430B" w:rsidRPr="00DB430B" w:rsidRDefault="00DB430B" w:rsidP="00DB430B">
      <w:pPr>
        <w:rPr>
          <w:lang w:val="en-US" w:eastAsia="zh-CN"/>
        </w:rPr>
      </w:pPr>
      <w:r w:rsidRPr="00DB430B">
        <w:rPr>
          <w:lang w:val="en-US" w:eastAsia="zh-CN"/>
        </w:rPr>
        <w:t xml:space="preserve">It can happen that a UE receives a high-priority and urgent (low latency) message from higher layers, but no resources are available which meet the latency requirement. In that case it may be necessary to preempt lower priority transmissions of one or more other UEs. </w:t>
      </w:r>
    </w:p>
    <w:p w:rsidR="00DB430B" w:rsidRPr="00DB430B" w:rsidRDefault="00DB430B" w:rsidP="00DB430B">
      <w:pPr>
        <w:rPr>
          <w:lang w:val="en-US" w:eastAsia="zh-CN"/>
        </w:rPr>
      </w:pPr>
      <w:bookmarkStart w:id="1" w:name="P_Preempt"/>
      <w:r w:rsidRPr="00DB430B">
        <w:rPr>
          <w:b/>
          <w:bCs/>
          <w:lang w:val="en-US" w:eastAsia="zh-CN"/>
        </w:rPr>
        <w:t xml:space="preserve">Proposal </w:t>
      </w:r>
      <w:r w:rsidRPr="00DB430B">
        <w:rPr>
          <w:b/>
          <w:bCs/>
          <w:lang w:val="en-US" w:eastAsia="zh-CN"/>
        </w:rPr>
        <w:fldChar w:fldCharType="begin"/>
      </w:r>
      <w:r w:rsidRPr="00DB430B">
        <w:rPr>
          <w:b/>
          <w:bCs/>
          <w:lang w:val="en-US" w:eastAsia="zh-CN"/>
        </w:rPr>
        <w:instrText xml:space="preserve"> SEQ Proposal \* Arabic </w:instrText>
      </w:r>
      <w:r w:rsidRPr="00DB430B">
        <w:rPr>
          <w:b/>
          <w:bCs/>
          <w:lang w:val="en-US" w:eastAsia="zh-CN"/>
        </w:rPr>
        <w:fldChar w:fldCharType="separate"/>
      </w:r>
      <w:r w:rsidR="00C45CEE">
        <w:rPr>
          <w:b/>
          <w:bCs/>
          <w:noProof/>
          <w:lang w:val="en-US" w:eastAsia="zh-CN"/>
        </w:rPr>
        <w:t>2</w:t>
      </w:r>
      <w:r w:rsidRPr="00DB430B">
        <w:rPr>
          <w:b/>
          <w:bCs/>
          <w:lang w:val="en-US" w:eastAsia="zh-CN"/>
        </w:rPr>
        <w:fldChar w:fldCharType="end"/>
      </w:r>
      <w:r w:rsidRPr="00DB430B">
        <w:rPr>
          <w:b/>
          <w:bCs/>
          <w:lang w:val="en-US" w:eastAsia="zh-CN"/>
        </w:rPr>
        <w:t>: Support sidelink inter-UE preemption in UE-autonomous mode, taking priority and latency into account.</w:t>
      </w:r>
      <w:bookmarkEnd w:id="1"/>
    </w:p>
    <w:p w:rsidR="00DB430B" w:rsidRPr="00DB430B" w:rsidRDefault="00DB430B" w:rsidP="00DB430B">
      <w:pPr>
        <w:rPr>
          <w:lang w:val="en-US" w:eastAsia="zh-CN"/>
        </w:rPr>
      </w:pPr>
    </w:p>
    <w:p w:rsidR="00DB430B" w:rsidRPr="00DB430B" w:rsidRDefault="00DB430B" w:rsidP="0074795B">
      <w:pPr>
        <w:rPr>
          <w:lang w:val="en-US" w:eastAsia="zh-CN"/>
        </w:rPr>
      </w:pPr>
      <w:r w:rsidRPr="00DB430B">
        <w:rPr>
          <w:lang w:val="en-US" w:eastAsia="zh-CN"/>
        </w:rPr>
        <w:t xml:space="preserve">Specific mechanisms to provide such a preemption mechanism are discussed in our companion contribution </w:t>
      </w:r>
      <w:r w:rsidR="0074795B">
        <w:rPr>
          <w:lang w:val="en-US" w:eastAsia="zh-CN"/>
        </w:rPr>
        <w:t>[7].</w:t>
      </w:r>
    </w:p>
    <w:p w:rsidR="0037523A" w:rsidRDefault="0037523A" w:rsidP="00FC58B1">
      <w:pPr>
        <w:rPr>
          <w:lang w:val="en-US" w:eastAsia="zh-CN"/>
        </w:rPr>
      </w:pPr>
    </w:p>
    <w:p w:rsidR="0037523A" w:rsidRDefault="0037523A" w:rsidP="00FC58B1">
      <w:pPr>
        <w:rPr>
          <w:lang w:val="en-US" w:eastAsia="zh-CN"/>
        </w:rPr>
      </w:pPr>
    </w:p>
    <w:p w:rsidR="00ED1977"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DB430B" w:rsidRDefault="00DB430B" w:rsidP="00ED066E">
      <w:pPr>
        <w:jc w:val="both"/>
        <w:rPr>
          <w:lang w:val="en-US"/>
        </w:rPr>
      </w:pPr>
      <w:r w:rsidRPr="00DB430B">
        <w:rPr>
          <w:lang w:val="en-US"/>
        </w:rPr>
        <w:t>In this contribution we discussed sidelink QoS management and make the following proposals:</w:t>
      </w:r>
    </w:p>
    <w:p w:rsidR="00FA2471" w:rsidRDefault="00FA2471" w:rsidP="00ED066E">
      <w:pPr>
        <w:jc w:val="both"/>
        <w:rPr>
          <w:lang w:val="en-US"/>
        </w:rPr>
      </w:pPr>
      <w:bookmarkStart w:id="2" w:name="_GoBack"/>
      <w:bookmarkEnd w:id="2"/>
    </w:p>
    <w:p w:rsidR="0050189D" w:rsidRDefault="0050189D" w:rsidP="0050189D">
      <w:pPr>
        <w:rPr>
          <w:lang w:val="en-US"/>
        </w:rPr>
      </w:pPr>
      <w:r>
        <w:rPr>
          <w:lang w:val="en-US"/>
        </w:rPr>
        <w:lastRenderedPageBreak/>
        <w:fldChar w:fldCharType="begin"/>
      </w:r>
      <w:r w:rsidR="003F5F99">
        <w:rPr>
          <w:lang w:val="en-US"/>
        </w:rPr>
        <w:instrText xml:space="preserve"> REF </w:instrText>
      </w:r>
      <w:r w:rsidR="00E02C11" w:rsidRPr="00E02C11">
        <w:rPr>
          <w:lang w:val="en-US"/>
        </w:rPr>
        <w:instrText>P_ReportCongestionMetric</w:instrText>
      </w:r>
      <w:r>
        <w:rPr>
          <w:lang w:val="en-US"/>
        </w:rPr>
        <w:instrText xml:space="preserve"> \h </w:instrText>
      </w:r>
      <w:r w:rsidR="00CC2520">
        <w:rPr>
          <w:lang w:val="en-US"/>
        </w:rPr>
      </w:r>
      <w:r>
        <w:rPr>
          <w:lang w:val="en-US"/>
        </w:rPr>
        <w:fldChar w:fldCharType="separate"/>
      </w:r>
      <w:r w:rsidR="00C45CEE" w:rsidRPr="00F820AA">
        <w:rPr>
          <w:b/>
          <w:bCs/>
          <w:lang w:val="en-US" w:eastAsia="zh-CN"/>
        </w:rPr>
        <w:t xml:space="preserve">Proposal </w:t>
      </w:r>
      <w:r w:rsidR="00C45CEE">
        <w:rPr>
          <w:b/>
          <w:bCs/>
          <w:noProof/>
          <w:lang w:val="en-US" w:eastAsia="zh-CN"/>
        </w:rPr>
        <w:t>1</w:t>
      </w:r>
      <w:r w:rsidR="00C45CEE" w:rsidRPr="00F820AA">
        <w:rPr>
          <w:b/>
          <w:bCs/>
          <w:lang w:val="en-US" w:eastAsia="zh-CN"/>
        </w:rPr>
        <w:t>: Support reporting of the congestion metric(s) to the gNB.</w:t>
      </w:r>
      <w:r>
        <w:rPr>
          <w:lang w:val="en-US"/>
        </w:rPr>
        <w:fldChar w:fldCharType="end"/>
      </w:r>
    </w:p>
    <w:p w:rsidR="00A3241C" w:rsidRPr="00A3241C" w:rsidRDefault="00A3241C" w:rsidP="00A3241C">
      <w:pPr>
        <w:rPr>
          <w:lang w:eastAsia="zh-CN"/>
        </w:rPr>
      </w:pPr>
      <w:r>
        <w:rPr>
          <w:lang w:val="en-US"/>
        </w:rPr>
        <w:fldChar w:fldCharType="begin"/>
      </w:r>
      <w:r>
        <w:rPr>
          <w:lang w:val="en-US"/>
        </w:rPr>
        <w:instrText xml:space="preserve"> REF </w:instrText>
      </w:r>
      <w:r w:rsidRPr="00A3241C">
        <w:rPr>
          <w:lang w:eastAsia="zh-CN"/>
        </w:rPr>
        <w:instrText>P_Preempt</w:instrText>
      </w:r>
      <w:r>
        <w:rPr>
          <w:lang w:val="en-US"/>
        </w:rPr>
        <w:instrText xml:space="preserve"> \h </w:instrText>
      </w:r>
      <w:r w:rsidR="00C45CEE">
        <w:rPr>
          <w:lang w:val="en-US"/>
        </w:rPr>
      </w:r>
      <w:r>
        <w:rPr>
          <w:lang w:val="en-US"/>
        </w:rPr>
        <w:fldChar w:fldCharType="separate"/>
      </w:r>
      <w:r w:rsidR="00C45CEE" w:rsidRPr="00DB430B">
        <w:rPr>
          <w:b/>
          <w:bCs/>
          <w:lang w:val="en-US" w:eastAsia="zh-CN"/>
        </w:rPr>
        <w:t xml:space="preserve">Proposal </w:t>
      </w:r>
      <w:r w:rsidR="00C45CEE">
        <w:rPr>
          <w:b/>
          <w:bCs/>
          <w:noProof/>
          <w:lang w:val="en-US" w:eastAsia="zh-CN"/>
        </w:rPr>
        <w:t>2</w:t>
      </w:r>
      <w:r w:rsidR="00C45CEE" w:rsidRPr="00DB430B">
        <w:rPr>
          <w:b/>
          <w:bCs/>
          <w:lang w:val="en-US" w:eastAsia="zh-CN"/>
        </w:rPr>
        <w:t>: Support sidelink inter-UE preemption in UE-autonomous mode, taking priority and latency into account.</w:t>
      </w:r>
      <w:r>
        <w:rPr>
          <w:lang w:val="en-US"/>
        </w:rPr>
        <w:fldChar w:fldCharType="end"/>
      </w:r>
    </w:p>
    <w:p w:rsidR="00A3241C" w:rsidRPr="00A3241C" w:rsidRDefault="00A3241C" w:rsidP="005E2BEC">
      <w:pPr>
        <w:rPr>
          <w:lang w:val="en-US"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207070" w:rsidP="00207070">
      <w:pPr>
        <w:widowControl w:val="0"/>
        <w:numPr>
          <w:ilvl w:val="0"/>
          <w:numId w:val="2"/>
        </w:numPr>
        <w:tabs>
          <w:tab w:val="num" w:pos="708"/>
        </w:tabs>
        <w:spacing w:after="120"/>
        <w:jc w:val="both"/>
        <w:rPr>
          <w:lang w:val="en-US" w:eastAsia="zh-CN"/>
        </w:rPr>
      </w:pPr>
      <w:bookmarkStart w:id="3" w:name="_Ref513823147"/>
      <w:r w:rsidRPr="00207070">
        <w:rPr>
          <w:lang w:val="en-US" w:eastAsia="zh-CN"/>
        </w:rPr>
        <w:t>RP-182491</w:t>
      </w:r>
      <w:r w:rsidR="00A65F11">
        <w:rPr>
          <w:lang w:val="en-US" w:eastAsia="zh-CN"/>
        </w:rPr>
        <w:t>, “</w:t>
      </w:r>
      <w:bookmarkEnd w:id="3"/>
      <w:r w:rsidR="00D7316B">
        <w:rPr>
          <w:lang w:val="en-US" w:eastAsia="zh-CN"/>
        </w:rPr>
        <w:t>Revised</w:t>
      </w:r>
      <w:r w:rsidR="00A65F11" w:rsidRPr="00A65F11">
        <w:rPr>
          <w:lang w:val="en-US" w:eastAsia="zh-CN"/>
        </w:rPr>
        <w:t xml:space="preserve"> SID: Study on NR V2X</w:t>
      </w:r>
      <w:r w:rsidR="00A65F11">
        <w:rPr>
          <w:lang w:val="en-US" w:eastAsia="zh-CN"/>
        </w:rPr>
        <w:t>”</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331DF2" w:rsidRDefault="00331DF2" w:rsidP="00331DF2">
      <w:pPr>
        <w:numPr>
          <w:ilvl w:val="0"/>
          <w:numId w:val="2"/>
        </w:numPr>
      </w:pPr>
      <w:r>
        <w:rPr>
          <w:rFonts w:hint="eastAsia"/>
          <w:lang w:eastAsia="zh-CN"/>
        </w:rPr>
        <w:t>RAN1#9</w:t>
      </w:r>
      <w:r>
        <w:rPr>
          <w:lang w:eastAsia="zh-CN"/>
        </w:rPr>
        <w:t>4</w:t>
      </w:r>
      <w:r>
        <w:rPr>
          <w:rFonts w:hint="eastAsia"/>
          <w:lang w:eastAsia="zh-CN"/>
        </w:rPr>
        <w:t xml:space="preserve"> chairman notes</w:t>
      </w:r>
    </w:p>
    <w:p w:rsidR="00394DBA" w:rsidRDefault="00394DBA" w:rsidP="00331DF2">
      <w:pPr>
        <w:numPr>
          <w:ilvl w:val="0"/>
          <w:numId w:val="2"/>
        </w:numPr>
      </w:pPr>
      <w:r>
        <w:rPr>
          <w:lang w:eastAsia="zh-CN"/>
        </w:rPr>
        <w:t>RAN1#94bis chairman notes</w:t>
      </w:r>
    </w:p>
    <w:p w:rsidR="000B2117" w:rsidRDefault="000B2117" w:rsidP="00DC53EC">
      <w:pPr>
        <w:numPr>
          <w:ilvl w:val="0"/>
          <w:numId w:val="2"/>
        </w:numPr>
      </w:pPr>
      <w:r>
        <w:rPr>
          <w:lang w:eastAsia="zh-CN"/>
        </w:rPr>
        <w:t>RAN1#95 chairman notes</w:t>
      </w:r>
    </w:p>
    <w:p w:rsidR="00B84654" w:rsidRDefault="00B84654" w:rsidP="00B84654">
      <w:pPr>
        <w:numPr>
          <w:ilvl w:val="0"/>
          <w:numId w:val="2"/>
        </w:numPr>
      </w:pPr>
      <w:r w:rsidRPr="00B84654">
        <w:t xml:space="preserve">RAN1 </w:t>
      </w:r>
      <w:proofErr w:type="spellStart"/>
      <w:r w:rsidRPr="00B84654">
        <w:t>AdHoc</w:t>
      </w:r>
      <w:proofErr w:type="spellEnd"/>
      <w:r w:rsidRPr="00B84654">
        <w:t xml:space="preserve"> 1901</w:t>
      </w:r>
      <w:r>
        <w:t xml:space="preserve"> chairman notes</w:t>
      </w:r>
    </w:p>
    <w:p w:rsidR="00CD79D8" w:rsidRDefault="00CD79D8" w:rsidP="00B84654">
      <w:pPr>
        <w:numPr>
          <w:ilvl w:val="0"/>
          <w:numId w:val="2"/>
        </w:numPr>
      </w:pPr>
      <w:r w:rsidRPr="00CD79D8">
        <w:t>R1-1902576</w:t>
      </w:r>
      <w:r>
        <w:t xml:space="preserve">, </w:t>
      </w:r>
      <w:r w:rsidRPr="00CD79D8">
        <w:t>On Sidelink Resource Allocatio</w:t>
      </w:r>
      <w:r>
        <w:t>n</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AFE" w:rsidRDefault="00ED5AFE">
      <w:r>
        <w:separator/>
      </w:r>
    </w:p>
  </w:endnote>
  <w:endnote w:type="continuationSeparator" w:id="0">
    <w:p w:rsidR="00ED5AFE" w:rsidRDefault="00ED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modern"/>
    <w:pitch w:val="variable"/>
    <w:sig w:usb0="9000002F" w:usb1="29D77CFB" w:usb2="00000012" w:usb3="00000000" w:csb0="00080001" w:csb1="00000000"/>
  </w:font>
  <w:font w:name="DengXian">
    <w:altName w:val="DengXian"/>
    <w:panose1 w:val="03000509000000000000"/>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AFE" w:rsidRDefault="00ED5AFE">
      <w:r>
        <w:separator/>
      </w:r>
    </w:p>
  </w:footnote>
  <w:footnote w:type="continuationSeparator" w:id="0">
    <w:p w:rsidR="00ED5AFE" w:rsidRDefault="00ED5A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0"/>
  </w:num>
  <w:num w:numId="6">
    <w:abstractNumId w:val="2"/>
  </w:num>
  <w:num w:numId="7">
    <w:abstractNumId w:val="13"/>
  </w:num>
  <w:num w:numId="8">
    <w:abstractNumId w:val="5"/>
  </w:num>
  <w:num w:numId="9">
    <w:abstractNumId w:val="6"/>
  </w:num>
  <w:num w:numId="10">
    <w:abstractNumId w:val="9"/>
  </w:num>
  <w:num w:numId="11">
    <w:abstractNumId w:val="15"/>
  </w:num>
  <w:num w:numId="12">
    <w:abstractNumId w:val="17"/>
  </w:num>
  <w:num w:numId="13">
    <w:abstractNumId w:val="12"/>
  </w:num>
  <w:num w:numId="14">
    <w:abstractNumId w:val="1"/>
  </w:num>
  <w:num w:numId="15">
    <w:abstractNumId w:val="16"/>
  </w:num>
  <w:num w:numId="16">
    <w:abstractNumId w:val="11"/>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674"/>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2A8"/>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6C9"/>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0BA0"/>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DF8"/>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95B"/>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4AF"/>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569"/>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41C"/>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0C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5CEE"/>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2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D79D8"/>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5CE0"/>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6F"/>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0B"/>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03B"/>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11"/>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6F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AFE"/>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771"/>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AA"/>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061"/>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D8F"/>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24D7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3DF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633D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3DF8"/>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450</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2018-10-29T15:04:00Z</dcterms:created>
  <dcterms:modified xsi:type="dcterms:W3CDTF">2019-02-16T05:09:00Z</dcterms:modified>
</cp:coreProperties>
</file>