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6E02EE97"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#96</w:t>
      </w:r>
      <w:r w:rsidR="001B69D7">
        <w:rPr>
          <w:rFonts w:cs="Arial" w:hint="eastAsia"/>
          <w:bCs/>
          <w:sz w:val="20"/>
          <w:lang w:eastAsia="ja-JP"/>
        </w:rPr>
        <w:tab/>
      </w:r>
      <w:r w:rsidR="001B69D7">
        <w:rPr>
          <w:rFonts w:cs="Arial" w:hint="eastAsia"/>
          <w:bCs/>
          <w:sz w:val="20"/>
          <w:lang w:eastAsia="ja-JP"/>
        </w:rPr>
        <w:tab/>
      </w:r>
      <w:r w:rsidR="00203B9C" w:rsidRPr="00203B9C">
        <w:rPr>
          <w:rFonts w:hint="eastAsia"/>
          <w:sz w:val="20"/>
        </w:rPr>
        <w:t>R1-1902393</w:t>
      </w:r>
    </w:p>
    <w:p w14:paraId="552A328C" w14:textId="2AC458EC" w:rsidR="00941D27" w:rsidRPr="0093682F" w:rsidRDefault="00E5382E" w:rsidP="00941D27">
      <w:pPr>
        <w:pStyle w:val="TdocHeader2"/>
        <w:jc w:val="left"/>
        <w:rPr>
          <w:rFonts w:eastAsiaTheme="minorEastAsia"/>
          <w:lang w:val="en-US"/>
        </w:rPr>
      </w:pPr>
      <w:r>
        <w:rPr>
          <w:rFonts w:eastAsia="ＭＳ 明朝" w:cs="Arial"/>
          <w:bCs/>
          <w:sz w:val="20"/>
          <w:lang w:val="en-US" w:eastAsia="ja-JP"/>
        </w:rPr>
        <w:t>Athens</w:t>
      </w:r>
      <w:r w:rsidR="0027062E">
        <w:rPr>
          <w:rFonts w:eastAsia="ＭＳ 明朝" w:cs="Arial" w:hint="eastAsia"/>
          <w:bCs/>
          <w:sz w:val="20"/>
          <w:lang w:val="en-US" w:eastAsia="ja-JP"/>
        </w:rPr>
        <w:t xml:space="preserve">, </w:t>
      </w:r>
      <w:r>
        <w:rPr>
          <w:rFonts w:eastAsia="ＭＳ 明朝" w:cs="Arial"/>
          <w:bCs/>
          <w:sz w:val="20"/>
          <w:lang w:val="en-US" w:eastAsia="ja-JP"/>
        </w:rPr>
        <w:t>Greece</w:t>
      </w:r>
      <w:r w:rsidR="0027062E" w:rsidRPr="007D67B4">
        <w:rPr>
          <w:rFonts w:eastAsia="ＭＳ 明朝" w:cs="Arial"/>
          <w:bCs/>
          <w:sz w:val="20"/>
          <w:lang w:val="en-US" w:eastAsia="ja-JP"/>
        </w:rPr>
        <w:t xml:space="preserve">, </w:t>
      </w:r>
      <w:r>
        <w:rPr>
          <w:rFonts w:eastAsia="ＭＳ 明朝" w:cs="Arial"/>
          <w:bCs/>
          <w:sz w:val="20"/>
          <w:lang w:val="en-US" w:eastAsia="ja-JP"/>
        </w:rPr>
        <w:t>25th February</w:t>
      </w:r>
      <w:r>
        <w:rPr>
          <w:rFonts w:eastAsia="ＭＳ 明朝" w:cs="Arial" w:hint="eastAsia"/>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1st March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28C9551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B424F5">
        <w:rPr>
          <w:rFonts w:eastAsia="ＭＳ 明朝" w:hint="eastAsia"/>
          <w:b w:val="0"/>
          <w:sz w:val="20"/>
          <w:lang w:eastAsia="ja-JP"/>
        </w:rPr>
        <w:t>c</w:t>
      </w:r>
      <w:r w:rsidR="00B424F5">
        <w:rPr>
          <w:rFonts w:eastAsia="ＭＳ 明朝"/>
          <w:b w:val="0"/>
          <w:sz w:val="20"/>
          <w:lang w:eastAsia="ja-JP"/>
        </w:rPr>
        <w:t>hannel structure for 2-step RACH</w:t>
      </w:r>
    </w:p>
    <w:p w14:paraId="3BEF152C" w14:textId="1B65DDE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B424F5">
        <w:rPr>
          <w:rFonts w:ascii="Arial" w:hAnsi="Arial"/>
          <w:lang w:eastAsia="ja-JP"/>
        </w:rPr>
        <w:t>1</w:t>
      </w:r>
      <w:r w:rsidR="00F728D9">
        <w:rPr>
          <w:rFonts w:ascii="Arial" w:hAnsi="Arial"/>
          <w:lang w:eastAsia="ja-JP"/>
        </w:rPr>
        <w:t>.</w:t>
      </w:r>
      <w:r w:rsidR="0014580B">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9BD92ED" w14:textId="6795C4E7" w:rsidR="00701F69" w:rsidRDefault="009E32C1" w:rsidP="000C5387">
      <w:pPr>
        <w:spacing w:after="0"/>
        <w:rPr>
          <w:lang w:eastAsia="ja-JP"/>
        </w:rPr>
      </w:pPr>
      <w:r>
        <w:rPr>
          <w:lang w:eastAsia="ja-JP"/>
        </w:rPr>
        <w:t>A</w:t>
      </w:r>
      <w:r w:rsidRPr="009E32C1">
        <w:rPr>
          <w:lang w:eastAsia="ja-JP"/>
        </w:rPr>
        <w:t xml:space="preserve"> </w:t>
      </w:r>
      <w:r w:rsidR="00A565A7">
        <w:rPr>
          <w:lang w:eastAsia="ja-JP"/>
        </w:rPr>
        <w:t>work</w:t>
      </w:r>
      <w:r w:rsidRPr="009E32C1">
        <w:rPr>
          <w:lang w:eastAsia="ja-JP"/>
        </w:rPr>
        <w:t xml:space="preserve"> item on </w:t>
      </w:r>
      <w:r w:rsidR="00A565A7">
        <w:rPr>
          <w:lang w:eastAsia="ja-JP"/>
        </w:rPr>
        <w:t>two step RACH for NR</w:t>
      </w:r>
      <w:r w:rsidRPr="009E32C1">
        <w:rPr>
          <w:lang w:eastAsia="ja-JP"/>
        </w:rPr>
        <w:t xml:space="preserve">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701F69">
        <w:rPr>
          <w:lang w:eastAsia="ja-JP"/>
        </w:rPr>
        <w:t xml:space="preserve">work </w:t>
      </w:r>
      <w:r>
        <w:rPr>
          <w:lang w:eastAsia="ja-JP"/>
        </w:rPr>
        <w:t xml:space="preserve">item is </w:t>
      </w:r>
      <w:r w:rsidR="00701F69">
        <w:rPr>
          <w:lang w:eastAsia="ja-JP"/>
        </w:rPr>
        <w:t>to specify the channel structure of Msg.A, which consists of RACH preamble and PUSCH carrying payload. The design principle based on WID is as follows.</w:t>
      </w:r>
    </w:p>
    <w:p w14:paraId="2B4F2DF9" w14:textId="435E3EAD" w:rsidR="00701F69" w:rsidRPr="00701F69" w:rsidRDefault="00701F69" w:rsidP="00701F69">
      <w:pPr>
        <w:pStyle w:val="aff1"/>
        <w:numPr>
          <w:ilvl w:val="0"/>
          <w:numId w:val="21"/>
        </w:numPr>
        <w:spacing w:after="0"/>
        <w:ind w:leftChars="100" w:left="620"/>
        <w:rPr>
          <w:lang w:eastAsia="ja-JP"/>
        </w:rPr>
      </w:pPr>
      <w:r>
        <w:rPr>
          <w:bCs/>
          <w:lang w:eastAsia="zh-CN"/>
        </w:rPr>
        <w:t>Only reuse the Rel-15 NR PRACH Preambles design.</w:t>
      </w:r>
    </w:p>
    <w:p w14:paraId="11974532" w14:textId="06EA336F" w:rsidR="00701F69" w:rsidRPr="00701F69" w:rsidRDefault="00701F69" w:rsidP="00701F69">
      <w:pPr>
        <w:pStyle w:val="aff1"/>
        <w:numPr>
          <w:ilvl w:val="0"/>
          <w:numId w:val="21"/>
        </w:numPr>
        <w:spacing w:after="0"/>
        <w:ind w:leftChars="100" w:left="620"/>
        <w:rPr>
          <w:lang w:eastAsia="ja-JP"/>
        </w:rPr>
      </w:pPr>
      <w:r>
        <w:rPr>
          <w:bCs/>
          <w:lang w:eastAsia="zh-CN"/>
        </w:rPr>
        <w:t>Only reuse the Rel-15 NR PUSCH including Rel-15 DMRS for transmission of payload of msgA</w:t>
      </w:r>
    </w:p>
    <w:p w14:paraId="61C3EEA2" w14:textId="54B9A55E" w:rsidR="00701F69" w:rsidRDefault="00701F69" w:rsidP="00701F69">
      <w:pPr>
        <w:pStyle w:val="aff1"/>
        <w:numPr>
          <w:ilvl w:val="1"/>
          <w:numId w:val="22"/>
        </w:numPr>
        <w:spacing w:after="0"/>
        <w:ind w:leftChars="0" w:left="1134" w:hanging="425"/>
        <w:rPr>
          <w:lang w:eastAsia="ja-JP"/>
        </w:rPr>
      </w:pPr>
      <w:r>
        <w:rPr>
          <w:rFonts w:hint="eastAsia"/>
          <w:lang w:eastAsia="ja-JP"/>
        </w:rPr>
        <w:t>No new CP length and no sub-PRB guard subcarrier(s)</w:t>
      </w:r>
    </w:p>
    <w:p w14:paraId="7109F032" w14:textId="7D03C187" w:rsidR="00701F69" w:rsidRDefault="00701F69" w:rsidP="00701F69">
      <w:pPr>
        <w:pStyle w:val="aff1"/>
        <w:numPr>
          <w:ilvl w:val="0"/>
          <w:numId w:val="21"/>
        </w:numPr>
        <w:spacing w:after="0"/>
        <w:ind w:leftChars="100" w:left="620"/>
        <w:rPr>
          <w:lang w:eastAsia="ja-JP"/>
        </w:rPr>
      </w:pPr>
      <w:r>
        <w:rPr>
          <w:rFonts w:hint="eastAsia"/>
          <w:lang w:eastAsia="ja-JP"/>
        </w:rPr>
        <w:t>Specify the mapping between the PRACH preamble and the time-frequency resource of PUSCH in msgA+DMRS</w:t>
      </w:r>
    </w:p>
    <w:p w14:paraId="1424424B" w14:textId="5C1F007C" w:rsidR="00701F69" w:rsidRDefault="00701F69" w:rsidP="00701F69">
      <w:pPr>
        <w:pStyle w:val="aff1"/>
        <w:numPr>
          <w:ilvl w:val="1"/>
          <w:numId w:val="22"/>
        </w:numPr>
        <w:spacing w:after="0"/>
        <w:ind w:leftChars="0" w:left="1134" w:hanging="425"/>
        <w:rPr>
          <w:lang w:eastAsia="ja-JP"/>
        </w:rPr>
      </w:pPr>
      <w:r>
        <w:rPr>
          <w:rFonts w:hint="eastAsia"/>
          <w:lang w:eastAsia="ja-JP"/>
        </w:rPr>
        <w:t>PRACH Preamble and PUSCH in a msgA is TDMed</w:t>
      </w:r>
    </w:p>
    <w:p w14:paraId="2C626FA3" w14:textId="037081BB" w:rsidR="00701F69" w:rsidRDefault="00701F69" w:rsidP="00701F69">
      <w:pPr>
        <w:pStyle w:val="aff1"/>
        <w:numPr>
          <w:ilvl w:val="0"/>
          <w:numId w:val="21"/>
        </w:numPr>
        <w:spacing w:after="0"/>
        <w:ind w:leftChars="100" w:left="620"/>
        <w:rPr>
          <w:lang w:eastAsia="ja-JP"/>
        </w:rPr>
      </w:pPr>
      <w:r>
        <w:rPr>
          <w:rFonts w:hint="eastAsia"/>
          <w:lang w:eastAsia="ja-JP"/>
        </w:rPr>
        <w:t>Specify the supported MCS(s) and time-frequency resource size(s) of PUSCH in msgA</w:t>
      </w:r>
    </w:p>
    <w:p w14:paraId="0E2D919E" w14:textId="4E02EEEB" w:rsidR="00701F69" w:rsidRPr="00701F69" w:rsidRDefault="00701F69" w:rsidP="00701F69">
      <w:pPr>
        <w:pStyle w:val="aff1"/>
        <w:numPr>
          <w:ilvl w:val="1"/>
          <w:numId w:val="22"/>
        </w:numPr>
        <w:spacing w:after="0"/>
        <w:ind w:leftChars="0" w:left="1134" w:hanging="425"/>
        <w:rPr>
          <w:lang w:eastAsia="ja-JP"/>
        </w:rPr>
      </w:pPr>
      <w:r>
        <w:rPr>
          <w:rFonts w:hint="eastAsia"/>
          <w:lang w:eastAsia="ja-JP"/>
        </w:rPr>
        <w:t>C</w:t>
      </w:r>
      <w:r>
        <w:rPr>
          <w:lang w:eastAsia="ja-JP"/>
        </w:rPr>
        <w:t>o</w:t>
      </w:r>
      <w:r>
        <w:rPr>
          <w:rFonts w:hint="eastAsia"/>
          <w:lang w:eastAsia="ja-JP"/>
        </w:rPr>
        <w:t xml:space="preserve">nsider </w:t>
      </w:r>
      <w:r>
        <w:rPr>
          <w:lang w:eastAsia="ja-JP"/>
        </w:rPr>
        <w:t>the msgA payload contents determined by RAN2</w:t>
      </w:r>
    </w:p>
    <w:p w14:paraId="7F75CE90" w14:textId="12281500" w:rsidR="00627AE3" w:rsidRDefault="00627AE3" w:rsidP="00701F69">
      <w:pPr>
        <w:spacing w:beforeLines="50" w:before="120" w:after="0"/>
        <w:rPr>
          <w:lang w:eastAsia="ja-JP"/>
        </w:rPr>
      </w:pPr>
      <w:r>
        <w:rPr>
          <w:lang w:eastAsia="ja-JP"/>
        </w:rPr>
        <w:t xml:space="preserve">In this document, we provide our view on </w:t>
      </w:r>
      <w:r w:rsidR="00701F69">
        <w:rPr>
          <w:lang w:eastAsia="ja-JP"/>
        </w:rPr>
        <w:t>channel structure for 2-step RACH</w:t>
      </w:r>
      <w:r>
        <w:rPr>
          <w:lang w:eastAsia="ja-JP"/>
        </w:rPr>
        <w:t>.</w:t>
      </w:r>
    </w:p>
    <w:p w14:paraId="1DDC8F42" w14:textId="482C22F7" w:rsidR="00861975" w:rsidRPr="00861975" w:rsidRDefault="00FE3ACE" w:rsidP="00861975">
      <w:pPr>
        <w:pStyle w:val="1"/>
        <w:tabs>
          <w:tab w:val="num" w:pos="426"/>
        </w:tabs>
        <w:ind w:left="426" w:hanging="426"/>
        <w:rPr>
          <w:szCs w:val="36"/>
          <w:lang w:eastAsia="ja-JP"/>
        </w:rPr>
      </w:pPr>
      <w:r>
        <w:rPr>
          <w:lang w:val="en-US" w:eastAsia="ja-JP"/>
        </w:rPr>
        <w:t>Discussion</w:t>
      </w:r>
    </w:p>
    <w:p w14:paraId="0C238B7A" w14:textId="674EA087" w:rsidR="009B06DD" w:rsidRPr="005D68B1" w:rsidRDefault="00517121" w:rsidP="009B06DD">
      <w:pPr>
        <w:autoSpaceDE w:val="0"/>
        <w:autoSpaceDN w:val="0"/>
        <w:adjustRightInd w:val="0"/>
        <w:spacing w:beforeLines="50" w:before="120" w:after="0"/>
        <w:rPr>
          <w:b/>
          <w:u w:val="single"/>
          <w:lang w:eastAsia="ja-JP"/>
        </w:rPr>
      </w:pPr>
      <w:r>
        <w:rPr>
          <w:b/>
          <w:szCs w:val="36"/>
          <w:u w:val="single"/>
          <w:lang w:eastAsia="ja-JP"/>
        </w:rPr>
        <w:t xml:space="preserve">2-step RACH </w:t>
      </w:r>
    </w:p>
    <w:p w14:paraId="3EAF5C33" w14:textId="664BD84A" w:rsidR="00517121" w:rsidRDefault="00AC69E8" w:rsidP="009B06DD">
      <w:pPr>
        <w:autoSpaceDE w:val="0"/>
        <w:autoSpaceDN w:val="0"/>
        <w:adjustRightInd w:val="0"/>
        <w:spacing w:beforeLines="50" w:before="120" w:after="0"/>
        <w:rPr>
          <w:lang w:eastAsia="ja-JP"/>
        </w:rPr>
      </w:pPr>
      <w:r>
        <w:rPr>
          <w:lang w:eastAsia="ja-JP"/>
        </w:rPr>
        <w:t>The basic procedure of 4-step RACH and 2-step RACH are illustrated in Fig.1. In general, 2</w:t>
      </w:r>
      <w:r w:rsidR="00351790">
        <w:rPr>
          <w:lang w:eastAsia="ja-JP"/>
        </w:rPr>
        <w:t xml:space="preserve">-step RACH </w:t>
      </w:r>
      <w:r>
        <w:rPr>
          <w:lang w:eastAsia="ja-JP"/>
        </w:rPr>
        <w:t xml:space="preserve">procedure is expected to provide the benefits to reduce the latency and/or </w:t>
      </w:r>
      <w:r w:rsidR="008529F7">
        <w:rPr>
          <w:lang w:eastAsia="ja-JP"/>
        </w:rPr>
        <w:t xml:space="preserve">DL </w:t>
      </w:r>
      <w:r>
        <w:rPr>
          <w:lang w:eastAsia="ja-JP"/>
        </w:rPr>
        <w:t>overhead than 4-step RACH procedure by simplified a RACH procedure.</w:t>
      </w:r>
      <w:r w:rsidR="007D0128">
        <w:rPr>
          <w:lang w:eastAsia="ja-JP"/>
        </w:rPr>
        <w:t xml:space="preserve"> In 2-step RACH, Msg.A includes both RACH preamble and PUSCH carrying the equivalent contents of Msg.3 of 4-step RACH. Msg.B includes the equivalent contents of both </w:t>
      </w:r>
      <w:r w:rsidR="007062FC">
        <w:rPr>
          <w:lang w:eastAsia="ja-JP"/>
        </w:rPr>
        <w:t>Msg.2 and Msg.4 of 4-step RACH</w:t>
      </w:r>
      <w:r w:rsidR="007062FC" w:rsidRPr="007062FC">
        <w:rPr>
          <w:lang w:eastAsia="ja-JP"/>
        </w:rPr>
        <w:t xml:space="preserve">, although Msg.4 includes RRC message or only MAC contention resolution is discussed </w:t>
      </w:r>
      <w:r w:rsidR="007062FC">
        <w:rPr>
          <w:lang w:eastAsia="ja-JP"/>
        </w:rPr>
        <w:t>in our contribution [2].</w:t>
      </w:r>
    </w:p>
    <w:p w14:paraId="4EB25E9A" w14:textId="77777777" w:rsidR="003F03A6" w:rsidRPr="007062FC" w:rsidRDefault="003F03A6" w:rsidP="009B06DD">
      <w:pPr>
        <w:autoSpaceDE w:val="0"/>
        <w:autoSpaceDN w:val="0"/>
        <w:adjustRightInd w:val="0"/>
        <w:spacing w:beforeLines="50" w:before="120" w:after="0"/>
        <w:rPr>
          <w:lang w:eastAsia="ja-JP"/>
        </w:rPr>
      </w:pPr>
    </w:p>
    <w:p w14:paraId="797B9104" w14:textId="08D7A1BF" w:rsidR="00AC69E8" w:rsidRDefault="00AC69E8" w:rsidP="00AC69E8">
      <w:pPr>
        <w:autoSpaceDE w:val="0"/>
        <w:autoSpaceDN w:val="0"/>
        <w:adjustRightInd w:val="0"/>
        <w:spacing w:beforeLines="50" w:before="120" w:after="0"/>
        <w:jc w:val="center"/>
        <w:rPr>
          <w:lang w:eastAsia="ja-JP"/>
        </w:rPr>
      </w:pPr>
      <w:r w:rsidRPr="00AC69E8">
        <w:rPr>
          <w:noProof/>
        </w:rPr>
        <w:drawing>
          <wp:inline distT="0" distB="0" distL="0" distR="0" wp14:anchorId="69FAFFC8" wp14:editId="5EC42C61">
            <wp:extent cx="1930320" cy="21553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0320" cy="2155320"/>
                    </a:xfrm>
                    <a:prstGeom prst="rect">
                      <a:avLst/>
                    </a:prstGeom>
                    <a:noFill/>
                    <a:ln>
                      <a:noFill/>
                    </a:ln>
                  </pic:spPr>
                </pic:pic>
              </a:graphicData>
            </a:graphic>
          </wp:inline>
        </w:drawing>
      </w:r>
      <w:r>
        <w:rPr>
          <w:rFonts w:hint="eastAsia"/>
          <w:lang w:eastAsia="ja-JP"/>
        </w:rPr>
        <w:t xml:space="preserve">                      </w:t>
      </w:r>
      <w:r w:rsidRPr="00AC69E8">
        <w:rPr>
          <w:noProof/>
        </w:rPr>
        <w:drawing>
          <wp:inline distT="0" distB="0" distL="0" distR="0" wp14:anchorId="7FBEB072" wp14:editId="52BC1EC4">
            <wp:extent cx="1923120" cy="2148120"/>
            <wp:effectExtent l="0" t="0" r="127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3120" cy="2148120"/>
                    </a:xfrm>
                    <a:prstGeom prst="rect">
                      <a:avLst/>
                    </a:prstGeom>
                    <a:noFill/>
                    <a:ln>
                      <a:noFill/>
                    </a:ln>
                  </pic:spPr>
                </pic:pic>
              </a:graphicData>
            </a:graphic>
          </wp:inline>
        </w:drawing>
      </w:r>
    </w:p>
    <w:p w14:paraId="5364CB5E" w14:textId="3B7CAE21" w:rsidR="00AC69E8" w:rsidRDefault="00AC69E8" w:rsidP="00AC69E8">
      <w:pPr>
        <w:autoSpaceDE w:val="0"/>
        <w:autoSpaceDN w:val="0"/>
        <w:adjustRightInd w:val="0"/>
        <w:spacing w:beforeLines="50" w:before="120" w:after="0"/>
        <w:jc w:val="center"/>
        <w:rPr>
          <w:lang w:eastAsia="ja-JP"/>
        </w:rPr>
      </w:pPr>
      <w:r>
        <w:rPr>
          <w:lang w:eastAsia="ja-JP"/>
        </w:rPr>
        <w:t>(a) 4-step RACH procedure                                      (b) 2-step RACH procedure</w:t>
      </w:r>
    </w:p>
    <w:p w14:paraId="3931032D" w14:textId="020823F6" w:rsidR="00AC69E8" w:rsidRDefault="00AC69E8" w:rsidP="00AC69E8">
      <w:pPr>
        <w:autoSpaceDE w:val="0"/>
        <w:autoSpaceDN w:val="0"/>
        <w:adjustRightInd w:val="0"/>
        <w:spacing w:beforeLines="50" w:before="120" w:after="0"/>
        <w:jc w:val="center"/>
        <w:rPr>
          <w:lang w:eastAsia="ja-JP"/>
        </w:rPr>
      </w:pPr>
      <w:r>
        <w:rPr>
          <w:lang w:eastAsia="ja-JP"/>
        </w:rPr>
        <w:t>Fig.1 RACH procedure</w:t>
      </w:r>
    </w:p>
    <w:p w14:paraId="50B9145A" w14:textId="5D36EC34" w:rsidR="00517121" w:rsidRDefault="00517121" w:rsidP="009B06DD">
      <w:pPr>
        <w:autoSpaceDE w:val="0"/>
        <w:autoSpaceDN w:val="0"/>
        <w:adjustRightInd w:val="0"/>
        <w:spacing w:beforeLines="50" w:before="120" w:after="0"/>
        <w:rPr>
          <w:lang w:eastAsia="ja-JP"/>
        </w:rPr>
      </w:pPr>
    </w:p>
    <w:p w14:paraId="15931525" w14:textId="3E7B42BE" w:rsidR="003F03A6" w:rsidRPr="005D68B1" w:rsidRDefault="003F03A6" w:rsidP="003F03A6">
      <w:pPr>
        <w:autoSpaceDE w:val="0"/>
        <w:autoSpaceDN w:val="0"/>
        <w:adjustRightInd w:val="0"/>
        <w:spacing w:beforeLines="50" w:before="120" w:after="0"/>
        <w:rPr>
          <w:b/>
          <w:u w:val="single"/>
          <w:lang w:eastAsia="ja-JP"/>
        </w:rPr>
      </w:pPr>
      <w:r>
        <w:rPr>
          <w:b/>
          <w:szCs w:val="36"/>
          <w:u w:val="single"/>
          <w:lang w:eastAsia="ja-JP"/>
        </w:rPr>
        <w:t>Resource and parameter configuration for PUSCH in Msg.A</w:t>
      </w:r>
    </w:p>
    <w:p w14:paraId="5DF8863B" w14:textId="2C06F7C1" w:rsidR="00615FCA" w:rsidRDefault="008317D9" w:rsidP="009B06DD">
      <w:pPr>
        <w:autoSpaceDE w:val="0"/>
        <w:autoSpaceDN w:val="0"/>
        <w:adjustRightInd w:val="0"/>
        <w:spacing w:beforeLines="50" w:before="120" w:after="0"/>
        <w:rPr>
          <w:lang w:eastAsia="ja-JP"/>
        </w:rPr>
      </w:pPr>
      <w:r>
        <w:rPr>
          <w:rFonts w:hint="eastAsia"/>
          <w:lang w:eastAsia="ja-JP"/>
        </w:rPr>
        <w:t xml:space="preserve">In 4-step RACH, </w:t>
      </w:r>
      <w:r>
        <w:rPr>
          <w:lang w:eastAsia="ja-JP"/>
        </w:rPr>
        <w:t>the PRACH preamble configuration is provided to the UE in the system information. The system information also provides information for the UE to determine the association between</w:t>
      </w:r>
      <w:r w:rsidR="004E61FA">
        <w:rPr>
          <w:lang w:eastAsia="ja-JP"/>
        </w:rPr>
        <w:t xml:space="preserve"> the RACH </w:t>
      </w:r>
      <w:r w:rsidR="00FB3359">
        <w:rPr>
          <w:lang w:eastAsia="ja-JP"/>
        </w:rPr>
        <w:t xml:space="preserve">preamble </w:t>
      </w:r>
      <w:r w:rsidR="004E61FA">
        <w:rPr>
          <w:lang w:eastAsia="ja-JP"/>
        </w:rPr>
        <w:t>resources</w:t>
      </w:r>
      <w:r w:rsidR="00C64357">
        <w:rPr>
          <w:lang w:eastAsia="ja-JP"/>
        </w:rPr>
        <w:t xml:space="preserve"> and DL signal/channel for Msg</w:t>
      </w:r>
      <w:r w:rsidR="002F55D0">
        <w:rPr>
          <w:rFonts w:hint="eastAsia"/>
          <w:lang w:eastAsia="ja-JP"/>
        </w:rPr>
        <w:t>.</w:t>
      </w:r>
      <w:r w:rsidR="00C64357">
        <w:rPr>
          <w:lang w:eastAsia="ja-JP"/>
        </w:rPr>
        <w:t>2</w:t>
      </w:r>
      <w:r w:rsidR="00751842">
        <w:rPr>
          <w:lang w:eastAsia="ja-JP"/>
        </w:rPr>
        <w:t xml:space="preserve"> and the latter Msgs</w:t>
      </w:r>
      <w:r w:rsidR="000D183E">
        <w:rPr>
          <w:lang w:eastAsia="ja-JP"/>
        </w:rPr>
        <w:t>. Based on the DL measurement and corresponding association</w:t>
      </w:r>
      <w:r w:rsidR="00E31719">
        <w:rPr>
          <w:lang w:eastAsia="ja-JP"/>
        </w:rPr>
        <w:t>,</w:t>
      </w:r>
      <w:r w:rsidR="004E61FA">
        <w:rPr>
          <w:lang w:eastAsia="ja-JP"/>
        </w:rPr>
        <w:t xml:space="preserve"> </w:t>
      </w:r>
      <w:r w:rsidR="000D183E">
        <w:rPr>
          <w:lang w:eastAsia="ja-JP"/>
        </w:rPr>
        <w:t>t</w:t>
      </w:r>
      <w:r w:rsidR="00FB3359">
        <w:rPr>
          <w:lang w:eastAsia="ja-JP"/>
        </w:rPr>
        <w:t xml:space="preserve">he </w:t>
      </w:r>
      <w:r w:rsidR="00FB3359">
        <w:rPr>
          <w:lang w:eastAsia="ja-JP"/>
        </w:rPr>
        <w:lastRenderedPageBreak/>
        <w:t xml:space="preserve">UE can determine a RACH preamble </w:t>
      </w:r>
      <w:r w:rsidR="000D183E">
        <w:rPr>
          <w:lang w:eastAsia="ja-JP"/>
        </w:rPr>
        <w:t>resource</w:t>
      </w:r>
      <w:r w:rsidR="00FB3359">
        <w:rPr>
          <w:lang w:eastAsia="ja-JP"/>
        </w:rPr>
        <w:t xml:space="preserve"> set</w:t>
      </w:r>
      <w:r w:rsidR="000D183E">
        <w:rPr>
          <w:lang w:eastAsia="ja-JP"/>
        </w:rPr>
        <w:t>.</w:t>
      </w:r>
      <w:r w:rsidR="00FB3359">
        <w:rPr>
          <w:lang w:eastAsia="ja-JP"/>
        </w:rPr>
        <w:t xml:space="preserve"> </w:t>
      </w:r>
      <w:r w:rsidR="00615FCA">
        <w:rPr>
          <w:lang w:eastAsia="ja-JP"/>
        </w:rPr>
        <w:t>In 4-step RACH, UE determine</w:t>
      </w:r>
      <w:r w:rsidR="00E31719">
        <w:rPr>
          <w:lang w:eastAsia="ja-JP"/>
        </w:rPr>
        <w:t>s</w:t>
      </w:r>
      <w:r w:rsidR="00615FCA">
        <w:rPr>
          <w:lang w:eastAsia="ja-JP"/>
        </w:rPr>
        <w:t xml:space="preserve"> whether transform precoding for Msg.3 PUSCH is used or not based on RRC parameter </w:t>
      </w:r>
      <w:r w:rsidR="00615FCA" w:rsidRPr="00615FCA">
        <w:rPr>
          <w:i/>
          <w:lang w:eastAsia="ja-JP"/>
        </w:rPr>
        <w:t>msg3-transformPrecoding</w:t>
      </w:r>
      <w:r w:rsidR="00615FCA">
        <w:rPr>
          <w:lang w:eastAsia="ja-JP"/>
        </w:rPr>
        <w:t>. UE also determine</w:t>
      </w:r>
      <w:r w:rsidR="00E31719">
        <w:rPr>
          <w:lang w:eastAsia="ja-JP"/>
        </w:rPr>
        <w:t>s</w:t>
      </w:r>
      <w:r w:rsidR="00615FCA">
        <w:rPr>
          <w:lang w:eastAsia="ja-JP"/>
        </w:rPr>
        <w:t xml:space="preserve"> the subcarrier spacing for Msg.3 PUSCH from the RRC parameter </w:t>
      </w:r>
      <w:r w:rsidR="00615FCA" w:rsidRPr="00615FCA">
        <w:rPr>
          <w:i/>
          <w:lang w:eastAsia="ja-JP"/>
        </w:rPr>
        <w:t>msg3-SubcarrierSpacing</w:t>
      </w:r>
      <w:r w:rsidR="00615FCA">
        <w:rPr>
          <w:lang w:eastAsia="ja-JP"/>
        </w:rPr>
        <w:t>. UE determine</w:t>
      </w:r>
      <w:r w:rsidR="00E31719">
        <w:rPr>
          <w:lang w:eastAsia="ja-JP"/>
        </w:rPr>
        <w:t>s</w:t>
      </w:r>
      <w:r w:rsidR="00615FCA">
        <w:rPr>
          <w:lang w:eastAsia="ja-JP"/>
        </w:rPr>
        <w:t xml:space="preserve"> the time/frequency resources and other transmission parameters for Msg.3 PUSCH such as whether </w:t>
      </w:r>
      <w:r w:rsidR="006E78E1">
        <w:rPr>
          <w:lang w:eastAsia="ja-JP"/>
        </w:rPr>
        <w:t xml:space="preserve">or not </w:t>
      </w:r>
      <w:r w:rsidR="00615FCA">
        <w:rPr>
          <w:lang w:eastAsia="ja-JP"/>
        </w:rPr>
        <w:t>frequency hopping is enabled, MCS, and TPC command via UL grant in RAR.</w:t>
      </w:r>
    </w:p>
    <w:p w14:paraId="096F1415" w14:textId="74FA27B7" w:rsidR="00CA7308" w:rsidRDefault="000D183E" w:rsidP="00CA7308">
      <w:pPr>
        <w:autoSpaceDE w:val="0"/>
        <w:autoSpaceDN w:val="0"/>
        <w:adjustRightInd w:val="0"/>
        <w:spacing w:beforeLines="50" w:before="120" w:after="0"/>
        <w:rPr>
          <w:lang w:eastAsia="ja-JP"/>
        </w:rPr>
      </w:pPr>
      <w:r>
        <w:rPr>
          <w:lang w:eastAsia="ja-JP"/>
        </w:rPr>
        <w:t xml:space="preserve">In 2-step RACH, UE needs to determine time/frequency resources and other transmission parameters for PUSCH in Msg.A without UL grant. Therefore, in addition to RACH preamble </w:t>
      </w:r>
      <w:r w:rsidR="00A67AA1">
        <w:rPr>
          <w:lang w:eastAsia="ja-JP"/>
        </w:rPr>
        <w:t xml:space="preserve">resource </w:t>
      </w:r>
      <w:r>
        <w:rPr>
          <w:lang w:eastAsia="ja-JP"/>
        </w:rPr>
        <w:t xml:space="preserve">configuration, the gNB </w:t>
      </w:r>
      <w:r w:rsidR="00E31719">
        <w:rPr>
          <w:lang w:eastAsia="ja-JP"/>
        </w:rPr>
        <w:t>needs to provide</w:t>
      </w:r>
      <w:r>
        <w:rPr>
          <w:lang w:eastAsia="ja-JP"/>
        </w:rPr>
        <w:t xml:space="preserve"> physical resources and transmission parameters for PUSCH in Msg.A</w:t>
      </w:r>
      <w:r w:rsidR="00E31719">
        <w:rPr>
          <w:lang w:eastAsia="ja-JP"/>
        </w:rPr>
        <w:t xml:space="preserve"> to UE</w:t>
      </w:r>
      <w:r>
        <w:rPr>
          <w:lang w:eastAsia="ja-JP"/>
        </w:rPr>
        <w:t>.</w:t>
      </w:r>
      <w:r w:rsidR="00C53EA6">
        <w:rPr>
          <w:lang w:eastAsia="ja-JP"/>
        </w:rPr>
        <w:t xml:space="preserve"> For time/frequency resources</w:t>
      </w:r>
      <w:r w:rsidR="00B270FC">
        <w:rPr>
          <w:lang w:eastAsia="ja-JP"/>
        </w:rPr>
        <w:t xml:space="preserve"> of PUSCH in Msg.A, </w:t>
      </w:r>
      <w:r w:rsidR="00CA7308">
        <w:rPr>
          <w:lang w:eastAsia="ja-JP"/>
        </w:rPr>
        <w:t xml:space="preserve">the design should consider the resource utilization efficiency and decoding complexity at gNB. The </w:t>
      </w:r>
      <w:r w:rsidR="00E31719">
        <w:rPr>
          <w:lang w:eastAsia="ja-JP"/>
        </w:rPr>
        <w:t>gNB</w:t>
      </w:r>
      <w:r w:rsidR="00CA7308">
        <w:rPr>
          <w:lang w:eastAsia="ja-JP"/>
        </w:rPr>
        <w:t xml:space="preserve"> will configure the RACH preamble resource configuration considering th</w:t>
      </w:r>
      <w:r w:rsidR="006E78E1">
        <w:rPr>
          <w:rFonts w:hint="eastAsia"/>
          <w:lang w:eastAsia="ja-JP"/>
        </w:rPr>
        <w:t>e</w:t>
      </w:r>
      <w:r w:rsidR="00CA7308">
        <w:rPr>
          <w:lang w:eastAsia="ja-JP"/>
        </w:rPr>
        <w:t xml:space="preserve"> resource utilization and collision probability. Then, it would be desirable that t</w:t>
      </w:r>
      <w:r w:rsidR="00CA7308" w:rsidRPr="00CA7308">
        <w:rPr>
          <w:lang w:eastAsia="ja-JP"/>
        </w:rPr>
        <w:t xml:space="preserve">he </w:t>
      </w:r>
      <w:r w:rsidR="00CA7308">
        <w:rPr>
          <w:lang w:eastAsia="ja-JP"/>
        </w:rPr>
        <w:t xml:space="preserve">RACH </w:t>
      </w:r>
      <w:r w:rsidR="00CA7308" w:rsidRPr="00CA7308">
        <w:rPr>
          <w:lang w:eastAsia="ja-JP"/>
        </w:rPr>
        <w:t xml:space="preserve">preamble number is at least used for the </w:t>
      </w:r>
      <w:r w:rsidR="006E78E1">
        <w:rPr>
          <w:lang w:eastAsia="ja-JP"/>
        </w:rPr>
        <w:t xml:space="preserve">resource determination of </w:t>
      </w:r>
      <w:r w:rsidR="00CA7308" w:rsidRPr="00CA7308">
        <w:rPr>
          <w:lang w:eastAsia="ja-JP"/>
        </w:rPr>
        <w:t xml:space="preserve">PUSCH </w:t>
      </w:r>
      <w:r w:rsidR="00CA7308">
        <w:rPr>
          <w:lang w:eastAsia="ja-JP"/>
        </w:rPr>
        <w:t>in Msg.A</w:t>
      </w:r>
      <w:r w:rsidR="00CA7308" w:rsidRPr="00CA7308">
        <w:rPr>
          <w:lang w:eastAsia="ja-JP"/>
        </w:rPr>
        <w:t>.</w:t>
      </w:r>
      <w:r w:rsidR="00CA7308">
        <w:rPr>
          <w:lang w:eastAsia="ja-JP"/>
        </w:rPr>
        <w:t xml:space="preserve"> </w:t>
      </w:r>
      <w:r w:rsidR="00E31719">
        <w:rPr>
          <w:lang w:eastAsia="ja-JP"/>
        </w:rPr>
        <w:t>As t</w:t>
      </w:r>
      <w:r w:rsidR="00CA7308">
        <w:rPr>
          <w:lang w:eastAsia="ja-JP"/>
        </w:rPr>
        <w:t xml:space="preserve">he </w:t>
      </w:r>
      <w:r w:rsidR="002F55D0">
        <w:rPr>
          <w:lang w:eastAsia="ja-JP"/>
        </w:rPr>
        <w:t xml:space="preserve">mapping </w:t>
      </w:r>
      <w:r w:rsidR="00CA7308">
        <w:rPr>
          <w:lang w:eastAsia="ja-JP"/>
        </w:rPr>
        <w:t>between RACH preamble number and the resource of PUSCH in Msg.A</w:t>
      </w:r>
      <w:r w:rsidR="00E31719">
        <w:rPr>
          <w:lang w:eastAsia="ja-JP"/>
        </w:rPr>
        <w:t xml:space="preserve">, </w:t>
      </w:r>
      <w:r w:rsidR="00CA7308">
        <w:rPr>
          <w:lang w:eastAsia="ja-JP"/>
        </w:rPr>
        <w:t>one-to-one</w:t>
      </w:r>
      <w:r w:rsidR="00847D9C">
        <w:rPr>
          <w:lang w:eastAsia="ja-JP"/>
        </w:rPr>
        <w:t xml:space="preserve"> and </w:t>
      </w:r>
      <w:r w:rsidR="00CA7308">
        <w:rPr>
          <w:lang w:eastAsia="ja-JP"/>
        </w:rPr>
        <w:t>N-to-one</w:t>
      </w:r>
      <w:r w:rsidR="00E31719">
        <w:rPr>
          <w:lang w:eastAsia="ja-JP"/>
        </w:rPr>
        <w:t xml:space="preserve"> are possib</w:t>
      </w:r>
      <w:r w:rsidR="006E78E1">
        <w:rPr>
          <w:lang w:eastAsia="ja-JP"/>
        </w:rPr>
        <w:t>le</w:t>
      </w:r>
      <w:r w:rsidR="00CA7308">
        <w:rPr>
          <w:lang w:eastAsia="ja-JP"/>
        </w:rPr>
        <w:t xml:space="preserve">. </w:t>
      </w:r>
      <w:r w:rsidR="00413B2A">
        <w:rPr>
          <w:lang w:eastAsia="ja-JP"/>
        </w:rPr>
        <w:t>For one-to-one mapping, a</w:t>
      </w:r>
      <w:r w:rsidR="00CA7308">
        <w:rPr>
          <w:lang w:eastAsia="ja-JP"/>
        </w:rPr>
        <w:t xml:space="preserve"> large amount of resources needs to be reserved for the PUSCH in Msg.A. On the other hand, N-to-one mapping </w:t>
      </w:r>
      <w:r w:rsidR="00413B2A">
        <w:rPr>
          <w:lang w:eastAsia="ja-JP"/>
        </w:rPr>
        <w:t>would</w:t>
      </w:r>
      <w:r w:rsidR="00CA7308">
        <w:rPr>
          <w:lang w:eastAsia="ja-JP"/>
        </w:rPr>
        <w:t xml:space="preserve"> cause high collision probability of PUSCH </w:t>
      </w:r>
      <w:r w:rsidR="00C91132">
        <w:rPr>
          <w:lang w:eastAsia="ja-JP"/>
        </w:rPr>
        <w:t>depending on the N value. S</w:t>
      </w:r>
      <w:r w:rsidR="00CA7308">
        <w:rPr>
          <w:lang w:eastAsia="ja-JP"/>
        </w:rPr>
        <w:t xml:space="preserve">uch high collision case should be </w:t>
      </w:r>
      <w:r w:rsidR="009C1E14">
        <w:rPr>
          <w:lang w:eastAsia="ja-JP"/>
        </w:rPr>
        <w:t xml:space="preserve">standardized in </w:t>
      </w:r>
      <w:r w:rsidR="00CA7308">
        <w:rPr>
          <w:lang w:eastAsia="ja-JP"/>
        </w:rPr>
        <w:t>NOMA.</w:t>
      </w:r>
      <w:r w:rsidR="00273D4F">
        <w:rPr>
          <w:lang w:eastAsia="ja-JP"/>
        </w:rPr>
        <w:t xml:space="preserve"> N-to-one mapping with</w:t>
      </w:r>
      <w:r w:rsidR="00C91132">
        <w:rPr>
          <w:lang w:eastAsia="ja-JP"/>
        </w:rPr>
        <w:t xml:space="preserve"> low</w:t>
      </w:r>
      <w:r w:rsidR="00273D4F">
        <w:rPr>
          <w:lang w:eastAsia="ja-JP"/>
        </w:rPr>
        <w:t xml:space="preserve"> collision </w:t>
      </w:r>
      <w:r w:rsidR="00C91132">
        <w:rPr>
          <w:lang w:eastAsia="ja-JP"/>
        </w:rPr>
        <w:t>probability</w:t>
      </w:r>
      <w:r w:rsidR="00273D4F">
        <w:rPr>
          <w:lang w:eastAsia="ja-JP"/>
        </w:rPr>
        <w:t xml:space="preserve"> which does not require NOMA such as advanced receiver could be considered.</w:t>
      </w:r>
    </w:p>
    <w:p w14:paraId="056218C3" w14:textId="57ADED91" w:rsidR="00CA7308" w:rsidRPr="00EC40AB" w:rsidRDefault="00EC40AB" w:rsidP="00CA7308">
      <w:pPr>
        <w:autoSpaceDE w:val="0"/>
        <w:autoSpaceDN w:val="0"/>
        <w:adjustRightInd w:val="0"/>
        <w:spacing w:beforeLines="50" w:before="120" w:after="0"/>
        <w:rPr>
          <w:b/>
          <w:lang w:eastAsia="ja-JP"/>
        </w:rPr>
      </w:pPr>
      <w:r w:rsidRPr="00EC40AB">
        <w:rPr>
          <w:rFonts w:hint="eastAsia"/>
          <w:b/>
          <w:lang w:eastAsia="ja-JP"/>
        </w:rPr>
        <w:t xml:space="preserve">Proposal 1: </w:t>
      </w:r>
      <w:r w:rsidR="00A071A9">
        <w:rPr>
          <w:b/>
          <w:lang w:eastAsia="ja-JP"/>
        </w:rPr>
        <w:t xml:space="preserve">At least </w:t>
      </w:r>
      <w:r w:rsidRPr="00EC40AB">
        <w:rPr>
          <w:b/>
          <w:lang w:eastAsia="ja-JP"/>
        </w:rPr>
        <w:t>RACH preamble number is used for the PUSCH in Msg.A resource determination.</w:t>
      </w:r>
    </w:p>
    <w:p w14:paraId="78B3F658" w14:textId="3BD27D9C" w:rsidR="00CA7308" w:rsidRPr="00CA7308" w:rsidRDefault="00EC40AB" w:rsidP="00CA7308">
      <w:pPr>
        <w:autoSpaceDE w:val="0"/>
        <w:autoSpaceDN w:val="0"/>
        <w:adjustRightInd w:val="0"/>
        <w:spacing w:beforeLines="50" w:before="120" w:after="0"/>
        <w:rPr>
          <w:lang w:eastAsia="ja-JP"/>
        </w:rPr>
      </w:pPr>
      <w:r w:rsidRPr="00EC40AB">
        <w:rPr>
          <w:rFonts w:hint="eastAsia"/>
          <w:b/>
          <w:lang w:eastAsia="ja-JP"/>
        </w:rPr>
        <w:t xml:space="preserve">Proposal </w:t>
      </w:r>
      <w:r>
        <w:rPr>
          <w:b/>
          <w:lang w:eastAsia="ja-JP"/>
        </w:rPr>
        <w:t>2</w:t>
      </w:r>
      <w:r w:rsidRPr="00EC40AB">
        <w:rPr>
          <w:rFonts w:hint="eastAsia"/>
          <w:b/>
          <w:lang w:eastAsia="ja-JP"/>
        </w:rPr>
        <w:t xml:space="preserve">: </w:t>
      </w:r>
      <w:r>
        <w:rPr>
          <w:b/>
          <w:lang w:eastAsia="ja-JP"/>
        </w:rPr>
        <w:t xml:space="preserve">The configuration of </w:t>
      </w:r>
      <w:r w:rsidR="00273D4F">
        <w:rPr>
          <w:b/>
          <w:lang w:eastAsia="ja-JP"/>
        </w:rPr>
        <w:t>mapping</w:t>
      </w:r>
      <w:r>
        <w:rPr>
          <w:b/>
          <w:lang w:eastAsia="ja-JP"/>
        </w:rPr>
        <w:t xml:space="preserve"> between RACH preamble number and the resource of PUSCH in Msg.A </w:t>
      </w:r>
      <w:r w:rsidR="00480337">
        <w:rPr>
          <w:b/>
          <w:lang w:eastAsia="ja-JP"/>
        </w:rPr>
        <w:t>should support</w:t>
      </w:r>
      <w:r w:rsidRPr="00EC40AB">
        <w:rPr>
          <w:b/>
          <w:lang w:eastAsia="ja-JP"/>
        </w:rPr>
        <w:t xml:space="preserve"> one-to-one and N-to-one.</w:t>
      </w:r>
    </w:p>
    <w:p w14:paraId="7C1D9D77" w14:textId="6851196F" w:rsidR="0009619D" w:rsidRDefault="00A63F41" w:rsidP="000D183E">
      <w:pPr>
        <w:autoSpaceDE w:val="0"/>
        <w:autoSpaceDN w:val="0"/>
        <w:adjustRightInd w:val="0"/>
        <w:spacing w:beforeLines="50" w:before="120" w:after="0"/>
        <w:rPr>
          <w:lang w:eastAsia="ja-JP"/>
        </w:rPr>
      </w:pPr>
      <w:r>
        <w:rPr>
          <w:rFonts w:hint="eastAsia"/>
          <w:lang w:eastAsia="ja-JP"/>
        </w:rPr>
        <w:t xml:space="preserve">The selection of RACH preamble </w:t>
      </w:r>
      <w:r w:rsidR="007977DD">
        <w:rPr>
          <w:lang w:eastAsia="ja-JP"/>
        </w:rPr>
        <w:t xml:space="preserve">number can indicate DMRS configuration. In addition, the selection of </w:t>
      </w:r>
      <w:r>
        <w:rPr>
          <w:rFonts w:hint="eastAsia"/>
          <w:lang w:eastAsia="ja-JP"/>
        </w:rPr>
        <w:t xml:space="preserve">RACH preamble resource set can also indicate </w:t>
      </w:r>
      <w:r>
        <w:rPr>
          <w:lang w:eastAsia="ja-JP"/>
        </w:rPr>
        <w:t xml:space="preserve">other transmission parameters for </w:t>
      </w:r>
      <w:r w:rsidR="00480337">
        <w:rPr>
          <w:lang w:eastAsia="ja-JP"/>
        </w:rPr>
        <w:t xml:space="preserve">the </w:t>
      </w:r>
      <w:r>
        <w:rPr>
          <w:lang w:eastAsia="ja-JP"/>
        </w:rPr>
        <w:t xml:space="preserve">PUSCH, such as MCS. Considering that UE selects RACH preamble resource set based on the DL measurement and corresponding association, </w:t>
      </w:r>
      <w:r w:rsidR="00D66783">
        <w:rPr>
          <w:lang w:eastAsia="ja-JP"/>
        </w:rPr>
        <w:t>such association is beneficial to achieve good transmission performance for PUSCH in Msg.A.</w:t>
      </w:r>
    </w:p>
    <w:p w14:paraId="49AABAEF" w14:textId="12979EE2" w:rsidR="007A313C" w:rsidRDefault="007A313C" w:rsidP="000D183E">
      <w:pPr>
        <w:autoSpaceDE w:val="0"/>
        <w:autoSpaceDN w:val="0"/>
        <w:adjustRightInd w:val="0"/>
        <w:spacing w:beforeLines="50" w:before="120" w:after="0"/>
        <w:rPr>
          <w:lang w:eastAsia="ja-JP"/>
        </w:rPr>
      </w:pPr>
      <w:r w:rsidRPr="00EC40AB">
        <w:rPr>
          <w:rFonts w:hint="eastAsia"/>
          <w:b/>
          <w:lang w:eastAsia="ja-JP"/>
        </w:rPr>
        <w:t xml:space="preserve">Proposal </w:t>
      </w:r>
      <w:r>
        <w:rPr>
          <w:b/>
          <w:lang w:eastAsia="ja-JP"/>
        </w:rPr>
        <w:t>3</w:t>
      </w:r>
      <w:r w:rsidRPr="00EC40AB">
        <w:rPr>
          <w:rFonts w:hint="eastAsia"/>
          <w:b/>
          <w:lang w:eastAsia="ja-JP"/>
        </w:rPr>
        <w:t xml:space="preserve">: </w:t>
      </w:r>
      <w:r w:rsidR="00FF7507">
        <w:rPr>
          <w:b/>
          <w:lang w:eastAsia="ja-JP"/>
        </w:rPr>
        <w:t>T</w:t>
      </w:r>
      <w:r w:rsidR="007977DD">
        <w:rPr>
          <w:b/>
          <w:lang w:eastAsia="ja-JP"/>
        </w:rPr>
        <w:t xml:space="preserve">ransmission parameters </w:t>
      </w:r>
      <w:r w:rsidR="00FF7507">
        <w:rPr>
          <w:b/>
          <w:lang w:eastAsia="ja-JP"/>
        </w:rPr>
        <w:t xml:space="preserve">for PUSCH in Msg.A </w:t>
      </w:r>
      <w:r w:rsidR="007977DD">
        <w:rPr>
          <w:b/>
          <w:lang w:eastAsia="ja-JP"/>
        </w:rPr>
        <w:t>such as MCS can be linked to RACH preamble resource set.</w:t>
      </w:r>
    </w:p>
    <w:p w14:paraId="4A86468E" w14:textId="4ACEF546" w:rsidR="00335BCE" w:rsidRDefault="0009619D" w:rsidP="000D183E">
      <w:pPr>
        <w:autoSpaceDE w:val="0"/>
        <w:autoSpaceDN w:val="0"/>
        <w:adjustRightInd w:val="0"/>
        <w:spacing w:beforeLines="50" w:before="120" w:after="0"/>
        <w:rPr>
          <w:lang w:eastAsia="zh-CN"/>
        </w:rPr>
      </w:pPr>
      <w:r>
        <w:rPr>
          <w:lang w:eastAsia="ja-JP"/>
        </w:rPr>
        <w:t xml:space="preserve">In addition, </w:t>
      </w:r>
      <w:r w:rsidR="00C768D6">
        <w:rPr>
          <w:lang w:eastAsia="ja-JP"/>
        </w:rPr>
        <w:t xml:space="preserve">based on the WID, UP data transmission in RRC_CONNECTED mode as in Rel.15 NR is supported. </w:t>
      </w:r>
      <w:r w:rsidR="00C768D6">
        <w:rPr>
          <w:lang w:eastAsia="zh-CN"/>
        </w:rPr>
        <w:t>In order to achieve a certain level of flexibility by allowing to accommodate variable size of UP data packets, it would be beneficial that the network can configure a set of TB</w:t>
      </w:r>
      <w:r w:rsidR="00335BCE">
        <w:rPr>
          <w:lang w:eastAsia="zh-CN"/>
        </w:rPr>
        <w:t xml:space="preserve"> size</w:t>
      </w:r>
      <w:r w:rsidR="00E67FA6">
        <w:rPr>
          <w:lang w:eastAsia="zh-CN"/>
        </w:rPr>
        <w:t>s</w:t>
      </w:r>
      <w:r w:rsidR="00335BCE">
        <w:rPr>
          <w:lang w:eastAsia="zh-CN"/>
        </w:rPr>
        <w:t xml:space="preserve"> </w:t>
      </w:r>
      <w:r w:rsidR="009341AB">
        <w:rPr>
          <w:lang w:eastAsia="zh-CN"/>
        </w:rPr>
        <w:t xml:space="preserve">for the PUSCH </w:t>
      </w:r>
      <w:r w:rsidR="00335BCE">
        <w:rPr>
          <w:lang w:eastAsia="zh-CN"/>
        </w:rPr>
        <w:t>transmission to the UE. Based on the data volume</w:t>
      </w:r>
      <w:r w:rsidR="007977DD">
        <w:rPr>
          <w:lang w:eastAsia="zh-CN"/>
        </w:rPr>
        <w:t xml:space="preserve"> in UE buffer</w:t>
      </w:r>
      <w:r w:rsidR="00335BCE">
        <w:rPr>
          <w:lang w:eastAsia="zh-CN"/>
        </w:rPr>
        <w:t>, UE selects a TBS/MCS and time/frequency resource size for PUSCH in Msg.A</w:t>
      </w:r>
      <w:r w:rsidR="009341AB">
        <w:rPr>
          <w:lang w:eastAsia="zh-CN"/>
        </w:rPr>
        <w:t xml:space="preserve"> from the configured parameter sets</w:t>
      </w:r>
      <w:r w:rsidR="00335BCE">
        <w:rPr>
          <w:lang w:eastAsia="zh-CN"/>
        </w:rPr>
        <w:t>.</w:t>
      </w:r>
      <w:r w:rsidR="007977DD">
        <w:rPr>
          <w:lang w:eastAsia="zh-CN"/>
        </w:rPr>
        <w:t xml:space="preserve"> The selected TBS/MCS and time/frequency resource size for PU</w:t>
      </w:r>
      <w:r w:rsidR="00AF5891">
        <w:rPr>
          <w:lang w:eastAsia="zh-CN"/>
        </w:rPr>
        <w:t>S</w:t>
      </w:r>
      <w:r w:rsidR="007977DD">
        <w:rPr>
          <w:lang w:eastAsia="zh-CN"/>
        </w:rPr>
        <w:t>CH in Msg.A are indicated by the selection of RACH preamble resource set. Alternatively, the selected TBS for PU</w:t>
      </w:r>
      <w:r w:rsidR="00AF5891">
        <w:rPr>
          <w:lang w:eastAsia="zh-CN"/>
        </w:rPr>
        <w:t>S</w:t>
      </w:r>
      <w:r w:rsidR="007977DD">
        <w:rPr>
          <w:lang w:eastAsia="zh-CN"/>
        </w:rPr>
        <w:t>CH in Msg.A are indicated in UCI which multiplexed on PUSCH or conveyed in a separate encoded control channel (e.g., PUCCH)</w:t>
      </w:r>
      <w:r w:rsidR="005524A6">
        <w:rPr>
          <w:lang w:eastAsia="zh-CN"/>
        </w:rPr>
        <w:t>.</w:t>
      </w:r>
    </w:p>
    <w:p w14:paraId="37F118B0" w14:textId="22862B49" w:rsidR="00AF5891" w:rsidRDefault="005524A6" w:rsidP="00AF5891">
      <w:pPr>
        <w:tabs>
          <w:tab w:val="left" w:pos="4008"/>
        </w:tabs>
        <w:spacing w:beforeLines="50" w:before="120" w:after="0"/>
        <w:rPr>
          <w:b/>
          <w:lang w:eastAsia="ja-JP"/>
        </w:rPr>
      </w:pPr>
      <w:r w:rsidRPr="00EC40AB">
        <w:rPr>
          <w:rFonts w:hint="eastAsia"/>
          <w:b/>
          <w:lang w:eastAsia="ja-JP"/>
        </w:rPr>
        <w:t xml:space="preserve">Proposal </w:t>
      </w:r>
      <w:r>
        <w:rPr>
          <w:b/>
          <w:lang w:eastAsia="ja-JP"/>
        </w:rPr>
        <w:t>4</w:t>
      </w:r>
      <w:r w:rsidRPr="00EC40AB">
        <w:rPr>
          <w:rFonts w:hint="eastAsia"/>
          <w:b/>
          <w:lang w:eastAsia="ja-JP"/>
        </w:rPr>
        <w:t>:</w:t>
      </w:r>
      <w:r w:rsidR="00AF5891">
        <w:rPr>
          <w:b/>
          <w:lang w:eastAsia="ja-JP"/>
        </w:rPr>
        <w:t xml:space="preserve"> In 2-step RACH, gNB can configure a set of TBSs for PUSCH in Msg.A. The UE may select a TBS based on the configuration and buffer size.</w:t>
      </w:r>
    </w:p>
    <w:p w14:paraId="42DB2366" w14:textId="7C36CFB9" w:rsidR="00AB7322" w:rsidRPr="00DC2A91" w:rsidRDefault="00AB7322"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38A43B0" w14:textId="435D4889" w:rsidR="00E24198" w:rsidRDefault="00E24198" w:rsidP="00E24198">
      <w:pPr>
        <w:spacing w:beforeLines="50" w:before="120" w:afterLines="50" w:after="120"/>
        <w:rPr>
          <w:lang w:eastAsia="ja-JP"/>
        </w:rPr>
      </w:pPr>
      <w:r>
        <w:rPr>
          <w:rFonts w:hint="eastAsia"/>
          <w:lang w:eastAsia="ja-JP"/>
        </w:rPr>
        <w:t>In</w:t>
      </w:r>
      <w:r>
        <w:rPr>
          <w:lang w:eastAsia="ja-JP"/>
        </w:rPr>
        <w:t xml:space="preserve"> this contribution, we discussed channel structure for 2-step RACH and made following proposals.</w:t>
      </w:r>
    </w:p>
    <w:p w14:paraId="44A89B9C" w14:textId="77777777" w:rsidR="00E24198" w:rsidRPr="00EC40AB" w:rsidRDefault="00E24198" w:rsidP="00E24198">
      <w:pPr>
        <w:autoSpaceDE w:val="0"/>
        <w:autoSpaceDN w:val="0"/>
        <w:adjustRightInd w:val="0"/>
        <w:spacing w:beforeLines="50" w:before="120" w:after="0"/>
        <w:rPr>
          <w:b/>
          <w:lang w:eastAsia="ja-JP"/>
        </w:rPr>
      </w:pPr>
      <w:r w:rsidRPr="00EC40AB">
        <w:rPr>
          <w:rFonts w:hint="eastAsia"/>
          <w:b/>
          <w:lang w:eastAsia="ja-JP"/>
        </w:rPr>
        <w:t xml:space="preserve">Proposal 1: </w:t>
      </w:r>
      <w:r>
        <w:rPr>
          <w:b/>
          <w:lang w:eastAsia="ja-JP"/>
        </w:rPr>
        <w:t xml:space="preserve">At least </w:t>
      </w:r>
      <w:r w:rsidRPr="00EC40AB">
        <w:rPr>
          <w:b/>
          <w:lang w:eastAsia="ja-JP"/>
        </w:rPr>
        <w:t>RACH preamble number is used for the PUSCH in Msg.A resource determination.</w:t>
      </w:r>
    </w:p>
    <w:p w14:paraId="13668C5C" w14:textId="77777777" w:rsidR="00E24198" w:rsidRPr="00CA7308" w:rsidRDefault="00E24198" w:rsidP="00E24198">
      <w:pPr>
        <w:autoSpaceDE w:val="0"/>
        <w:autoSpaceDN w:val="0"/>
        <w:adjustRightInd w:val="0"/>
        <w:spacing w:beforeLines="50" w:before="120" w:after="0"/>
        <w:rPr>
          <w:lang w:eastAsia="ja-JP"/>
        </w:rPr>
      </w:pPr>
      <w:r w:rsidRPr="00EC40AB">
        <w:rPr>
          <w:rFonts w:hint="eastAsia"/>
          <w:b/>
          <w:lang w:eastAsia="ja-JP"/>
        </w:rPr>
        <w:t xml:space="preserve">Proposal </w:t>
      </w:r>
      <w:r>
        <w:rPr>
          <w:b/>
          <w:lang w:eastAsia="ja-JP"/>
        </w:rPr>
        <w:t>2</w:t>
      </w:r>
      <w:r w:rsidRPr="00EC40AB">
        <w:rPr>
          <w:rFonts w:hint="eastAsia"/>
          <w:b/>
          <w:lang w:eastAsia="ja-JP"/>
        </w:rPr>
        <w:t xml:space="preserve">: </w:t>
      </w:r>
      <w:r>
        <w:rPr>
          <w:b/>
          <w:lang w:eastAsia="ja-JP"/>
        </w:rPr>
        <w:t>The configuration of mapping between RACH preamble number and the resource of PUSCH in Msg.A should support</w:t>
      </w:r>
      <w:r w:rsidRPr="00EC40AB">
        <w:rPr>
          <w:b/>
          <w:lang w:eastAsia="ja-JP"/>
        </w:rPr>
        <w:t xml:space="preserve"> one-to-one and N-to-one.</w:t>
      </w:r>
    </w:p>
    <w:p w14:paraId="4B0CF393" w14:textId="77777777" w:rsidR="00E24198" w:rsidRDefault="00E24198" w:rsidP="00E24198">
      <w:pPr>
        <w:autoSpaceDE w:val="0"/>
        <w:autoSpaceDN w:val="0"/>
        <w:adjustRightInd w:val="0"/>
        <w:spacing w:beforeLines="50" w:before="120" w:after="0"/>
        <w:rPr>
          <w:lang w:eastAsia="ja-JP"/>
        </w:rPr>
      </w:pPr>
      <w:r w:rsidRPr="00EC40AB">
        <w:rPr>
          <w:rFonts w:hint="eastAsia"/>
          <w:b/>
          <w:lang w:eastAsia="ja-JP"/>
        </w:rPr>
        <w:t xml:space="preserve">Proposal </w:t>
      </w:r>
      <w:r>
        <w:rPr>
          <w:b/>
          <w:lang w:eastAsia="ja-JP"/>
        </w:rPr>
        <w:t>3</w:t>
      </w:r>
      <w:r w:rsidRPr="00EC40AB">
        <w:rPr>
          <w:rFonts w:hint="eastAsia"/>
          <w:b/>
          <w:lang w:eastAsia="ja-JP"/>
        </w:rPr>
        <w:t xml:space="preserve">: </w:t>
      </w:r>
      <w:r>
        <w:rPr>
          <w:b/>
          <w:lang w:eastAsia="ja-JP"/>
        </w:rPr>
        <w:t>Transmission parameters for PUSCH in Msg.A such as MCS can be linked to RACH preamble resource set.</w:t>
      </w:r>
    </w:p>
    <w:p w14:paraId="6E1E3FAB" w14:textId="77777777" w:rsidR="00E24198" w:rsidRDefault="00E24198" w:rsidP="00E24198">
      <w:pPr>
        <w:tabs>
          <w:tab w:val="left" w:pos="4008"/>
        </w:tabs>
        <w:spacing w:beforeLines="50" w:before="120" w:after="0"/>
        <w:rPr>
          <w:b/>
          <w:lang w:eastAsia="ja-JP"/>
        </w:rPr>
      </w:pPr>
      <w:r w:rsidRPr="00EC40AB">
        <w:rPr>
          <w:rFonts w:hint="eastAsia"/>
          <w:b/>
          <w:lang w:eastAsia="ja-JP"/>
        </w:rPr>
        <w:t xml:space="preserve">Proposal </w:t>
      </w:r>
      <w:r>
        <w:rPr>
          <w:b/>
          <w:lang w:eastAsia="ja-JP"/>
        </w:rPr>
        <w:t>4</w:t>
      </w:r>
      <w:r w:rsidRPr="00EC40AB">
        <w:rPr>
          <w:rFonts w:hint="eastAsia"/>
          <w:b/>
          <w:lang w:eastAsia="ja-JP"/>
        </w:rPr>
        <w:t>:</w:t>
      </w:r>
      <w:r>
        <w:rPr>
          <w:b/>
          <w:lang w:eastAsia="ja-JP"/>
        </w:rPr>
        <w:t xml:space="preserve"> In 2-step RACH, gNB can configure a set of TBSs for PUSCH in Msg.A. The UE may select a TBS based on the configuration and buffer size.</w:t>
      </w:r>
    </w:p>
    <w:p w14:paraId="020BCCF7" w14:textId="26C9C2DD" w:rsidR="000F1310" w:rsidRPr="00E24198" w:rsidRDefault="000F1310" w:rsidP="00C63D4B">
      <w:pPr>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BF1C415"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565A7">
        <w:rPr>
          <w:rFonts w:eastAsiaTheme="minorEastAsia"/>
          <w:lang w:eastAsia="ja-JP"/>
        </w:rPr>
        <w:t>182894</w:t>
      </w:r>
      <w:r w:rsidR="009E32C1" w:rsidRPr="009E32C1">
        <w:rPr>
          <w:rFonts w:eastAsiaTheme="minorEastAsia"/>
          <w:lang w:eastAsia="ja-JP"/>
        </w:rPr>
        <w:t xml:space="preserve">, “New </w:t>
      </w:r>
      <w:r w:rsidR="00A565A7">
        <w:rPr>
          <w:rFonts w:eastAsiaTheme="minorEastAsia"/>
          <w:lang w:eastAsia="ja-JP"/>
        </w:rPr>
        <w:t>work item: 2-step RACH for NR</w:t>
      </w:r>
      <w:r w:rsidR="009E32C1">
        <w:rPr>
          <w:rFonts w:eastAsiaTheme="minorEastAsia"/>
          <w:lang w:eastAsia="ja-JP"/>
        </w:rPr>
        <w:t>,</w:t>
      </w:r>
      <w:r w:rsidR="009E32C1" w:rsidRPr="009E32C1">
        <w:rPr>
          <w:rFonts w:eastAsiaTheme="minorEastAsia"/>
          <w:lang w:eastAsia="ja-JP"/>
        </w:rPr>
        <w:t xml:space="preserve">” </w:t>
      </w:r>
      <w:r w:rsidR="00A565A7">
        <w:rPr>
          <w:rFonts w:eastAsiaTheme="minorEastAsia"/>
          <w:lang w:eastAsia="ja-JP"/>
        </w:rPr>
        <w:t>ZTE Corporation</w:t>
      </w:r>
      <w:r w:rsidR="009E32C1" w:rsidRPr="009E32C1">
        <w:rPr>
          <w:rFonts w:eastAsiaTheme="minorEastAsia"/>
          <w:lang w:eastAsia="ja-JP"/>
        </w:rPr>
        <w:t xml:space="preserve">, </w:t>
      </w:r>
      <w:r w:rsidR="00A565A7">
        <w:rPr>
          <w:rFonts w:eastAsiaTheme="minorEastAsia"/>
          <w:lang w:eastAsia="ja-JP"/>
        </w:rPr>
        <w:t>Sanechips</w:t>
      </w:r>
      <w:r w:rsidR="009E32C1">
        <w:rPr>
          <w:rFonts w:eastAsiaTheme="minorEastAsia"/>
          <w:lang w:eastAsia="ja-JP"/>
        </w:rPr>
        <w:t>, RAN#8</w:t>
      </w:r>
      <w:r w:rsidR="00A565A7">
        <w:rPr>
          <w:rFonts w:eastAsiaTheme="minorEastAsia"/>
          <w:lang w:eastAsia="ja-JP"/>
        </w:rPr>
        <w:t>2</w:t>
      </w:r>
    </w:p>
    <w:p w14:paraId="44A86F4A" w14:textId="68F98BC2" w:rsidR="00FF732A" w:rsidRDefault="007062FC" w:rsidP="004C6748">
      <w:pPr>
        <w:spacing w:beforeLines="50" w:before="120"/>
        <w:ind w:left="720" w:hanging="720"/>
        <w:jc w:val="both"/>
        <w:rPr>
          <w:rFonts w:hint="eastAsia"/>
          <w:lang w:eastAsia="ja-JP"/>
        </w:rPr>
      </w:pPr>
      <w:r>
        <w:rPr>
          <w:rFonts w:hint="eastAsia"/>
          <w:lang w:eastAsia="ja-JP"/>
        </w:rPr>
        <w:t xml:space="preserve">[2] </w:t>
      </w:r>
      <w:r w:rsidRPr="007062FC">
        <w:rPr>
          <w:lang w:eastAsia="ja-JP"/>
        </w:rPr>
        <w:t>R1-1902394</w:t>
      </w:r>
      <w:r>
        <w:rPr>
          <w:lang w:eastAsia="ja-JP"/>
        </w:rPr>
        <w:t>, “</w:t>
      </w:r>
      <w:r>
        <w:rPr>
          <w:lang w:eastAsia="ja-JP"/>
        </w:rPr>
        <w:t>Discussion on 2-step RACH procedure</w:t>
      </w:r>
      <w:r>
        <w:rPr>
          <w:lang w:eastAsia="ja-JP"/>
        </w:rPr>
        <w:t>,” Panasonic, RAN1#96</w:t>
      </w:r>
      <w:bookmarkStart w:id="0" w:name="_GoBack"/>
      <w:bookmarkEnd w:id="0"/>
    </w:p>
    <w:sectPr w:rsidR="00FF732A">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A68BE" w14:textId="77777777" w:rsidR="002F7D04" w:rsidRDefault="002F7D04">
      <w:r>
        <w:separator/>
      </w:r>
    </w:p>
  </w:endnote>
  <w:endnote w:type="continuationSeparator" w:id="0">
    <w:p w14:paraId="242AB8EC" w14:textId="77777777" w:rsidR="002F7D04" w:rsidRDefault="002F7D04">
      <w:r>
        <w:continuationSeparator/>
      </w:r>
    </w:p>
  </w:endnote>
  <w:endnote w:type="continuationNotice" w:id="1">
    <w:p w14:paraId="592543BD" w14:textId="77777777" w:rsidR="002F7D04" w:rsidRDefault="002F7D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517121" w:rsidRDefault="005171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517121" w:rsidRDefault="005171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D428C" w14:textId="77777777" w:rsidR="002F7D04" w:rsidRDefault="002F7D04">
      <w:r>
        <w:separator/>
      </w:r>
    </w:p>
  </w:footnote>
  <w:footnote w:type="continuationSeparator" w:id="0">
    <w:p w14:paraId="7535F81C" w14:textId="77777777" w:rsidR="002F7D04" w:rsidRDefault="002F7D04">
      <w:r>
        <w:continuationSeparator/>
      </w:r>
    </w:p>
  </w:footnote>
  <w:footnote w:type="continuationNotice" w:id="1">
    <w:p w14:paraId="64526139" w14:textId="77777777" w:rsidR="002F7D04" w:rsidRDefault="002F7D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8"/>
  </w:num>
  <w:num w:numId="3">
    <w:abstractNumId w:val="14"/>
  </w:num>
  <w:num w:numId="4">
    <w:abstractNumId w:val="25"/>
  </w:num>
  <w:num w:numId="5">
    <w:abstractNumId w:val="18"/>
  </w:num>
  <w:num w:numId="6">
    <w:abstractNumId w:val="19"/>
  </w:num>
  <w:num w:numId="7">
    <w:abstractNumId w:val="17"/>
  </w:num>
  <w:num w:numId="8">
    <w:abstractNumId w:val="27"/>
  </w:num>
  <w:num w:numId="9">
    <w:abstractNumId w:val="11"/>
  </w:num>
  <w:num w:numId="10">
    <w:abstractNumId w:val="24"/>
  </w:num>
  <w:num w:numId="11">
    <w:abstractNumId w:val="23"/>
  </w:num>
  <w:num w:numId="12">
    <w:abstractNumId w:val="1"/>
  </w:num>
  <w:num w:numId="13">
    <w:abstractNumId w:val="7"/>
  </w:num>
  <w:num w:numId="14">
    <w:abstractNumId w:val="2"/>
  </w:num>
  <w:num w:numId="15">
    <w:abstractNumId w:val="4"/>
  </w:num>
  <w:num w:numId="16">
    <w:abstractNumId w:val="0"/>
  </w:num>
  <w:num w:numId="17">
    <w:abstractNumId w:val="6"/>
  </w:num>
  <w:num w:numId="18">
    <w:abstractNumId w:val="5"/>
  </w:num>
  <w:num w:numId="19">
    <w:abstractNumId w:val="12"/>
  </w:num>
  <w:num w:numId="20">
    <w:abstractNumId w:val="20"/>
  </w:num>
  <w:num w:numId="21">
    <w:abstractNumId w:val="15"/>
  </w:num>
  <w:num w:numId="22">
    <w:abstractNumId w:val="16"/>
  </w:num>
  <w:num w:numId="23">
    <w:abstractNumId w:val="10"/>
  </w:num>
  <w:num w:numId="24">
    <w:abstractNumId w:val="21"/>
  </w:num>
  <w:num w:numId="25">
    <w:abstractNumId w:val="13"/>
  </w:num>
  <w:num w:numId="26">
    <w:abstractNumId w:val="9"/>
  </w:num>
  <w:num w:numId="27">
    <w:abstractNumId w:val="3"/>
  </w:num>
  <w:num w:numId="28">
    <w:abstractNumId w:val="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C82"/>
    <w:rsid w:val="00042E74"/>
    <w:rsid w:val="00042E77"/>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3004"/>
    <w:rsid w:val="00073940"/>
    <w:rsid w:val="00073A3F"/>
    <w:rsid w:val="00074024"/>
    <w:rsid w:val="00075BB7"/>
    <w:rsid w:val="0007690F"/>
    <w:rsid w:val="00076CCC"/>
    <w:rsid w:val="000803A0"/>
    <w:rsid w:val="00080571"/>
    <w:rsid w:val="00081405"/>
    <w:rsid w:val="00081E4C"/>
    <w:rsid w:val="00082B6C"/>
    <w:rsid w:val="00083B28"/>
    <w:rsid w:val="00083CFB"/>
    <w:rsid w:val="000854B0"/>
    <w:rsid w:val="00085A5C"/>
    <w:rsid w:val="000865D7"/>
    <w:rsid w:val="00087D92"/>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19D"/>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83E"/>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1A3"/>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3B9C"/>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663"/>
    <w:rsid w:val="002647BC"/>
    <w:rsid w:val="00265927"/>
    <w:rsid w:val="00265A49"/>
    <w:rsid w:val="00266744"/>
    <w:rsid w:val="002676D3"/>
    <w:rsid w:val="00267727"/>
    <w:rsid w:val="00267789"/>
    <w:rsid w:val="0027062E"/>
    <w:rsid w:val="002710BD"/>
    <w:rsid w:val="00271379"/>
    <w:rsid w:val="00271426"/>
    <w:rsid w:val="00271664"/>
    <w:rsid w:val="00271702"/>
    <w:rsid w:val="00271A30"/>
    <w:rsid w:val="00272699"/>
    <w:rsid w:val="00272978"/>
    <w:rsid w:val="00273230"/>
    <w:rsid w:val="00273361"/>
    <w:rsid w:val="00273CEC"/>
    <w:rsid w:val="00273D4F"/>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5EF"/>
    <w:rsid w:val="002C7DA3"/>
    <w:rsid w:val="002D01A0"/>
    <w:rsid w:val="002D1428"/>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5D0"/>
    <w:rsid w:val="002F57B3"/>
    <w:rsid w:val="002F6892"/>
    <w:rsid w:val="002F6BC6"/>
    <w:rsid w:val="002F7317"/>
    <w:rsid w:val="002F7D04"/>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A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EB3"/>
    <w:rsid w:val="00332F13"/>
    <w:rsid w:val="0033312F"/>
    <w:rsid w:val="0033328D"/>
    <w:rsid w:val="003351C5"/>
    <w:rsid w:val="00335411"/>
    <w:rsid w:val="003357E4"/>
    <w:rsid w:val="00335BCE"/>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790"/>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3A6"/>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B2A"/>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49DB"/>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A3C"/>
    <w:rsid w:val="00470BFF"/>
    <w:rsid w:val="00471CC5"/>
    <w:rsid w:val="00472C46"/>
    <w:rsid w:val="00473206"/>
    <w:rsid w:val="00474496"/>
    <w:rsid w:val="004746EB"/>
    <w:rsid w:val="004755DD"/>
    <w:rsid w:val="00476E9A"/>
    <w:rsid w:val="0047719C"/>
    <w:rsid w:val="004771A6"/>
    <w:rsid w:val="00480337"/>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1FA"/>
    <w:rsid w:val="004E65B4"/>
    <w:rsid w:val="004E6633"/>
    <w:rsid w:val="004E69FA"/>
    <w:rsid w:val="004E7427"/>
    <w:rsid w:val="004E77DD"/>
    <w:rsid w:val="004E7F59"/>
    <w:rsid w:val="004F0749"/>
    <w:rsid w:val="004F1E8C"/>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0F25"/>
    <w:rsid w:val="005011B7"/>
    <w:rsid w:val="00501639"/>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58E8"/>
    <w:rsid w:val="00516860"/>
    <w:rsid w:val="005168E2"/>
    <w:rsid w:val="00516CE9"/>
    <w:rsid w:val="00516DBF"/>
    <w:rsid w:val="00517121"/>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411"/>
    <w:rsid w:val="00547059"/>
    <w:rsid w:val="00547731"/>
    <w:rsid w:val="005479EF"/>
    <w:rsid w:val="005500EB"/>
    <w:rsid w:val="00550483"/>
    <w:rsid w:val="005506A0"/>
    <w:rsid w:val="0055084C"/>
    <w:rsid w:val="00550F46"/>
    <w:rsid w:val="005512D6"/>
    <w:rsid w:val="0055153D"/>
    <w:rsid w:val="00552164"/>
    <w:rsid w:val="005524A6"/>
    <w:rsid w:val="005524A8"/>
    <w:rsid w:val="005529F5"/>
    <w:rsid w:val="0055305D"/>
    <w:rsid w:val="00553666"/>
    <w:rsid w:val="00553739"/>
    <w:rsid w:val="00553DB7"/>
    <w:rsid w:val="00553DFD"/>
    <w:rsid w:val="005543AE"/>
    <w:rsid w:val="00554499"/>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163"/>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1F2F"/>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5FCA"/>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372"/>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8E1"/>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1F69"/>
    <w:rsid w:val="007024D0"/>
    <w:rsid w:val="00702CCD"/>
    <w:rsid w:val="00702EFC"/>
    <w:rsid w:val="00702F0B"/>
    <w:rsid w:val="007032D6"/>
    <w:rsid w:val="00704162"/>
    <w:rsid w:val="00705297"/>
    <w:rsid w:val="007052C7"/>
    <w:rsid w:val="007062FC"/>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842"/>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4EE2"/>
    <w:rsid w:val="007658BB"/>
    <w:rsid w:val="00765D32"/>
    <w:rsid w:val="0076636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977DD"/>
    <w:rsid w:val="007978CC"/>
    <w:rsid w:val="007A01B2"/>
    <w:rsid w:val="007A02D1"/>
    <w:rsid w:val="007A0613"/>
    <w:rsid w:val="007A2463"/>
    <w:rsid w:val="007A29A7"/>
    <w:rsid w:val="007A29BA"/>
    <w:rsid w:val="007A2EE3"/>
    <w:rsid w:val="007A313C"/>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128"/>
    <w:rsid w:val="007D08C1"/>
    <w:rsid w:val="007D0FA9"/>
    <w:rsid w:val="007D13A5"/>
    <w:rsid w:val="007D1A18"/>
    <w:rsid w:val="007D2045"/>
    <w:rsid w:val="007D2157"/>
    <w:rsid w:val="007D226C"/>
    <w:rsid w:val="007D23FE"/>
    <w:rsid w:val="007D26FC"/>
    <w:rsid w:val="007D2EA8"/>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7D9"/>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D9C"/>
    <w:rsid w:val="00847F13"/>
    <w:rsid w:val="0085014F"/>
    <w:rsid w:val="0085196E"/>
    <w:rsid w:val="008525FE"/>
    <w:rsid w:val="008526D1"/>
    <w:rsid w:val="008529F7"/>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6BF"/>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BC2"/>
    <w:rsid w:val="00931F38"/>
    <w:rsid w:val="00931FF7"/>
    <w:rsid w:val="00933794"/>
    <w:rsid w:val="009341AB"/>
    <w:rsid w:val="0093429C"/>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E14"/>
    <w:rsid w:val="009C1FFF"/>
    <w:rsid w:val="009C291B"/>
    <w:rsid w:val="009C2E18"/>
    <w:rsid w:val="009C3692"/>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1A9"/>
    <w:rsid w:val="00A07326"/>
    <w:rsid w:val="00A0786D"/>
    <w:rsid w:val="00A07B62"/>
    <w:rsid w:val="00A07D24"/>
    <w:rsid w:val="00A105E5"/>
    <w:rsid w:val="00A107AE"/>
    <w:rsid w:val="00A10D84"/>
    <w:rsid w:val="00A115BD"/>
    <w:rsid w:val="00A1241B"/>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5A7"/>
    <w:rsid w:val="00A56CB5"/>
    <w:rsid w:val="00A575DF"/>
    <w:rsid w:val="00A577CC"/>
    <w:rsid w:val="00A57F2B"/>
    <w:rsid w:val="00A6012E"/>
    <w:rsid w:val="00A605C9"/>
    <w:rsid w:val="00A6093B"/>
    <w:rsid w:val="00A614F0"/>
    <w:rsid w:val="00A6166C"/>
    <w:rsid w:val="00A619AE"/>
    <w:rsid w:val="00A62CF6"/>
    <w:rsid w:val="00A6308C"/>
    <w:rsid w:val="00A63991"/>
    <w:rsid w:val="00A63F41"/>
    <w:rsid w:val="00A6430C"/>
    <w:rsid w:val="00A64537"/>
    <w:rsid w:val="00A647F8"/>
    <w:rsid w:val="00A64A43"/>
    <w:rsid w:val="00A64B50"/>
    <w:rsid w:val="00A66146"/>
    <w:rsid w:val="00A662F3"/>
    <w:rsid w:val="00A66C39"/>
    <w:rsid w:val="00A67AA1"/>
    <w:rsid w:val="00A7047E"/>
    <w:rsid w:val="00A70DF9"/>
    <w:rsid w:val="00A71177"/>
    <w:rsid w:val="00A712D3"/>
    <w:rsid w:val="00A71C92"/>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418"/>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2D"/>
    <w:rsid w:val="00AC57D9"/>
    <w:rsid w:val="00AC5D0E"/>
    <w:rsid w:val="00AC5D63"/>
    <w:rsid w:val="00AC60BC"/>
    <w:rsid w:val="00AC653D"/>
    <w:rsid w:val="00AC69E8"/>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8A6"/>
    <w:rsid w:val="00AF08DC"/>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91"/>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0FC"/>
    <w:rsid w:val="00B27446"/>
    <w:rsid w:val="00B278AC"/>
    <w:rsid w:val="00B27AC4"/>
    <w:rsid w:val="00B300B1"/>
    <w:rsid w:val="00B3069F"/>
    <w:rsid w:val="00B306C5"/>
    <w:rsid w:val="00B30EF9"/>
    <w:rsid w:val="00B31127"/>
    <w:rsid w:val="00B3141B"/>
    <w:rsid w:val="00B31555"/>
    <w:rsid w:val="00B322E1"/>
    <w:rsid w:val="00B3234B"/>
    <w:rsid w:val="00B3241C"/>
    <w:rsid w:val="00B3259B"/>
    <w:rsid w:val="00B325AD"/>
    <w:rsid w:val="00B32BE4"/>
    <w:rsid w:val="00B3369F"/>
    <w:rsid w:val="00B339A2"/>
    <w:rsid w:val="00B340D1"/>
    <w:rsid w:val="00B346A2"/>
    <w:rsid w:val="00B346CB"/>
    <w:rsid w:val="00B34FD4"/>
    <w:rsid w:val="00B3545D"/>
    <w:rsid w:val="00B36A0A"/>
    <w:rsid w:val="00B371F4"/>
    <w:rsid w:val="00B376C0"/>
    <w:rsid w:val="00B4097E"/>
    <w:rsid w:val="00B40A34"/>
    <w:rsid w:val="00B40A5A"/>
    <w:rsid w:val="00B40D91"/>
    <w:rsid w:val="00B4164D"/>
    <w:rsid w:val="00B41CED"/>
    <w:rsid w:val="00B424F5"/>
    <w:rsid w:val="00B439D4"/>
    <w:rsid w:val="00B4589A"/>
    <w:rsid w:val="00B46B88"/>
    <w:rsid w:val="00B46BB3"/>
    <w:rsid w:val="00B46CB7"/>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2"/>
    <w:rsid w:val="00B80994"/>
    <w:rsid w:val="00B81A22"/>
    <w:rsid w:val="00B82288"/>
    <w:rsid w:val="00B82E9B"/>
    <w:rsid w:val="00B8383B"/>
    <w:rsid w:val="00B84582"/>
    <w:rsid w:val="00B84685"/>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A7C0C"/>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C3C"/>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3EA6"/>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3D4B"/>
    <w:rsid w:val="00C6409C"/>
    <w:rsid w:val="00C6431C"/>
    <w:rsid w:val="00C64357"/>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68D6"/>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132"/>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308"/>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AC3"/>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6783"/>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6B"/>
    <w:rsid w:val="00E10CB5"/>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ACA"/>
    <w:rsid w:val="00E15F70"/>
    <w:rsid w:val="00E17860"/>
    <w:rsid w:val="00E17F5D"/>
    <w:rsid w:val="00E20D8E"/>
    <w:rsid w:val="00E21073"/>
    <w:rsid w:val="00E219F6"/>
    <w:rsid w:val="00E21BD0"/>
    <w:rsid w:val="00E21F17"/>
    <w:rsid w:val="00E22454"/>
    <w:rsid w:val="00E22CA4"/>
    <w:rsid w:val="00E23A68"/>
    <w:rsid w:val="00E24198"/>
    <w:rsid w:val="00E24206"/>
    <w:rsid w:val="00E244A7"/>
    <w:rsid w:val="00E24B84"/>
    <w:rsid w:val="00E24FC6"/>
    <w:rsid w:val="00E2647D"/>
    <w:rsid w:val="00E3001D"/>
    <w:rsid w:val="00E3002C"/>
    <w:rsid w:val="00E31003"/>
    <w:rsid w:val="00E312C2"/>
    <w:rsid w:val="00E31719"/>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67FA6"/>
    <w:rsid w:val="00E70DFA"/>
    <w:rsid w:val="00E71349"/>
    <w:rsid w:val="00E7159D"/>
    <w:rsid w:val="00E719E3"/>
    <w:rsid w:val="00E71B63"/>
    <w:rsid w:val="00E7208C"/>
    <w:rsid w:val="00E72C2B"/>
    <w:rsid w:val="00E73418"/>
    <w:rsid w:val="00E73667"/>
    <w:rsid w:val="00E73755"/>
    <w:rsid w:val="00E739A5"/>
    <w:rsid w:val="00E7434D"/>
    <w:rsid w:val="00E74854"/>
    <w:rsid w:val="00E74D93"/>
    <w:rsid w:val="00E7546C"/>
    <w:rsid w:val="00E75641"/>
    <w:rsid w:val="00E75B42"/>
    <w:rsid w:val="00E76CC3"/>
    <w:rsid w:val="00E77301"/>
    <w:rsid w:val="00E77BE3"/>
    <w:rsid w:val="00E808B0"/>
    <w:rsid w:val="00E80B15"/>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40AB"/>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93"/>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6C6F"/>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359"/>
    <w:rsid w:val="00FB350C"/>
    <w:rsid w:val="00FB37CF"/>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ACE"/>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32A"/>
    <w:rsid w:val="00FF7507"/>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3D5EF-2A97-4157-B2BD-4820AEF7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960</Words>
  <Characters>5473</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10</cp:revision>
  <cp:lastPrinted>2010-04-02T09:58:00Z</cp:lastPrinted>
  <dcterms:created xsi:type="dcterms:W3CDTF">2019-02-14T02:34:00Z</dcterms:created>
  <dcterms:modified xsi:type="dcterms:W3CDTF">2019-02-14T10:30:00Z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