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CFC09" w14:textId="0B1A7839" w:rsidR="007863A4" w:rsidRDefault="00D92A52" w:rsidP="00836208">
      <w:pPr>
        <w:tabs>
          <w:tab w:val="right" w:pos="9498"/>
        </w:tabs>
        <w:rPr>
          <w:b/>
          <w:lang w:eastAsia="ja-JP"/>
        </w:rPr>
      </w:pPr>
      <w:r w:rsidRPr="00C51D50">
        <w:rPr>
          <w:rFonts w:cs="Arial"/>
          <w:b/>
          <w:bCs/>
        </w:rPr>
        <w:t xml:space="preserve">3GPP TSG RAN WG1 </w:t>
      </w:r>
      <w:r w:rsidR="003975B3">
        <w:rPr>
          <w:rFonts w:cs="Arial"/>
          <w:b/>
          <w:bCs/>
        </w:rPr>
        <w:t>#96</w:t>
      </w:r>
      <w:r w:rsidR="007863A4">
        <w:rPr>
          <w:rFonts w:hint="eastAsia"/>
          <w:b/>
          <w:lang w:eastAsia="ja-JP"/>
        </w:rPr>
        <w:tab/>
      </w:r>
      <w:r w:rsidR="00CF3BB7" w:rsidRPr="00CF3BB7">
        <w:rPr>
          <w:b/>
        </w:rPr>
        <w:t>R1-19</w:t>
      </w:r>
      <w:r w:rsidR="0029503A">
        <w:rPr>
          <w:b/>
        </w:rPr>
        <w:t>02324</w:t>
      </w:r>
      <w:r w:rsidR="00B81665">
        <w:rPr>
          <w:rFonts w:hint="eastAsia"/>
          <w:b/>
          <w:lang w:eastAsia="ja-JP"/>
        </w:rPr>
        <w:br/>
      </w:r>
      <w:r w:rsidR="003975B3" w:rsidRPr="005D2D00">
        <w:rPr>
          <w:b/>
        </w:rPr>
        <w:t xml:space="preserve">Athens, Greece, </w:t>
      </w:r>
      <w:r w:rsidR="003975B3" w:rsidRPr="005D2D00">
        <w:rPr>
          <w:rFonts w:cs="Arial"/>
          <w:b/>
          <w:bCs/>
          <w:lang w:eastAsia="ja-JP"/>
        </w:rPr>
        <w:t>25</w:t>
      </w:r>
      <w:r w:rsidR="003975B3" w:rsidRPr="005D2D00">
        <w:rPr>
          <w:rFonts w:cs="Arial"/>
          <w:b/>
          <w:bCs/>
          <w:vertAlign w:val="superscript"/>
          <w:lang w:eastAsia="ja-JP"/>
        </w:rPr>
        <w:t>th</w:t>
      </w:r>
      <w:r w:rsidR="003975B3" w:rsidRPr="005D2D00">
        <w:rPr>
          <w:b/>
        </w:rPr>
        <w:t xml:space="preserve"> February – 1</w:t>
      </w:r>
      <w:r w:rsidR="003975B3" w:rsidRPr="005D2D00">
        <w:rPr>
          <w:b/>
          <w:vertAlign w:val="superscript"/>
        </w:rPr>
        <w:t>st</w:t>
      </w:r>
      <w:r w:rsidR="003975B3" w:rsidRPr="005D2D00">
        <w:rPr>
          <w:b/>
        </w:rPr>
        <w:t xml:space="preserve"> March</w:t>
      </w:r>
      <w:r w:rsidR="00C3681D" w:rsidRPr="00C3681D">
        <w:rPr>
          <w:b/>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5985310" w:rsidR="006D3ED4" w:rsidRDefault="007863A4" w:rsidP="00836208">
      <w:pPr>
        <w:tabs>
          <w:tab w:val="left" w:pos="1560"/>
        </w:tabs>
        <w:spacing w:after="0"/>
        <w:rPr>
          <w:lang w:eastAsia="ja-JP"/>
        </w:rPr>
      </w:pPr>
      <w:r w:rsidRPr="00A279F2">
        <w:rPr>
          <w:b/>
        </w:rPr>
        <w:t>Title:</w:t>
      </w:r>
      <w:r w:rsidRPr="00F74272">
        <w:tab/>
      </w:r>
      <w:r w:rsidR="00A73135">
        <w:t>NR-U PRACH resource</w:t>
      </w:r>
      <w:r w:rsidR="00EA29F9">
        <w:rPr>
          <w:rFonts w:hint="eastAsia"/>
          <w:lang w:eastAsia="ja-JP"/>
        </w:rPr>
        <w:t xml:space="preserve"> </w:t>
      </w:r>
      <w:r w:rsidR="00EA29F9" w:rsidRPr="00EA29F9">
        <w:rPr>
          <w:lang w:eastAsia="ja-JP"/>
        </w:rPr>
        <w:t>enhancement</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67E949F0" w:rsidR="007067DE" w:rsidRPr="00ED3183" w:rsidRDefault="007711CD" w:rsidP="00ED3183">
      <w:pPr>
        <w:tabs>
          <w:tab w:val="left" w:pos="0"/>
        </w:tabs>
        <w:spacing w:after="0"/>
        <w:rPr>
          <w:rFonts w:ascii="Times New Roman" w:hAnsi="Times New Roman"/>
        </w:rPr>
      </w:pPr>
      <w:r w:rsidRPr="00ED3183">
        <w:rPr>
          <w:rFonts w:ascii="Times New Roman" w:hAnsi="Times New Roman"/>
          <w:lang w:eastAsia="ja-JP"/>
        </w:rPr>
        <w:t xml:space="preserve">This document </w:t>
      </w:r>
      <w:r w:rsidR="004B5168" w:rsidRPr="00ED3183">
        <w:rPr>
          <w:rFonts w:ascii="Times New Roman" w:eastAsiaTheme="minorEastAsia" w:hAnsi="Times New Roman"/>
          <w:lang w:eastAsia="ja-JP"/>
        </w:rPr>
        <w:t xml:space="preserve">is </w:t>
      </w:r>
      <w:r w:rsidR="00BE33EC" w:rsidRPr="00ED3183">
        <w:rPr>
          <w:rFonts w:ascii="Times New Roman" w:eastAsiaTheme="minorEastAsia" w:hAnsi="Times New Roman"/>
          <w:lang w:eastAsia="ja-JP"/>
        </w:rPr>
        <w:t>the update</w:t>
      </w:r>
      <w:r w:rsidR="004B5168" w:rsidRPr="00ED3183">
        <w:rPr>
          <w:rFonts w:ascii="Times New Roman" w:eastAsiaTheme="minorEastAsia" w:hAnsi="Times New Roman"/>
          <w:lang w:eastAsia="ja-JP"/>
        </w:rPr>
        <w:t xml:space="preserve"> of </w:t>
      </w:r>
      <w:r w:rsidR="00CB37FD" w:rsidRPr="00ED3183">
        <w:rPr>
          <w:rFonts w:ascii="Times New Roman" w:hAnsi="Times New Roman"/>
          <w:lang w:eastAsia="ja-JP"/>
        </w:rPr>
        <w:fldChar w:fldCharType="begin"/>
      </w:r>
      <w:r w:rsidR="00CB37FD" w:rsidRPr="00ED3183">
        <w:rPr>
          <w:rFonts w:ascii="Times New Roman" w:hAnsi="Times New Roman"/>
          <w:lang w:eastAsia="ja-JP"/>
        </w:rPr>
        <w:instrText xml:space="preserve"> REF _Ref534798314 \n \h </w:instrText>
      </w:r>
      <w:r w:rsidR="00ED3183">
        <w:rPr>
          <w:rFonts w:ascii="Times New Roman" w:hAnsi="Times New Roman"/>
          <w:lang w:eastAsia="ja-JP"/>
        </w:rPr>
        <w:instrText xml:space="preserve"> \* MERGEFORMAT </w:instrText>
      </w:r>
      <w:r w:rsidR="00CB37FD" w:rsidRPr="00ED3183">
        <w:rPr>
          <w:rFonts w:ascii="Times New Roman" w:hAnsi="Times New Roman"/>
          <w:lang w:eastAsia="ja-JP"/>
        </w:rPr>
      </w:r>
      <w:r w:rsidR="00CB37FD" w:rsidRPr="00ED3183">
        <w:rPr>
          <w:rFonts w:ascii="Times New Roman" w:hAnsi="Times New Roman"/>
          <w:lang w:eastAsia="ja-JP"/>
        </w:rPr>
        <w:fldChar w:fldCharType="separate"/>
      </w:r>
      <w:r w:rsidR="00384729">
        <w:rPr>
          <w:rFonts w:ascii="Times New Roman" w:hAnsi="Times New Roman"/>
          <w:lang w:eastAsia="ja-JP"/>
        </w:rPr>
        <w:t>[1]</w:t>
      </w:r>
      <w:r w:rsidR="00CB37FD" w:rsidRPr="00ED3183">
        <w:rPr>
          <w:rFonts w:ascii="Times New Roman" w:hAnsi="Times New Roman"/>
          <w:lang w:eastAsia="ja-JP"/>
        </w:rPr>
        <w:fldChar w:fldCharType="end"/>
      </w:r>
      <w:r w:rsidR="004B5168" w:rsidRPr="00ED3183">
        <w:rPr>
          <w:rFonts w:ascii="Times New Roman" w:hAnsi="Times New Roman"/>
          <w:lang w:eastAsia="ja-JP"/>
        </w:rPr>
        <w:t xml:space="preserve">, and </w:t>
      </w:r>
      <w:r w:rsidRPr="00ED3183">
        <w:rPr>
          <w:rFonts w:ascii="Times New Roman" w:hAnsi="Times New Roman"/>
          <w:lang w:eastAsia="ja-JP"/>
        </w:rPr>
        <w:t xml:space="preserve">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D3183" w:rsidRPr="00ED3183">
        <w:rPr>
          <w:rFonts w:ascii="Times New Roman" w:eastAsiaTheme="minorEastAsia" w:hAnsi="Times New Roman"/>
          <w:lang w:eastAsia="ja-JP"/>
        </w:rPr>
        <w:t>.</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221C327F" w14:textId="06E70DCA" w:rsidR="002B1DB2" w:rsidRPr="00B3295F" w:rsidRDefault="002B1DB2" w:rsidP="00B3295F">
      <w:pPr>
        <w:rPr>
          <w:rFonts w:eastAsia="SimSun"/>
          <w:lang w:eastAsia="zh-CN"/>
        </w:rPr>
      </w:pPr>
      <w:r w:rsidRPr="0072354A">
        <w:rPr>
          <w:rFonts w:ascii="Times New Roman" w:hAnsi="Times New Roman"/>
        </w:rPr>
        <w:t xml:space="preserve">This chapter is the </w:t>
      </w:r>
      <w:r w:rsidR="00C3681D">
        <w:rPr>
          <w:rFonts w:ascii="Times New Roman" w:hAnsi="Times New Roman"/>
          <w:lang w:eastAsia="ja-JP"/>
        </w:rPr>
        <w:t xml:space="preserve">update </w:t>
      </w:r>
      <w:r w:rsidRPr="0072354A">
        <w:rPr>
          <w:rFonts w:ascii="Times New Roman" w:hAnsi="Times New Roman"/>
        </w:rPr>
        <w:t>of</w:t>
      </w:r>
      <w:r w:rsidR="00CB37FD">
        <w:rPr>
          <w:rFonts w:ascii="Times New Roman" w:hAnsi="Times New Roman"/>
          <w:lang w:eastAsia="ja-JP"/>
        </w:rPr>
        <w:t xml:space="preserve">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384729">
        <w:rPr>
          <w:rFonts w:ascii="Times New Roman" w:hAnsi="Times New Roman"/>
          <w:lang w:eastAsia="ja-JP"/>
        </w:rPr>
        <w:t>[1]</w:t>
      </w:r>
      <w:r w:rsidR="00CB37FD">
        <w:rPr>
          <w:rFonts w:ascii="Times New Roman" w:hAnsi="Times New Roman"/>
          <w:lang w:eastAsia="ja-JP"/>
        </w:rPr>
        <w:fldChar w:fldCharType="end"/>
      </w:r>
      <w:r w:rsidRPr="0072354A">
        <w:rPr>
          <w:rFonts w:ascii="Times New Roman" w:hAnsi="Times New Roman"/>
        </w:rPr>
        <w:t>.</w:t>
      </w:r>
    </w:p>
    <w:p w14:paraId="51A91FE1" w14:textId="77777777" w:rsidR="007067DE" w:rsidRDefault="007067DE" w:rsidP="007067DE">
      <w:pPr>
        <w:pStyle w:val="2"/>
      </w:pPr>
      <w:r>
        <w:t>PRACH resource configuration in a wideband carrier</w:t>
      </w:r>
    </w:p>
    <w:p w14:paraId="6038EC1A" w14:textId="06E979C7"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in a wideband carrier with a bandwidth larger than 20MHz, multiple PRACH resources can be configured across multiple LBT sub-bands in the carrier for both contention-free and contention-based random access. </w:t>
      </w:r>
      <w:r w:rsidR="005F03E5">
        <w:rPr>
          <w:rFonts w:ascii="Times New Roman" w:hAnsi="Times New Roman"/>
          <w:lang w:eastAsia="ja-JP"/>
        </w:rPr>
        <w:t>T</w:t>
      </w:r>
      <w:r w:rsidRPr="00A7515E">
        <w:rPr>
          <w:rFonts w:ascii="Times New Roman" w:hAnsi="Times New Roman"/>
          <w:lang w:eastAsia="ja-JP"/>
        </w:rPr>
        <w:t xml:space="preserve">his option offers more transmission opportunities for PRACH against LBT failures. It deserves to be addressed how PRACH resources are configured across multiple LBT sub-bands in a wideband carrier. </w:t>
      </w:r>
    </w:p>
    <w:p w14:paraId="182E9ABF" w14:textId="0B2BEFB7" w:rsidR="007067DE" w:rsidRPr="00A7515E" w:rsidRDefault="007067DE" w:rsidP="007067DE">
      <w:pPr>
        <w:rPr>
          <w:rFonts w:ascii="Times New Roman" w:hAnsi="Times New Roman"/>
          <w:lang w:val="en-US" w:eastAsia="ja-JP"/>
        </w:rPr>
      </w:pPr>
      <w:bookmarkStart w:id="0" w:name="_Hlk508280483"/>
      <w:r w:rsidRPr="00A7515E">
        <w:rPr>
          <w:rFonts w:ascii="Times New Roman" w:hAnsi="Times New Roman"/>
          <w:lang w:val="en-US" w:eastAsia="ja-JP"/>
        </w:rPr>
        <w:t xml:space="preserve">For the NR licensed band PRACH resource configuration, PRACH resources </w:t>
      </w:r>
      <w:r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Pr="00A7515E">
        <w:rPr>
          <w:rFonts w:ascii="Times New Roman" w:hAnsi="Times New Roman"/>
          <w:i/>
          <w:iCs/>
          <w:lang w:eastAsia="ja-JP"/>
        </w:rPr>
        <w:t>msg1-FrequencyStart</w:t>
      </w:r>
      <w:r w:rsidRPr="00A7515E">
        <w:rPr>
          <w:rFonts w:ascii="Times New Roman" w:hAnsi="Times New Roman"/>
          <w:lang w:eastAsia="ja-JP"/>
        </w:rPr>
        <w:t xml:space="preserve"> and the number of PRACH frequency resources is specified by the higher-layer parameter </w:t>
      </w:r>
      <w:r w:rsidRPr="00A7515E">
        <w:rPr>
          <w:rFonts w:ascii="Times New Roman" w:hAnsi="Times New Roman"/>
          <w:i/>
          <w:iCs/>
          <w:lang w:eastAsia="ja-JP"/>
        </w:rPr>
        <w:t>msg1-FDM</w:t>
      </w:r>
      <w:r w:rsidRPr="00A7515E">
        <w:rPr>
          <w:rFonts w:ascii="Times New Roman" w:hAnsi="Times New Roman"/>
          <w:lang w:eastAsia="ja-JP"/>
        </w:rPr>
        <w:t xml:space="preserve">. </w:t>
      </w:r>
      <w:bookmarkEnd w:id="0"/>
      <w:r w:rsidRPr="00A7515E">
        <w:rPr>
          <w:rFonts w:ascii="Times New Roman" w:hAnsi="Times New Roman"/>
          <w:lang w:eastAsia="ja-JP"/>
        </w:rPr>
        <w:t xml:space="preserve">If </w:t>
      </w:r>
      <w:r w:rsidR="005F03E5">
        <w:rPr>
          <w:rFonts w:ascii="Times New Roman" w:hAnsi="Times New Roman"/>
          <w:lang w:val="en-US" w:eastAsia="ja-JP"/>
        </w:rPr>
        <w:t>these designs are</w:t>
      </w:r>
      <w:r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D65AC6" wp14:editId="376525F0">
            <wp:extent cx="3389630" cy="3066415"/>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9630" cy="30664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1"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1"/>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54E0B7A1" w14:textId="3EA0E33D" w:rsidR="007067DE" w:rsidRPr="00A7515E" w:rsidRDefault="007067DE" w:rsidP="007067DE">
      <w:pPr>
        <w:rPr>
          <w:rFonts w:ascii="Times New Roman" w:hAnsi="Times New Roman"/>
        </w:rPr>
      </w:pPr>
      <w:r w:rsidRPr="00A7515E">
        <w:rPr>
          <w:rFonts w:ascii="Times New Roman" w:hAnsi="Times New Roman"/>
        </w:rPr>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w:t>
      </w:r>
      <w:r w:rsidRPr="00A7515E">
        <w:rPr>
          <w:rFonts w:ascii="Times New Roman" w:hAnsi="Times New Roman"/>
          <w:lang w:val="en-US" w:eastAsia="ja-JP"/>
        </w:rPr>
        <w:lastRenderedPageBreak/>
        <w:t xml:space="preserve">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 xml:space="preserve">In this case, no any PRACH resources are allocated across two adjacent sub-bands and thus the availability of PRACH resource in a sub-band is not affected by the LBT outcome in another sub-band.  </w:t>
      </w:r>
    </w:p>
    <w:p w14:paraId="4BF191A6" w14:textId="37D51EE2"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ED3183">
        <w:rPr>
          <w:rFonts w:ascii="Times New Roman" w:hAnsi="Times New Roman"/>
          <w:b/>
          <w:bCs/>
          <w:i/>
          <w:iCs/>
          <w:u w:val="single"/>
        </w:rPr>
        <w:t>1</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3E6D3105" wp14:editId="7DFE5591">
            <wp:extent cx="3645535" cy="3230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5535" cy="3230880"/>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2"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721F1A36"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and option 2b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or scheduled via paging for idle mode UE. These two options mean PRACH is sent in gNB obtained COT and are beneficial for reducing RACH access delay since connected mode UE or idle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2E3D7E95"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configured right after DRS transmission. This option is also beneficial for reducing RACH access delay since the number of LBTs performed by UEs for PRACH transmission can be reduced. The merit obtained option 2a and 2b are equally available in this option. </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15289543" w14:textId="55CADE31" w:rsidR="007067DE" w:rsidRPr="00B3295F" w:rsidRDefault="007067DE" w:rsidP="007067DE">
      <w:pPr>
        <w:spacing w:after="0"/>
        <w:jc w:val="both"/>
        <w:rPr>
          <w:rFonts w:ascii="Times New Roman" w:hAnsi="Times New Roman"/>
          <w:b/>
          <w:i/>
          <w:iCs/>
        </w:rPr>
      </w:pPr>
      <w:r w:rsidRPr="00B3295F">
        <w:rPr>
          <w:rFonts w:ascii="Times New Roman" w:hAnsi="Times New Roman"/>
          <w:b/>
          <w:bCs/>
          <w:i/>
          <w:iCs/>
          <w:u w:val="single"/>
        </w:rPr>
        <w:t xml:space="preserve">Proposal </w:t>
      </w:r>
      <w:r w:rsidR="00ED3183">
        <w:rPr>
          <w:rFonts w:ascii="Times New Roman" w:hAnsi="Times New Roman"/>
          <w:b/>
          <w:bCs/>
          <w:i/>
          <w:iCs/>
          <w:u w:val="single"/>
        </w:rPr>
        <w:t>2</w:t>
      </w:r>
      <w:r w:rsidRPr="00B3295F">
        <w:rPr>
          <w:rFonts w:ascii="Times New Roman" w:hAnsi="Times New Roman"/>
          <w:b/>
          <w:bCs/>
          <w:i/>
          <w:iCs/>
        </w:rPr>
        <w:t>: Option 2a, 2b and 2c are supported in NR-U.</w:t>
      </w:r>
    </w:p>
    <w:p w14:paraId="50F2EA5B" w14:textId="77777777" w:rsidR="007067DE" w:rsidRPr="001A1FEE" w:rsidRDefault="007067DE" w:rsidP="007067DE">
      <w:pPr>
        <w:tabs>
          <w:tab w:val="left" w:pos="0"/>
        </w:tabs>
        <w:spacing w:after="0"/>
        <w:rPr>
          <w:rFonts w:ascii="Times New Roman" w:hAnsi="Times New Roman"/>
          <w:sz w:val="24"/>
          <w:lang w:val="en-US" w:eastAsia="ja-JP"/>
        </w:rPr>
      </w:pPr>
    </w:p>
    <w:p w14:paraId="121575AF" w14:textId="77777777" w:rsidR="007067DE" w:rsidRPr="002F4600" w:rsidRDefault="007067DE" w:rsidP="007067DE">
      <w:pPr>
        <w:pStyle w:val="2"/>
      </w:pPr>
      <w:r>
        <w:t>SSB-to-RO Mapping in a wideband carrier</w:t>
      </w:r>
    </w:p>
    <w:p w14:paraId="5C507F22" w14:textId="719D5BA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However, it may not be able to make the ROs associated with an SSB distributed over different sub-bands,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3"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18DECE65" wp14:editId="36A0B981">
            <wp:extent cx="3377565" cy="3194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65" cy="3194685"/>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4"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20385309"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t xml:space="preserve">Proposal </w:t>
      </w:r>
      <w:r w:rsidR="00ED3183">
        <w:rPr>
          <w:rFonts w:ascii="Times New Roman" w:hAnsi="Times New Roman"/>
          <w:b/>
          <w:bCs/>
          <w:i/>
          <w:iCs/>
          <w:u w:val="single"/>
        </w:rPr>
        <w:t>3</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9FAF522" w14:textId="0BF1002E" w:rsidR="007067DE" w:rsidRDefault="007067DE" w:rsidP="00BD3B13">
      <w:pPr>
        <w:pStyle w:val="Proposal"/>
        <w:tabs>
          <w:tab w:val="clear" w:pos="1701"/>
          <w:tab w:val="left" w:pos="0"/>
        </w:tabs>
        <w:ind w:left="0" w:firstLine="0"/>
        <w:rPr>
          <w:b w:val="0"/>
        </w:rPr>
      </w:pPr>
    </w:p>
    <w:p w14:paraId="37A0ABE5" w14:textId="77777777" w:rsidR="002612AF" w:rsidRDefault="002612AF" w:rsidP="00BD3B13">
      <w:pPr>
        <w:pStyle w:val="Proposal"/>
        <w:tabs>
          <w:tab w:val="clear" w:pos="1701"/>
          <w:tab w:val="left" w:pos="0"/>
        </w:tabs>
        <w:ind w:left="0" w:firstLine="0"/>
        <w:rPr>
          <w:b w:val="0"/>
        </w:rPr>
      </w:pPr>
    </w:p>
    <w:p w14:paraId="5A948D4F" w14:textId="1EFAF04A" w:rsidR="004928D4" w:rsidRPr="004928D4" w:rsidRDefault="00AF421E" w:rsidP="007067DE">
      <w:pPr>
        <w:pStyle w:val="1"/>
      </w:pPr>
      <w:r>
        <w:t>Conclusion</w:t>
      </w:r>
    </w:p>
    <w:p w14:paraId="2FBDC1EF" w14:textId="44AA800E"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xml:space="preserve">, we would </w:t>
      </w:r>
      <w:r w:rsidR="002612AF">
        <w:rPr>
          <w:b w:val="0"/>
        </w:rPr>
        <w:t>have the observations and the proposals as follow:</w:t>
      </w: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lastRenderedPageBreak/>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95B34C7" w:rsidR="002612AF" w:rsidRPr="002612AF" w:rsidRDefault="00ED3183" w:rsidP="002612AF">
            <w:pPr>
              <w:pStyle w:val="Proposal"/>
              <w:ind w:left="0" w:firstLine="0"/>
              <w:rPr>
                <w:i/>
              </w:rPr>
            </w:pPr>
            <w:r>
              <w:rPr>
                <w:i/>
              </w:rPr>
              <w:t>Proposal 1</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2657071A" w:rsidR="002612AF" w:rsidRPr="002612AF" w:rsidRDefault="00ED3183" w:rsidP="002612AF">
            <w:pPr>
              <w:pStyle w:val="Proposal"/>
              <w:ind w:left="0" w:firstLine="0"/>
              <w:rPr>
                <w:i/>
              </w:rPr>
            </w:pPr>
            <w:r>
              <w:rPr>
                <w:i/>
              </w:rPr>
              <w:t>Proposal 2</w:t>
            </w:r>
          </w:p>
        </w:tc>
        <w:tc>
          <w:tcPr>
            <w:tcW w:w="4265" w:type="pct"/>
          </w:tcPr>
          <w:p w14:paraId="33EB358E" w14:textId="76FDD0CC" w:rsidR="002612AF" w:rsidRPr="002612AF" w:rsidRDefault="002612AF" w:rsidP="002612AF">
            <w:pPr>
              <w:pStyle w:val="Proposal"/>
              <w:ind w:left="0" w:firstLine="0"/>
              <w:rPr>
                <w:i/>
              </w:rPr>
            </w:pPr>
            <w:r w:rsidRPr="002612AF">
              <w:rPr>
                <w:i/>
                <w:iCs/>
              </w:rPr>
              <w:t>Option 2a, 2b and 2c are supported in NR-U.</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2DF2B3DE" w:rsidR="002612AF" w:rsidRPr="002612AF" w:rsidRDefault="00ED3183" w:rsidP="002612AF">
            <w:pPr>
              <w:pStyle w:val="Proposal"/>
              <w:ind w:left="0" w:firstLine="0"/>
              <w:rPr>
                <w:i/>
              </w:rPr>
            </w:pPr>
            <w:r>
              <w:rPr>
                <w:i/>
              </w:rPr>
              <w:t>Proposal 3</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631876DA" w14:textId="42D2CFE3" w:rsidR="00CB37FD" w:rsidRPr="00CB37FD" w:rsidRDefault="00CB37FD" w:rsidP="00CB37FD">
      <w:pPr>
        <w:pStyle w:val="References"/>
      </w:pPr>
      <w:bookmarkStart w:id="5" w:name="_Ref534798314"/>
      <w:bookmarkStart w:id="6" w:name="_Ref534788829"/>
      <w:bookmarkStart w:id="7" w:name="_Ref524431486"/>
      <w:r w:rsidRPr="001D1AE0">
        <w:rPr>
          <w:bCs/>
        </w:rPr>
        <w:t>R1-1812523, Panasonic, RAN1#95, Spokane, November 2018</w:t>
      </w:r>
      <w:bookmarkEnd w:id="5"/>
    </w:p>
    <w:bookmarkEnd w:id="6"/>
    <w:bookmarkEnd w:id="7"/>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8" w:name="_Ref525834641"/>
      <w:r>
        <w:t>Appendix – Agreements from prior Meetings</w:t>
      </w:r>
      <w:bookmarkEnd w:id="8"/>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5687DA21" w:rsidR="00000588" w:rsidRPr="00F112D4" w:rsidRDefault="00000588" w:rsidP="00BD3B13">
      <w:pPr>
        <w:pStyle w:val="Proposal"/>
        <w:tabs>
          <w:tab w:val="left" w:pos="0"/>
        </w:tabs>
        <w:rPr>
          <w:b w:val="0"/>
          <w:bCs/>
        </w:rPr>
      </w:pPr>
      <w:bookmarkStart w:id="9" w:name="_GoBack"/>
      <w:bookmarkEnd w:id="9"/>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1F07" w14:textId="77777777" w:rsidR="002D69C5" w:rsidRDefault="002D69C5">
      <w:pPr>
        <w:spacing w:after="0"/>
      </w:pPr>
      <w:r>
        <w:separator/>
      </w:r>
    </w:p>
  </w:endnote>
  <w:endnote w:type="continuationSeparator" w:id="0">
    <w:p w14:paraId="7A4E3B06" w14:textId="77777777" w:rsidR="002D69C5" w:rsidRDefault="002D69C5">
      <w:pPr>
        <w:spacing w:after="0"/>
      </w:pPr>
      <w:r>
        <w:continuationSeparator/>
      </w:r>
    </w:p>
  </w:endnote>
  <w:endnote w:type="continuationNotice" w:id="1">
    <w:p w14:paraId="4BB214A8" w14:textId="77777777" w:rsidR="002D69C5" w:rsidRDefault="002D6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libri"/>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ACC2A" w14:textId="77777777" w:rsidR="002D69C5" w:rsidRDefault="002D69C5">
      <w:pPr>
        <w:spacing w:after="0"/>
      </w:pPr>
      <w:r>
        <w:separator/>
      </w:r>
    </w:p>
  </w:footnote>
  <w:footnote w:type="continuationSeparator" w:id="0">
    <w:p w14:paraId="69134CFA" w14:textId="77777777" w:rsidR="002D69C5" w:rsidRDefault="002D69C5">
      <w:pPr>
        <w:spacing w:after="0"/>
      </w:pPr>
      <w:r>
        <w:continuationSeparator/>
      </w:r>
    </w:p>
  </w:footnote>
  <w:footnote w:type="continuationNotice" w:id="1">
    <w:p w14:paraId="6CA8E65A" w14:textId="77777777" w:rsidR="002D69C5" w:rsidRDefault="002D69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5"/>
  </w:num>
  <w:num w:numId="8">
    <w:abstractNumId w:val="64"/>
  </w:num>
  <w:num w:numId="9">
    <w:abstractNumId w:val="69"/>
  </w:num>
  <w:num w:numId="10">
    <w:abstractNumId w:val="67"/>
  </w:num>
  <w:num w:numId="11">
    <w:abstractNumId w:val="24"/>
  </w:num>
  <w:num w:numId="12">
    <w:abstractNumId w:val="7"/>
  </w:num>
  <w:num w:numId="13">
    <w:abstractNumId w:val="46"/>
  </w:num>
  <w:num w:numId="14">
    <w:abstractNumId w:val="61"/>
  </w:num>
  <w:num w:numId="15">
    <w:abstractNumId w:val="71"/>
  </w:num>
  <w:num w:numId="16">
    <w:abstractNumId w:val="34"/>
  </w:num>
  <w:num w:numId="17">
    <w:abstractNumId w:val="52"/>
  </w:num>
  <w:num w:numId="18">
    <w:abstractNumId w:val="25"/>
  </w:num>
  <w:num w:numId="19">
    <w:abstractNumId w:val="11"/>
  </w:num>
  <w:num w:numId="20">
    <w:abstractNumId w:val="14"/>
  </w:num>
  <w:num w:numId="21">
    <w:abstractNumId w:val="43"/>
  </w:num>
  <w:num w:numId="22">
    <w:abstractNumId w:val="75"/>
  </w:num>
  <w:num w:numId="23">
    <w:abstractNumId w:val="75"/>
  </w:num>
  <w:num w:numId="24">
    <w:abstractNumId w:val="75"/>
  </w:num>
  <w:num w:numId="25">
    <w:abstractNumId w:val="43"/>
  </w:num>
  <w:num w:numId="26">
    <w:abstractNumId w:val="48"/>
  </w:num>
  <w:num w:numId="27">
    <w:abstractNumId w:val="45"/>
  </w:num>
  <w:num w:numId="28">
    <w:abstractNumId w:val="1"/>
  </w:num>
  <w:num w:numId="29">
    <w:abstractNumId w:val="6"/>
  </w:num>
  <w:num w:numId="30">
    <w:abstractNumId w:val="29"/>
  </w:num>
  <w:num w:numId="31">
    <w:abstractNumId w:val="39"/>
  </w:num>
  <w:num w:numId="32">
    <w:abstractNumId w:val="49"/>
  </w:num>
  <w:num w:numId="33">
    <w:abstractNumId w:val="32"/>
  </w:num>
  <w:num w:numId="34">
    <w:abstractNumId w:val="57"/>
  </w:num>
  <w:num w:numId="35">
    <w:abstractNumId w:val="62"/>
  </w:num>
  <w:num w:numId="36">
    <w:abstractNumId w:val="59"/>
  </w:num>
  <w:num w:numId="37">
    <w:abstractNumId w:val="63"/>
  </w:num>
  <w:num w:numId="38">
    <w:abstractNumId w:val="60"/>
  </w:num>
  <w:num w:numId="39">
    <w:abstractNumId w:val="78"/>
  </w:num>
  <w:num w:numId="40">
    <w:abstractNumId w:val="40"/>
  </w:num>
  <w:num w:numId="41">
    <w:abstractNumId w:val="37"/>
  </w:num>
  <w:num w:numId="42">
    <w:abstractNumId w:val="28"/>
  </w:num>
  <w:num w:numId="43">
    <w:abstractNumId w:val="20"/>
  </w:num>
  <w:num w:numId="44">
    <w:abstractNumId w:val="36"/>
  </w:num>
  <w:num w:numId="45">
    <w:abstractNumId w:val="73"/>
  </w:num>
  <w:num w:numId="46">
    <w:abstractNumId w:val="23"/>
  </w:num>
  <w:num w:numId="47">
    <w:abstractNumId w:val="42"/>
  </w:num>
  <w:num w:numId="48">
    <w:abstractNumId w:val="53"/>
  </w:num>
  <w:num w:numId="49">
    <w:abstractNumId w:val="17"/>
  </w:num>
  <w:num w:numId="50">
    <w:abstractNumId w:val="12"/>
  </w:num>
  <w:num w:numId="51">
    <w:abstractNumId w:val="65"/>
  </w:num>
  <w:num w:numId="52">
    <w:abstractNumId w:val="76"/>
  </w:num>
  <w:num w:numId="53">
    <w:abstractNumId w:val="21"/>
  </w:num>
  <w:num w:numId="54">
    <w:abstractNumId w:val="4"/>
  </w:num>
  <w:num w:numId="55">
    <w:abstractNumId w:val="74"/>
  </w:num>
  <w:num w:numId="56">
    <w:abstractNumId w:val="3"/>
  </w:num>
  <w:num w:numId="57">
    <w:abstractNumId w:val="16"/>
  </w:num>
  <w:num w:numId="58">
    <w:abstractNumId w:val="5"/>
  </w:num>
  <w:num w:numId="59">
    <w:abstractNumId w:val="56"/>
  </w:num>
  <w:num w:numId="60">
    <w:abstractNumId w:val="51"/>
  </w:num>
  <w:num w:numId="61">
    <w:abstractNumId w:val="77"/>
  </w:num>
  <w:num w:numId="62">
    <w:abstractNumId w:val="26"/>
  </w:num>
  <w:num w:numId="63">
    <w:abstractNumId w:val="22"/>
  </w:num>
  <w:num w:numId="64">
    <w:abstractNumId w:val="72"/>
  </w:num>
  <w:num w:numId="65">
    <w:abstractNumId w:val="68"/>
  </w:num>
  <w:num w:numId="66">
    <w:abstractNumId w:val="55"/>
  </w:num>
  <w:num w:numId="67">
    <w:abstractNumId w:val="18"/>
  </w:num>
  <w:num w:numId="68">
    <w:abstractNumId w:val="27"/>
  </w:num>
  <w:num w:numId="69">
    <w:abstractNumId w:val="13"/>
  </w:num>
  <w:num w:numId="70">
    <w:abstractNumId w:val="54"/>
  </w:num>
  <w:num w:numId="71">
    <w:abstractNumId w:val="47"/>
  </w:num>
  <w:num w:numId="72">
    <w:abstractNumId w:val="58"/>
  </w:num>
  <w:num w:numId="73">
    <w:abstractNumId w:val="70"/>
  </w:num>
  <w:num w:numId="74">
    <w:abstractNumId w:val="33"/>
  </w:num>
  <w:num w:numId="75">
    <w:abstractNumId w:val="9"/>
  </w:num>
  <w:num w:numId="76">
    <w:abstractNumId w:val="8"/>
  </w:num>
  <w:num w:numId="77">
    <w:abstractNumId w:val="0"/>
  </w:num>
  <w:num w:numId="78">
    <w:abstractNumId w:val="10"/>
  </w:num>
  <w:num w:numId="79">
    <w:abstractNumId w:val="35"/>
  </w:num>
  <w:num w:numId="80">
    <w:abstractNumId w:val="30"/>
  </w:num>
  <w:num w:numId="81">
    <w:abstractNumId w:val="41"/>
  </w:num>
  <w:num w:numId="82">
    <w:abstractNumId w:val="66"/>
  </w:num>
  <w:num w:numId="83">
    <w:abstractNumId w:val="38"/>
    <w:lvlOverride w:ilvl="0">
      <w:startOverride w:val="1"/>
    </w:lvlOverride>
  </w:num>
  <w:num w:numId="84">
    <w:abstractNumId w:val="19"/>
  </w:num>
  <w:num w:numId="85">
    <w:abstractNumId w:val="2"/>
  </w:num>
  <w:num w:numId="86">
    <w:abstractNumId w:val="50"/>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47EEB"/>
    <w:rsid w:val="00050451"/>
    <w:rsid w:val="00054723"/>
    <w:rsid w:val="00054C96"/>
    <w:rsid w:val="00055B55"/>
    <w:rsid w:val="0005710F"/>
    <w:rsid w:val="00062E53"/>
    <w:rsid w:val="00064856"/>
    <w:rsid w:val="00065761"/>
    <w:rsid w:val="00066B7B"/>
    <w:rsid w:val="00070E79"/>
    <w:rsid w:val="000717B4"/>
    <w:rsid w:val="00071AE6"/>
    <w:rsid w:val="0007304E"/>
    <w:rsid w:val="00074E7A"/>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4659"/>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EEA"/>
    <w:rsid w:val="001727CE"/>
    <w:rsid w:val="0017398B"/>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3C29"/>
    <w:rsid w:val="001D6179"/>
    <w:rsid w:val="001D64A4"/>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530"/>
    <w:rsid w:val="00317A20"/>
    <w:rsid w:val="003202DE"/>
    <w:rsid w:val="00323F20"/>
    <w:rsid w:val="0032454B"/>
    <w:rsid w:val="00325122"/>
    <w:rsid w:val="00325A4E"/>
    <w:rsid w:val="00325C57"/>
    <w:rsid w:val="00327AF5"/>
    <w:rsid w:val="00332268"/>
    <w:rsid w:val="00332FCA"/>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520"/>
    <w:rsid w:val="004A45EA"/>
    <w:rsid w:val="004A5A34"/>
    <w:rsid w:val="004A5C46"/>
    <w:rsid w:val="004A5FA6"/>
    <w:rsid w:val="004A6091"/>
    <w:rsid w:val="004A629F"/>
    <w:rsid w:val="004A6334"/>
    <w:rsid w:val="004A779A"/>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D0ACA"/>
    <w:rsid w:val="005D18B1"/>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12A5"/>
    <w:rsid w:val="00681BE3"/>
    <w:rsid w:val="00681FC7"/>
    <w:rsid w:val="00682EAC"/>
    <w:rsid w:val="00686467"/>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72BA2"/>
    <w:rsid w:val="00775ECF"/>
    <w:rsid w:val="0078098E"/>
    <w:rsid w:val="00781C6C"/>
    <w:rsid w:val="0078311D"/>
    <w:rsid w:val="007833DA"/>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CB"/>
    <w:rsid w:val="008F4D63"/>
    <w:rsid w:val="008F522B"/>
    <w:rsid w:val="008F63D1"/>
    <w:rsid w:val="008F7D1F"/>
    <w:rsid w:val="00900285"/>
    <w:rsid w:val="00900E4C"/>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B22"/>
    <w:rsid w:val="009E36F1"/>
    <w:rsid w:val="009E651A"/>
    <w:rsid w:val="009E6CF9"/>
    <w:rsid w:val="009E7724"/>
    <w:rsid w:val="009F0C62"/>
    <w:rsid w:val="009F28AF"/>
    <w:rsid w:val="009F2E45"/>
    <w:rsid w:val="009F3C8F"/>
    <w:rsid w:val="009F3E25"/>
    <w:rsid w:val="009F457D"/>
    <w:rsid w:val="009F47B1"/>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CF9"/>
    <w:rsid w:val="00AD7D97"/>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1D5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3183"/>
    <w:rsid w:val="00ED4D9A"/>
    <w:rsid w:val="00ED56BF"/>
    <w:rsid w:val="00ED5EA4"/>
    <w:rsid w:val="00ED635D"/>
    <w:rsid w:val="00ED78B0"/>
    <w:rsid w:val="00EE0882"/>
    <w:rsid w:val="00EE18D0"/>
    <w:rsid w:val="00EE27EA"/>
    <w:rsid w:val="00EE347D"/>
    <w:rsid w:val="00EE5DF4"/>
    <w:rsid w:val="00EE6BBA"/>
    <w:rsid w:val="00EF0EE3"/>
    <w:rsid w:val="00EF2FB5"/>
    <w:rsid w:val="00EF3A36"/>
    <w:rsid w:val="00EF6E14"/>
    <w:rsid w:val="00EF7FCD"/>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C4C4C26-8607-4D47-9B1F-601533AD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1159</Words>
  <Characters>6607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Contribution on NR-U</vt:lpstr>
    </vt:vector>
  </TitlesOfParts>
  <Company>Panasonic Corporation</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creator>maki.shotaro@jp.panasonic.com</dc:creator>
  <cp:keywords>3GPP; RAN1</cp:keywords>
  <dc:description/>
  <cp:lastModifiedBy>Maki Shotaro (眞木 翔太郎)</cp:lastModifiedBy>
  <cp:revision>18</cp:revision>
  <dcterms:created xsi:type="dcterms:W3CDTF">2019-01-09T03:00:00Z</dcterms:created>
  <dcterms:modified xsi:type="dcterms:W3CDTF">2019-02-14T09:23:00Z</dcterms:modified>
</cp:coreProperties>
</file>