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7E5" w:rsidRPr="002427E5" w:rsidRDefault="002427E5" w:rsidP="002427E5">
      <w:pPr>
        <w:tabs>
          <w:tab w:val="left" w:pos="567"/>
        </w:tabs>
        <w:rPr>
          <w:rFonts w:cs="Arial"/>
          <w:b/>
          <w:bCs/>
          <w:sz w:val="24"/>
        </w:rPr>
      </w:pPr>
      <w:r w:rsidRPr="002427E5">
        <w:rPr>
          <w:rFonts w:cs="Arial"/>
          <w:b/>
          <w:bCs/>
          <w:sz w:val="24"/>
        </w:rPr>
        <w:t>3GPP TSG RAN WG1 #96</w:t>
      </w:r>
      <w:r w:rsidRPr="002427E5">
        <w:rPr>
          <w:rFonts w:cs="Arial"/>
          <w:b/>
          <w:bCs/>
          <w:sz w:val="24"/>
        </w:rPr>
        <w:tab/>
      </w:r>
      <w:r w:rsidRPr="002427E5">
        <w:rPr>
          <w:rFonts w:cs="Arial"/>
          <w:b/>
          <w:bCs/>
          <w:sz w:val="24"/>
        </w:rPr>
        <w:tab/>
      </w:r>
      <w:r w:rsidRPr="002427E5">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2427E5">
        <w:rPr>
          <w:rFonts w:cs="Arial"/>
          <w:b/>
          <w:bCs/>
          <w:sz w:val="24"/>
        </w:rPr>
        <w:t>R1-19</w:t>
      </w:r>
      <w:r w:rsidR="006726B2">
        <w:rPr>
          <w:rFonts w:cs="Arial"/>
          <w:b/>
          <w:bCs/>
          <w:sz w:val="24"/>
        </w:rPr>
        <w:t>01892</w:t>
      </w:r>
    </w:p>
    <w:p w:rsidR="000F259D" w:rsidRDefault="002427E5" w:rsidP="002427E5">
      <w:pPr>
        <w:tabs>
          <w:tab w:val="left" w:pos="567"/>
        </w:tabs>
        <w:rPr>
          <w:rFonts w:cs="Arial"/>
          <w:b/>
          <w:bCs/>
          <w:sz w:val="24"/>
        </w:rPr>
      </w:pPr>
      <w:r w:rsidRPr="002427E5">
        <w:rPr>
          <w:rFonts w:cs="Arial"/>
          <w:b/>
          <w:bCs/>
          <w:sz w:val="24"/>
        </w:rPr>
        <w:t xml:space="preserve">Athens, Greece, 25th February – 1st </w:t>
      </w:r>
      <w:proofErr w:type="gramStart"/>
      <w:r w:rsidRPr="002427E5">
        <w:rPr>
          <w:rFonts w:cs="Arial"/>
          <w:b/>
          <w:bCs/>
          <w:sz w:val="24"/>
        </w:rPr>
        <w:t>March,</w:t>
      </w:r>
      <w:proofErr w:type="gramEnd"/>
      <w:r w:rsidRPr="002427E5">
        <w:rPr>
          <w:rFonts w:cs="Arial"/>
          <w:b/>
          <w:bCs/>
          <w:sz w:val="24"/>
        </w:rPr>
        <w:t xml:space="preserve"> 2019</w:t>
      </w:r>
    </w:p>
    <w:p w:rsidR="002427E5" w:rsidRPr="005D2C51" w:rsidRDefault="002427E5" w:rsidP="002427E5">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1F02DD">
        <w:rPr>
          <w:b/>
          <w:sz w:val="24"/>
          <w:szCs w:val="24"/>
        </w:rPr>
        <w:t>2.3</w:t>
      </w:r>
      <w:r w:rsidR="008F0D8C">
        <w:rPr>
          <w:b/>
          <w:sz w:val="24"/>
          <w:szCs w:val="24"/>
        </w:rPr>
        <w:t>.4</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212204">
        <w:rPr>
          <w:sz w:val="24"/>
          <w:szCs w:val="24"/>
        </w:rPr>
        <w:tab/>
      </w:r>
      <w:r w:rsidR="008F0D8C" w:rsidRPr="008F0D8C">
        <w:rPr>
          <w:b/>
          <w:sz w:val="24"/>
          <w:szCs w:val="24"/>
        </w:rPr>
        <w:t>Mechanisms for supporting access and backhaul link multiplexing</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3E2741" w:rsidRDefault="003E2741" w:rsidP="003E2741">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rsidR="003E2741" w:rsidRDefault="003E2741" w:rsidP="003E2741">
      <w:pPr>
        <w:numPr>
          <w:ilvl w:val="0"/>
          <w:numId w:val="19"/>
        </w:numPr>
        <w:spacing w:beforeLines="60" w:before="144" w:afterLines="60" w:after="144" w:line="256" w:lineRule="auto"/>
        <w:jc w:val="left"/>
        <w:rPr>
          <w:rFonts w:asciiTheme="minorHAnsi" w:hAnsiTheme="minorHAnsi"/>
        </w:rPr>
      </w:pPr>
      <w:r>
        <w:t xml:space="preserve">Specification of mechanisms for resource multiplexing among backhaul and access links. This includes: </w:t>
      </w:r>
    </w:p>
    <w:p w:rsidR="003E2741" w:rsidRDefault="003E2741" w:rsidP="003E2741">
      <w:pPr>
        <w:numPr>
          <w:ilvl w:val="1"/>
          <w:numId w:val="19"/>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3E2741" w:rsidRDefault="003E2741" w:rsidP="003E2741">
      <w:pPr>
        <w:pStyle w:val="ListParagraph"/>
        <w:numPr>
          <w:ilvl w:val="1"/>
          <w:numId w:val="19"/>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rsidR="003E2741" w:rsidRDefault="003E2741" w:rsidP="003E2741">
      <w:pPr>
        <w:numPr>
          <w:ilvl w:val="1"/>
          <w:numId w:val="19"/>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rsidR="003E2741" w:rsidRDefault="003E2741" w:rsidP="003E2741">
      <w:pPr>
        <w:pStyle w:val="ListParagraph"/>
        <w:numPr>
          <w:ilvl w:val="1"/>
          <w:numId w:val="19"/>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rsidR="003E2741" w:rsidRPr="00C724F1" w:rsidRDefault="003E2741" w:rsidP="003E2741">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design considerations for the multiplexing of access and backhaul links</w:t>
      </w:r>
      <w:r w:rsidRPr="00C724F1">
        <w:rPr>
          <w:rFonts w:ascii="Calibri" w:hAnsi="Calibri"/>
        </w:rPr>
        <w:t>.</w:t>
      </w:r>
    </w:p>
    <w:p w:rsidR="00346605" w:rsidRPr="00172743" w:rsidRDefault="00FE4A8C" w:rsidP="00326FF6">
      <w:pPr>
        <w:pStyle w:val="Heading1"/>
      </w:pPr>
      <w:r>
        <w:t>Frame Structure Design for Access and Backhaul Multiplexing</w:t>
      </w:r>
    </w:p>
    <w:p w:rsidR="00BB5132" w:rsidRDefault="00C724F1" w:rsidP="00BB513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r>
        <w:rPr>
          <w:rFonts w:ascii="Calibri" w:hAnsi="Calibri"/>
        </w:rPr>
        <w:t>T</w:t>
      </w:r>
      <w:r w:rsidRPr="00233D70">
        <w:rPr>
          <w:rFonts w:ascii="Calibri" w:hAnsi="Calibri"/>
        </w:rPr>
        <w:t xml:space="preserve">he operation of the different links may be on the same or different frequencies (also termed ‘in-band’ and ‘out-band’ relays). </w:t>
      </w:r>
      <w:r w:rsidR="00BB5132">
        <w:rPr>
          <w:rFonts w:ascii="Calibri" w:hAnsi="Calibri"/>
        </w:rPr>
        <w:t>Each IAB node</w:t>
      </w:r>
      <w:r w:rsidR="00BB5132" w:rsidRPr="00917D0F">
        <w:rPr>
          <w:rFonts w:ascii="Calibri" w:hAnsi="Calibri"/>
        </w:rPr>
        <w:t xml:space="preserve"> </w:t>
      </w:r>
      <w:r w:rsidR="00BB5132">
        <w:rPr>
          <w:rFonts w:ascii="Calibri" w:hAnsi="Calibri"/>
        </w:rPr>
        <w:t>has</w:t>
      </w:r>
      <w:r w:rsidR="00155BC2">
        <w:rPr>
          <w:rFonts w:ascii="Calibri" w:hAnsi="Calibri"/>
        </w:rPr>
        <w:t xml:space="preserve"> both DU functionality (IAB-DU</w:t>
      </w:r>
      <w:r w:rsidR="00B3707E">
        <w:rPr>
          <w:rFonts w:ascii="Calibri" w:hAnsi="Calibri"/>
        </w:rPr>
        <w:t xml:space="preserve">) </w:t>
      </w:r>
      <w:r w:rsidR="00BB5132" w:rsidRPr="00917D0F">
        <w:rPr>
          <w:rFonts w:ascii="Calibri" w:hAnsi="Calibri"/>
        </w:rPr>
        <w:t xml:space="preserve">as well as </w:t>
      </w:r>
      <w:r w:rsidR="00BB5132">
        <w:rPr>
          <w:rFonts w:ascii="Calibri" w:hAnsi="Calibri"/>
        </w:rPr>
        <w:t>UE</w:t>
      </w:r>
      <w:r w:rsidR="00155BC2">
        <w:rPr>
          <w:rFonts w:ascii="Calibri" w:hAnsi="Calibri"/>
        </w:rPr>
        <w:t>-like</w:t>
      </w:r>
      <w:r w:rsidR="00BB5132">
        <w:rPr>
          <w:rFonts w:ascii="Calibri" w:hAnsi="Calibri"/>
        </w:rPr>
        <w:t xml:space="preserve"> </w:t>
      </w:r>
      <w:r w:rsidR="00BB5132" w:rsidRPr="00917D0F">
        <w:rPr>
          <w:rFonts w:ascii="Calibri" w:hAnsi="Calibri"/>
        </w:rPr>
        <w:t>functionality</w:t>
      </w:r>
      <w:r w:rsidR="00B3707E">
        <w:rPr>
          <w:rFonts w:ascii="Calibri" w:hAnsi="Calibri"/>
        </w:rPr>
        <w:t xml:space="preserve"> (</w:t>
      </w:r>
      <w:r w:rsidR="00155BC2">
        <w:rPr>
          <w:rFonts w:ascii="Calibri" w:hAnsi="Calibri"/>
        </w:rPr>
        <w:t>IAB-MT</w:t>
      </w:r>
      <w:r w:rsidR="00B3707E">
        <w:rPr>
          <w:rFonts w:ascii="Calibri" w:hAnsi="Calibri"/>
        </w:rPr>
        <w:t>)</w:t>
      </w:r>
      <w:r w:rsidR="00BB5132" w:rsidRPr="00917D0F">
        <w:rPr>
          <w:rFonts w:ascii="Calibri" w:hAnsi="Calibri"/>
        </w:rPr>
        <w:t xml:space="preserve">. The relay </w:t>
      </w:r>
      <w:r w:rsidR="00BB5132">
        <w:rPr>
          <w:rFonts w:ascii="Calibri" w:hAnsi="Calibri"/>
        </w:rPr>
        <w:t>is connected to an IAB node</w:t>
      </w:r>
      <w:r w:rsidR="00BB5132" w:rsidRPr="00917D0F">
        <w:rPr>
          <w:rFonts w:ascii="Calibri" w:hAnsi="Calibri"/>
        </w:rPr>
        <w:t xml:space="preserve"> of a higher hop order</w:t>
      </w:r>
      <w:r w:rsidR="00BB5132">
        <w:rPr>
          <w:rFonts w:ascii="Calibri" w:hAnsi="Calibri"/>
        </w:rPr>
        <w:t xml:space="preserve"> </w:t>
      </w:r>
      <w:r w:rsidR="00155BC2">
        <w:rPr>
          <w:rFonts w:ascii="Calibri" w:hAnsi="Calibri"/>
        </w:rPr>
        <w:t xml:space="preserve">in a similar way </w:t>
      </w:r>
      <w:r w:rsidR="00BB5132">
        <w:rPr>
          <w:rFonts w:ascii="Calibri" w:hAnsi="Calibri"/>
        </w:rPr>
        <w:t xml:space="preserve">as a UE, while the IAB node </w:t>
      </w:r>
      <w:r w:rsidR="00BB5132" w:rsidRPr="00917D0F">
        <w:rPr>
          <w:rFonts w:ascii="Calibri" w:hAnsi="Calibri"/>
        </w:rPr>
        <w:t>serves relay UEs inside IAB nodes of lower hop orders or its own access UEs.</w:t>
      </w:r>
    </w:p>
    <w:p w:rsidR="00C724F1" w:rsidRDefault="00C724F1" w:rsidP="00EE2068">
      <w:pPr>
        <w:pStyle w:val="maintext"/>
        <w:ind w:firstLineChars="0" w:firstLine="0"/>
        <w:rPr>
          <w:rFonts w:ascii="Calibri" w:hAnsi="Calibri"/>
        </w:rPr>
      </w:pPr>
    </w:p>
    <w:p w:rsidR="00C724F1" w:rsidRPr="00EC51BC" w:rsidRDefault="00DE2A3F" w:rsidP="00C724F1">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extent cx="4629150" cy="17145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7267" cy="1717506"/>
                    </a:xfrm>
                    <a:prstGeom prst="rect">
                      <a:avLst/>
                    </a:prstGeom>
                    <a:noFill/>
                    <a:ln>
                      <a:noFill/>
                    </a:ln>
                  </pic:spPr>
                </pic:pic>
              </a:graphicData>
            </a:graphic>
          </wp:inline>
        </w:drawing>
      </w:r>
    </w:p>
    <w:p w:rsidR="00C724F1" w:rsidRPr="00BB5132" w:rsidRDefault="00C724F1" w:rsidP="00C724F1">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rsidR="00FD791D" w:rsidRDefault="00BB5132" w:rsidP="00BB5132">
      <w:pPr>
        <w:pStyle w:val="maintext"/>
        <w:ind w:firstLineChars="0" w:firstLine="0"/>
        <w:rPr>
          <w:rFonts w:ascii="Calibri" w:hAnsi="Calibri"/>
        </w:rPr>
      </w:pPr>
      <w:r>
        <w:rPr>
          <w:rFonts w:ascii="Calibri" w:hAnsi="Calibri"/>
        </w:rPr>
        <w:lastRenderedPageBreak/>
        <w:t xml:space="preserve">In addition, for in-band operation </w:t>
      </w:r>
      <w:r w:rsidR="00FD791D">
        <w:rPr>
          <w:rFonts w:ascii="Calibri" w:hAnsi="Calibri"/>
        </w:rPr>
        <w:t>IAB</w:t>
      </w:r>
      <w:r w:rsidR="00FD791D" w:rsidRPr="00BA6FDB">
        <w:rPr>
          <w:rFonts w:ascii="Calibri" w:hAnsi="Calibri"/>
        </w:rPr>
        <w:t xml:space="preserve"> nodes</w:t>
      </w:r>
      <w:r>
        <w:rPr>
          <w:rFonts w:ascii="Calibri" w:hAnsi="Calibri"/>
        </w:rPr>
        <w:t xml:space="preserve"> are assumed to operate with a half-duplex constraint as shown in Figure 2, which means they can only do the following at any given time:</w:t>
      </w:r>
    </w:p>
    <w:p w:rsidR="00FD791D" w:rsidRPr="0057145F" w:rsidRDefault="00FD791D" w:rsidP="0021262A">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rsidR="00FD791D" w:rsidRDefault="00FD791D" w:rsidP="0021262A">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rsidR="00FD791D" w:rsidRDefault="00FD791D" w:rsidP="00FD791D">
      <w:pPr>
        <w:pStyle w:val="maintext"/>
        <w:ind w:firstLineChars="0" w:firstLine="0"/>
        <w:rPr>
          <w:rFonts w:ascii="Calibri" w:hAnsi="Calibri"/>
        </w:rPr>
      </w:pPr>
    </w:p>
    <w:p w:rsidR="00FD791D" w:rsidRDefault="00DE2A3F" w:rsidP="00FD791D">
      <w:pPr>
        <w:pStyle w:val="maintext"/>
        <w:keepNext/>
        <w:ind w:firstLineChars="0" w:firstLine="0"/>
        <w:jc w:val="center"/>
      </w:pPr>
      <w:r>
        <w:rPr>
          <w:noProof/>
          <w:color w:val="1F497D"/>
          <w:lang w:val="en-US" w:eastAsia="en-US"/>
        </w:rPr>
        <w:drawing>
          <wp:inline distT="0" distB="0" distL="0" distR="0">
            <wp:extent cx="4714875" cy="3169483"/>
            <wp:effectExtent l="0" t="0" r="0" b="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723396" cy="3175211"/>
                    </a:xfrm>
                    <a:prstGeom prst="rect">
                      <a:avLst/>
                    </a:prstGeom>
                    <a:noFill/>
                    <a:ln>
                      <a:noFill/>
                    </a:ln>
                  </pic:spPr>
                </pic:pic>
              </a:graphicData>
            </a:graphic>
          </wp:inline>
        </w:drawing>
      </w:r>
    </w:p>
    <w:p w:rsidR="00FD791D" w:rsidRDefault="00FD791D" w:rsidP="00FD791D">
      <w:pPr>
        <w:pStyle w:val="maintext"/>
        <w:ind w:firstLineChars="0" w:firstLine="0"/>
        <w:jc w:val="center"/>
        <w:rPr>
          <w:rFonts w:ascii="Calibri" w:hAnsi="Calibri"/>
          <w:b/>
        </w:rPr>
      </w:pPr>
    </w:p>
    <w:p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BB5132">
        <w:rPr>
          <w:rFonts w:ascii="Calibri" w:hAnsi="Calibri"/>
          <w:b/>
          <w:bCs/>
          <w:sz w:val="22"/>
          <w:lang w:val="en-GB" w:eastAsia="zh-CN"/>
        </w:rPr>
        <w:t>2</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alf-duplex constraint at the relay</w:t>
      </w:r>
    </w:p>
    <w:p w:rsidR="0051424F" w:rsidRDefault="00BB5132" w:rsidP="00BB5132">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efficient multiplexing of backhaul and</w:t>
      </w:r>
      <w:r w:rsidRPr="00233D70">
        <w:rPr>
          <w:rFonts w:ascii="Calibri" w:hAnsi="Calibri"/>
        </w:rPr>
        <w:t xml:space="preserve"> access links operating on the same frequency to accommodate</w:t>
      </w:r>
      <w:r>
        <w:rPr>
          <w:rFonts w:ascii="Calibri" w:hAnsi="Calibri"/>
        </w:rPr>
        <w:t xml:space="preserve"> half-</w:t>
      </w:r>
      <w:r w:rsidRPr="00233D70">
        <w:rPr>
          <w:rFonts w:ascii="Calibri" w:hAnsi="Calibri"/>
        </w:rPr>
        <w:t>duplex constraints an</w:t>
      </w:r>
      <w:r>
        <w:rPr>
          <w:rFonts w:ascii="Calibri" w:hAnsi="Calibri"/>
        </w:rPr>
        <w:t>d avoid/mitigate interference.</w:t>
      </w:r>
    </w:p>
    <w:p w:rsidR="00FE4A8C" w:rsidRDefault="00FE4A8C" w:rsidP="00632789">
      <w:pPr>
        <w:pStyle w:val="maintext"/>
        <w:ind w:firstLineChars="0" w:firstLine="0"/>
        <w:rPr>
          <w:rFonts w:ascii="Calibri" w:hAnsi="Calibri"/>
        </w:rPr>
      </w:pPr>
    </w:p>
    <w:p w:rsidR="00155BC2" w:rsidRDefault="00766B7B" w:rsidP="00155BC2">
      <w:pPr>
        <w:pStyle w:val="Heading2"/>
      </w:pPr>
      <w:r>
        <w:t>Semi-static frame structure coordination</w:t>
      </w:r>
    </w:p>
    <w:p w:rsidR="00632789" w:rsidRPr="00222811" w:rsidRDefault="00C724F1" w:rsidP="00632789">
      <w:pPr>
        <w:pStyle w:val="maintext"/>
        <w:ind w:firstLineChars="0" w:firstLine="0"/>
        <w:rPr>
          <w:rFonts w:ascii="Calibri" w:eastAsia="Times New Roman" w:hAnsi="Calibri" w:cs="Times New Roman"/>
          <w:color w:val="000000"/>
          <w:lang w:eastAsia="zh-CN"/>
        </w:rPr>
      </w:pPr>
      <w:r>
        <w:rPr>
          <w:rFonts w:ascii="Calibri" w:hAnsi="Calibri"/>
        </w:rPr>
        <w:t xml:space="preserve">A key advantage of IAB is that </w:t>
      </w:r>
      <w:proofErr w:type="gramStart"/>
      <w:r>
        <w:rPr>
          <w:rFonts w:ascii="Calibri" w:hAnsi="Calibri"/>
        </w:rPr>
        <w:t>b</w:t>
      </w:r>
      <w:r w:rsidRPr="00E725D9">
        <w:rPr>
          <w:rFonts w:ascii="Calibri" w:hAnsi="Calibri"/>
        </w:rPr>
        <w:t>ackhaul</w:t>
      </w:r>
      <w:proofErr w:type="gramEnd"/>
      <w:r w:rsidRPr="00E725D9">
        <w:rPr>
          <w:rFonts w:ascii="Calibri" w:hAnsi="Calibri"/>
        </w:rPr>
        <w:t xml:space="preserve"> and access are integrated and multiplexed in the scheduler, allowing very dynamic resource allocation between the backhaul and access links</w:t>
      </w:r>
      <w:r>
        <w:rPr>
          <w:rFonts w:ascii="Calibri" w:hAnsi="Calibri"/>
        </w:rPr>
        <w:t xml:space="preserve"> (in both DL and UL directions)</w:t>
      </w:r>
      <w:r w:rsidRPr="00E725D9">
        <w:rPr>
          <w:rFonts w:ascii="Calibri" w:hAnsi="Calibri"/>
        </w:rPr>
        <w:t>.</w:t>
      </w:r>
      <w:r>
        <w:rPr>
          <w:rFonts w:ascii="Calibri" w:hAnsi="Calibri"/>
        </w:rPr>
        <w:t xml:space="preserve"> </w:t>
      </w:r>
      <w:r w:rsidR="00632789" w:rsidRPr="00222811">
        <w:rPr>
          <w:rFonts w:ascii="Calibri" w:eastAsia="Times New Roman" w:hAnsi="Calibri" w:cs="Times New Roman"/>
          <w:color w:val="000000"/>
          <w:lang w:eastAsia="zh-CN"/>
        </w:rPr>
        <w:t xml:space="preserve">Even though the IAB relay node consists of </w:t>
      </w:r>
      <w:r w:rsidR="00B3707E">
        <w:rPr>
          <w:rFonts w:ascii="Calibri" w:eastAsia="Times New Roman" w:hAnsi="Calibri" w:cs="Times New Roman"/>
          <w:color w:val="000000"/>
          <w:lang w:eastAsia="zh-CN"/>
        </w:rPr>
        <w:t>two</w:t>
      </w:r>
      <w:r w:rsidR="00632789" w:rsidRPr="00222811">
        <w:rPr>
          <w:rFonts w:ascii="Calibri" w:eastAsia="Times New Roman" w:hAnsi="Calibri" w:cs="Times New Roman"/>
          <w:color w:val="000000"/>
          <w:lang w:eastAsia="zh-CN"/>
        </w:rPr>
        <w:t xml:space="preserve"> logical nodes each with its own</w:t>
      </w:r>
      <w:r w:rsidR="00B3707E">
        <w:rPr>
          <w:rFonts w:ascii="Calibri" w:eastAsia="Times New Roman" w:hAnsi="Calibri" w:cs="Times New Roman"/>
          <w:color w:val="000000"/>
          <w:lang w:eastAsia="zh-CN"/>
        </w:rPr>
        <w:t xml:space="preserve"> protocol</w:t>
      </w:r>
      <w:r w:rsidR="00632789" w:rsidRPr="00222811">
        <w:rPr>
          <w:rFonts w:ascii="Calibri" w:eastAsia="Times New Roman" w:hAnsi="Calibri" w:cs="Times New Roman"/>
          <w:color w:val="000000"/>
          <w:lang w:eastAsia="zh-CN"/>
        </w:rPr>
        <w:t xml:space="preserve"> stack, the physical transceiver is shared between them. In other </w:t>
      </w:r>
      <w:proofErr w:type="gramStart"/>
      <w:r w:rsidR="00632789" w:rsidRPr="00222811">
        <w:rPr>
          <w:rFonts w:ascii="Calibri" w:eastAsia="Times New Roman" w:hAnsi="Calibri" w:cs="Times New Roman"/>
          <w:color w:val="000000"/>
          <w:lang w:eastAsia="zh-CN"/>
        </w:rPr>
        <w:t>words</w:t>
      </w:r>
      <w:proofErr w:type="gramEnd"/>
      <w:r w:rsidR="00632789" w:rsidRPr="00222811">
        <w:rPr>
          <w:rFonts w:ascii="Calibri" w:eastAsia="Times New Roman" w:hAnsi="Calibri" w:cs="Times New Roman"/>
          <w:color w:val="000000"/>
          <w:lang w:eastAsia="zh-CN"/>
        </w:rPr>
        <w:t xml:space="preserve"> the PHY of the </w:t>
      </w:r>
      <w:r w:rsidR="001E02F3">
        <w:rPr>
          <w:rFonts w:ascii="Calibri" w:eastAsia="Times New Roman" w:hAnsi="Calibri" w:cs="Times New Roman"/>
          <w:color w:val="000000"/>
          <w:lang w:eastAsia="zh-CN"/>
        </w:rPr>
        <w:t>MT</w:t>
      </w:r>
      <w:r w:rsidR="00632789" w:rsidRPr="00222811">
        <w:rPr>
          <w:rFonts w:ascii="Calibri" w:eastAsia="Times New Roman" w:hAnsi="Calibri" w:cs="Times New Roman"/>
          <w:color w:val="000000"/>
          <w:lang w:eastAsia="zh-CN"/>
        </w:rPr>
        <w:t xml:space="preserve"> and the PHY of the DU run on the same transceiver systems. The backhaul link and the access link can therefore be multiplexed in the following manner: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Time Division Multiplexing</w:t>
      </w:r>
      <w:r w:rsidRPr="00222811">
        <w:rPr>
          <w:rFonts w:ascii="Calibri" w:eastAsia="Times New Roman" w:hAnsi="Calibri" w:cs="Times New Roman"/>
          <w:color w:val="000000"/>
          <w:lang w:eastAsia="zh-CN"/>
        </w:rPr>
        <w:t xml:space="preserve">: The access link and the backhaul link are time multiplexed with each other. This implies that </w:t>
      </w:r>
      <w:r w:rsidR="006703A8">
        <w:rPr>
          <w:rFonts w:ascii="Calibri" w:eastAsia="Times New Roman" w:hAnsi="Calibri" w:cs="Times New Roman"/>
          <w:color w:val="000000"/>
          <w:lang w:eastAsia="zh-CN"/>
        </w:rPr>
        <w:t>IAB-MT</w:t>
      </w:r>
      <w:r w:rsidRPr="00222811">
        <w:rPr>
          <w:rFonts w:ascii="Calibri" w:eastAsia="Times New Roman" w:hAnsi="Calibri" w:cs="Times New Roman"/>
          <w:color w:val="000000"/>
          <w:lang w:eastAsia="zh-CN"/>
        </w:rPr>
        <w:t xml:space="preserve"> PHY and </w:t>
      </w:r>
      <w:r w:rsidR="006703A8">
        <w:rPr>
          <w:rFonts w:ascii="Calibri" w:eastAsia="Times New Roman" w:hAnsi="Calibri" w:cs="Times New Roman"/>
          <w:color w:val="000000"/>
          <w:lang w:eastAsia="zh-CN"/>
        </w:rPr>
        <w:t>IAB-DU</w:t>
      </w:r>
      <w:r w:rsidRPr="00222811">
        <w:rPr>
          <w:rFonts w:ascii="Calibri" w:eastAsia="Times New Roman" w:hAnsi="Calibri" w:cs="Times New Roman"/>
          <w:color w:val="000000"/>
          <w:lang w:eastAsia="zh-CN"/>
        </w:rPr>
        <w:t xml:space="preserve"> PHY are not active simultaneously.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Frequency Division Multiplexing</w:t>
      </w:r>
      <w:r w:rsidRPr="00222811">
        <w:rPr>
          <w:rFonts w:ascii="Calibri" w:eastAsia="Times New Roman" w:hAnsi="Calibri" w:cs="Times New Roman"/>
          <w:color w:val="000000"/>
          <w:lang w:eastAsia="zh-CN"/>
        </w:rPr>
        <w:t xml:space="preserve">: The access link and the backhaul link are active at the same time but on different frequency resources, e.g. on separate CC or on separate PRB on the same CC.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Spatial Multiplexing</w:t>
      </w:r>
      <w:r w:rsidRPr="00222811">
        <w:rPr>
          <w:rFonts w:ascii="Calibri" w:eastAsia="Times New Roman" w:hAnsi="Calibri" w:cs="Times New Roman"/>
          <w:color w:val="000000"/>
          <w:lang w:eastAsia="zh-CN"/>
        </w:rPr>
        <w:t xml:space="preserve">: The access link and the backhaul link are active at the same time on the same frequency resources. This case further be divided in to the two following cases: </w:t>
      </w:r>
    </w:p>
    <w:p w:rsidR="00632789" w:rsidRPr="00222811" w:rsidRDefault="00632789" w:rsidP="0021262A">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Intra Panel SDM: The access and backhaul use the same panel but different spatial layers</w:t>
      </w:r>
    </w:p>
    <w:p w:rsidR="00632789" w:rsidRPr="00222811" w:rsidRDefault="00632789" w:rsidP="0021262A">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Inter Panel SDM: The access and backhaul use different panels</w:t>
      </w:r>
    </w:p>
    <w:p w:rsidR="00155BC2" w:rsidRDefault="00155BC2" w:rsidP="00504C05">
      <w:pPr>
        <w:pStyle w:val="maintext"/>
        <w:ind w:firstLineChars="0" w:firstLine="0"/>
        <w:rPr>
          <w:rFonts w:ascii="Calibri" w:hAnsi="Calibri"/>
        </w:rPr>
      </w:pPr>
    </w:p>
    <w:p w:rsidR="00155BC2" w:rsidRDefault="00155BC2" w:rsidP="00504C05">
      <w:pPr>
        <w:pStyle w:val="maintext"/>
        <w:ind w:firstLineChars="0" w:firstLine="0"/>
        <w:rPr>
          <w:rFonts w:ascii="Calibri" w:hAnsi="Calibri"/>
        </w:rPr>
      </w:pPr>
    </w:p>
    <w:p w:rsidR="00155BC2" w:rsidRDefault="00B64C5B" w:rsidP="00504C05">
      <w:pPr>
        <w:pStyle w:val="maintext"/>
        <w:ind w:firstLineChars="0" w:firstLine="0"/>
        <w:rPr>
          <w:rFonts w:ascii="Calibri" w:hAnsi="Calibri"/>
        </w:rPr>
      </w:pPr>
      <w:r>
        <w:rPr>
          <w:rFonts w:ascii="Calibri" w:hAnsi="Calibri"/>
        </w:rPr>
        <w:t>In Figure 3</w:t>
      </w:r>
      <w:r w:rsidR="00504C05" w:rsidRPr="00DD27CD">
        <w:rPr>
          <w:rFonts w:ascii="Calibri" w:hAnsi="Calibri"/>
        </w:rPr>
        <w:t>,</w:t>
      </w:r>
      <w:r w:rsidR="00504C05">
        <w:rPr>
          <w:rFonts w:ascii="Calibri" w:hAnsi="Calibri"/>
        </w:rPr>
        <w:t xml:space="preserve"> TDM partitioning is shown with</w:t>
      </w:r>
      <w:r w:rsidR="00504C05" w:rsidRPr="00DD27CD">
        <w:rPr>
          <w:rFonts w:ascii="Calibri" w:hAnsi="Calibri"/>
        </w:rPr>
        <w:t xml:space="preserve"> </w:t>
      </w:r>
      <w:r w:rsidR="00504C05">
        <w:rPr>
          <w:rFonts w:ascii="Calibri" w:hAnsi="Calibri"/>
        </w:rPr>
        <w:t xml:space="preserve">DL/UL switching gaps </w:t>
      </w:r>
      <w:r w:rsidR="00504C05" w:rsidRPr="00DD27CD">
        <w:rPr>
          <w:rFonts w:ascii="Calibri" w:hAnsi="Calibri"/>
        </w:rPr>
        <w:t xml:space="preserve">between both the backhaul directions as well as </w:t>
      </w:r>
      <w:r w:rsidR="00504C05">
        <w:rPr>
          <w:rFonts w:ascii="Calibri" w:hAnsi="Calibri"/>
        </w:rPr>
        <w:t>for the</w:t>
      </w:r>
      <w:r w:rsidR="00504C05" w:rsidRPr="00DD27CD">
        <w:rPr>
          <w:rFonts w:ascii="Calibri" w:hAnsi="Calibri"/>
        </w:rPr>
        <w:t xml:space="preserve"> access links</w:t>
      </w:r>
      <w:r w:rsidR="006703A8">
        <w:rPr>
          <w:rFonts w:ascii="Calibri" w:hAnsi="Calibri"/>
        </w:rPr>
        <w:t>.</w:t>
      </w:r>
      <w:r w:rsidR="00155BC2">
        <w:rPr>
          <w:rFonts w:ascii="Calibri" w:hAnsi="Calibri"/>
        </w:rPr>
        <w:t xml:space="preserve"> </w:t>
      </w:r>
    </w:p>
    <w:p w:rsidR="00155BC2" w:rsidRDefault="00155BC2" w:rsidP="00155BC2">
      <w:pPr>
        <w:pStyle w:val="maintext"/>
        <w:ind w:firstLineChars="0" w:firstLine="0"/>
        <w:rPr>
          <w:rFonts w:ascii="Calibri" w:hAnsi="Calibri"/>
        </w:rPr>
      </w:pPr>
    </w:p>
    <w:p w:rsidR="00155BC2" w:rsidRDefault="00155BC2" w:rsidP="00155BC2">
      <w:pPr>
        <w:pStyle w:val="maintext"/>
        <w:ind w:firstLineChars="0" w:firstLine="0"/>
        <w:jc w:val="center"/>
        <w:rPr>
          <w:rFonts w:ascii="Calibri" w:hAnsi="Calibri"/>
        </w:rPr>
      </w:pPr>
      <w:r w:rsidRPr="00C724F1">
        <w:rPr>
          <w:noProof/>
          <w:lang w:val="en-US" w:eastAsia="en-US"/>
        </w:rPr>
        <w:drawing>
          <wp:inline distT="0" distB="0" distL="0" distR="0" wp14:anchorId="05F1B7B9" wp14:editId="2521FAA4">
            <wp:extent cx="3009900" cy="130873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50327"/>
                    <a:stretch/>
                  </pic:blipFill>
                  <pic:spPr bwMode="auto">
                    <a:xfrm>
                      <a:off x="0" y="0"/>
                      <a:ext cx="3125591" cy="1359033"/>
                    </a:xfrm>
                    <a:prstGeom prst="rect">
                      <a:avLst/>
                    </a:prstGeom>
                    <a:noFill/>
                    <a:ln>
                      <a:noFill/>
                    </a:ln>
                    <a:extLst>
                      <a:ext uri="{53640926-AAD7-44D8-BBD7-CCE9431645EC}">
                        <a14:shadowObscured xmlns:a14="http://schemas.microsoft.com/office/drawing/2010/main"/>
                      </a:ext>
                    </a:extLst>
                  </pic:spPr>
                </pic:pic>
              </a:graphicData>
            </a:graphic>
          </wp:inline>
        </w:drawing>
      </w:r>
    </w:p>
    <w:p w:rsidR="00155BC2" w:rsidRPr="00077712" w:rsidRDefault="00155BC2" w:rsidP="00155BC2">
      <w:pPr>
        <w:pStyle w:val="Caption"/>
        <w:rPr>
          <w:rFonts w:ascii="Calibri" w:hAnsi="Calibri"/>
        </w:rPr>
      </w:pPr>
      <w:bookmarkStart w:id="2" w:name="_Ref450668998"/>
      <w:r w:rsidRPr="00077712">
        <w:rPr>
          <w:rFonts w:ascii="Calibri" w:hAnsi="Calibri"/>
        </w:rPr>
        <w:t xml:space="preserve">Figure </w:t>
      </w:r>
      <w:bookmarkEnd w:id="2"/>
      <w:r w:rsidR="00B64C5B">
        <w:rPr>
          <w:rFonts w:ascii="Calibri" w:hAnsi="Calibri"/>
        </w:rPr>
        <w:t>3</w:t>
      </w:r>
      <w:r w:rsidRPr="00077712">
        <w:rPr>
          <w:rFonts w:ascii="Calibri" w:hAnsi="Calibri"/>
        </w:rPr>
        <w:t>: TDM/FDM of access and backhaul links</w:t>
      </w:r>
    </w:p>
    <w:p w:rsidR="00155BC2" w:rsidRDefault="00155BC2" w:rsidP="00155BC2">
      <w:pPr>
        <w:pStyle w:val="maintext"/>
        <w:ind w:firstLineChars="0" w:firstLine="0"/>
        <w:jc w:val="center"/>
        <w:rPr>
          <w:rFonts w:ascii="Calibri" w:hAnsi="Calibri"/>
        </w:rPr>
      </w:pPr>
    </w:p>
    <w:p w:rsidR="009550DA" w:rsidRDefault="00155BC2" w:rsidP="009550DA">
      <w:pPr>
        <w:pStyle w:val="maintext"/>
        <w:ind w:firstLineChars="0" w:firstLine="0"/>
        <w:rPr>
          <w:rFonts w:ascii="Calibri" w:hAnsi="Calibri"/>
        </w:rPr>
      </w:pPr>
      <w:r>
        <w:rPr>
          <w:rFonts w:ascii="Calibri" w:hAnsi="Calibri"/>
        </w:rPr>
        <w:t xml:space="preserve">TDM multiplexing is the main priority of the IAB WI, however forward compatibility towards support of FDM/SDM must also be ensured in the design of the signalling and coordination mechanisms, as shown in Figure </w:t>
      </w:r>
      <w:r w:rsidR="00B64C5B">
        <w:rPr>
          <w:rFonts w:ascii="Calibri" w:hAnsi="Calibri"/>
        </w:rPr>
        <w:t>4</w:t>
      </w:r>
      <w:r>
        <w:rPr>
          <w:rFonts w:ascii="Calibri" w:hAnsi="Calibri"/>
        </w:rPr>
        <w:t xml:space="preserve"> where a</w:t>
      </w:r>
      <w:r w:rsidR="009550DA" w:rsidRPr="00222811">
        <w:rPr>
          <w:rFonts w:ascii="Calibri" w:hAnsi="Calibri"/>
        </w:rPr>
        <w:t xml:space="preserve"> frame-structu</w:t>
      </w:r>
      <w:r>
        <w:rPr>
          <w:rFonts w:ascii="Calibri" w:hAnsi="Calibri"/>
        </w:rPr>
        <w:t>re across the multiple hops is</w:t>
      </w:r>
      <w:r w:rsidR="009550DA" w:rsidRPr="00222811">
        <w:rPr>
          <w:rFonts w:ascii="Calibri" w:hAnsi="Calibri"/>
        </w:rPr>
        <w:t xml:space="preserve"> staggered </w:t>
      </w:r>
      <w:r>
        <w:rPr>
          <w:rFonts w:ascii="Calibri" w:hAnsi="Calibri"/>
        </w:rPr>
        <w:t>to achieve this objective</w:t>
      </w:r>
      <w:r w:rsidR="009550DA" w:rsidRPr="00222811">
        <w:rPr>
          <w:rFonts w:ascii="Calibri" w:hAnsi="Calibri"/>
        </w:rPr>
        <w:t>.</w:t>
      </w:r>
    </w:p>
    <w:p w:rsidR="009550DA" w:rsidRPr="00222811" w:rsidRDefault="009550DA" w:rsidP="009550DA">
      <w:pPr>
        <w:pStyle w:val="maintext"/>
        <w:ind w:firstLineChars="0" w:firstLine="0"/>
        <w:rPr>
          <w:rFonts w:ascii="Calibri" w:hAnsi="Calibri"/>
        </w:rPr>
      </w:pPr>
    </w:p>
    <w:p w:rsidR="009550DA" w:rsidRDefault="009550DA" w:rsidP="009550DA">
      <w:pPr>
        <w:pStyle w:val="maintext"/>
        <w:ind w:firstLineChars="0" w:firstLine="0"/>
        <w:jc w:val="center"/>
        <w:rPr>
          <w:color w:val="1F497D"/>
        </w:rPr>
      </w:pPr>
      <w:r>
        <w:rPr>
          <w:noProof/>
          <w:color w:val="1F497D"/>
          <w:lang w:val="en-US" w:eastAsia="en-US"/>
        </w:rPr>
        <w:drawing>
          <wp:inline distT="0" distB="0" distL="0" distR="0" wp14:anchorId="4AEB70FD" wp14:editId="455A740D">
            <wp:extent cx="4419600" cy="2418879"/>
            <wp:effectExtent l="0" t="0" r="0" b="635"/>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440327" cy="2430223"/>
                    </a:xfrm>
                    <a:prstGeom prst="rect">
                      <a:avLst/>
                    </a:prstGeom>
                    <a:noFill/>
                    <a:ln>
                      <a:noFill/>
                    </a:ln>
                  </pic:spPr>
                </pic:pic>
              </a:graphicData>
            </a:graphic>
          </wp:inline>
        </w:drawing>
      </w:r>
    </w:p>
    <w:p w:rsidR="009550DA" w:rsidRDefault="009550DA" w:rsidP="009550DA">
      <w:pPr>
        <w:pStyle w:val="Caption"/>
        <w:ind w:left="720"/>
        <w:rPr>
          <w:rFonts w:ascii="Calibri" w:hAnsi="Calibri"/>
        </w:rPr>
      </w:pPr>
      <w:r w:rsidRPr="00077712">
        <w:rPr>
          <w:rFonts w:ascii="Calibri" w:hAnsi="Calibri"/>
        </w:rPr>
        <w:t xml:space="preserve">Figure </w:t>
      </w:r>
      <w:r w:rsidR="00B64C5B">
        <w:rPr>
          <w:rFonts w:ascii="Calibri" w:hAnsi="Calibri"/>
        </w:rPr>
        <w:t>4</w:t>
      </w:r>
      <w:r w:rsidRPr="00077712">
        <w:rPr>
          <w:rFonts w:ascii="Calibri" w:hAnsi="Calibri"/>
        </w:rPr>
        <w:t xml:space="preserve">: </w:t>
      </w:r>
      <w:r>
        <w:rPr>
          <w:rFonts w:ascii="Calibri" w:hAnsi="Calibri"/>
        </w:rPr>
        <w:t>IAB frame structure</w:t>
      </w:r>
    </w:p>
    <w:p w:rsidR="008403AA" w:rsidRDefault="008403AA" w:rsidP="008403AA">
      <w:pPr>
        <w:pStyle w:val="maintext"/>
        <w:ind w:firstLineChars="0" w:firstLine="0"/>
        <w:rPr>
          <w:rFonts w:ascii="Calibri" w:hAnsi="Calibri"/>
        </w:rPr>
      </w:pPr>
      <w:r>
        <w:rPr>
          <w:rFonts w:ascii="Calibri" w:hAnsi="Calibri"/>
        </w:rPr>
        <w:t>The following was captured in the TR 38.874</w:t>
      </w:r>
      <w:r w:rsidR="002528A7">
        <w:rPr>
          <w:rFonts w:ascii="Calibri" w:hAnsi="Calibri"/>
        </w:rPr>
        <w:t xml:space="preserve"> [2]</w:t>
      </w:r>
      <w:r>
        <w:rPr>
          <w:rFonts w:ascii="Calibri" w:hAnsi="Calibri"/>
        </w:rPr>
        <w:t>:</w:t>
      </w:r>
    </w:p>
    <w:p w:rsidR="008403AA" w:rsidRPr="00F207B8" w:rsidRDefault="008403AA" w:rsidP="002528A7">
      <w:pPr>
        <w:ind w:left="284"/>
      </w:pPr>
      <w:bookmarkStart w:id="3" w:name="_Hlk527574480"/>
      <w:bookmarkStart w:id="4" w:name="_Hlk527573589"/>
      <w:r w:rsidRPr="00F207B8">
        <w:t>From an IAB-node MT point-of-view, as in Rel. 15, the following time-domain resources can be indicated for the parent link:</w:t>
      </w:r>
    </w:p>
    <w:bookmarkEnd w:id="3"/>
    <w:p w:rsidR="008403AA" w:rsidRPr="00AD19A6"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Downlink time resource</w:t>
      </w:r>
      <w:r w:rsidRPr="00A02E00">
        <w:rPr>
          <w:rFonts w:eastAsia="Malgun Gothic" w:hint="eastAsia"/>
          <w:lang w:val="en-US" w:eastAsia="ko-KR"/>
        </w:rPr>
        <w:t>;</w:t>
      </w:r>
    </w:p>
    <w:p w:rsidR="008403AA" w:rsidRPr="00AD19A6"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Uplink time resource</w:t>
      </w:r>
      <w:r w:rsidRPr="00A02E00">
        <w:rPr>
          <w:rFonts w:eastAsia="Malgun Gothic" w:hint="eastAsia"/>
          <w:lang w:val="en-US" w:eastAsia="ko-KR"/>
        </w:rPr>
        <w:t>;</w:t>
      </w:r>
    </w:p>
    <w:p w:rsidR="008403AA" w:rsidRPr="00F207B8"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Flexible time resource</w:t>
      </w:r>
      <w:r w:rsidRPr="00A02E00">
        <w:rPr>
          <w:rFonts w:eastAsia="Malgun Gothic" w:hint="eastAsia"/>
          <w:lang w:val="en-US" w:eastAsia="ko-KR"/>
        </w:rPr>
        <w:t>.</w:t>
      </w:r>
    </w:p>
    <w:bookmarkEnd w:id="4"/>
    <w:p w:rsidR="008403AA" w:rsidRPr="00F207B8" w:rsidRDefault="008403AA" w:rsidP="002528A7">
      <w:pPr>
        <w:ind w:left="284"/>
      </w:pPr>
      <w:r w:rsidRPr="00F207B8">
        <w:t>From a</w:t>
      </w:r>
      <w:r>
        <w:t>n</w:t>
      </w:r>
      <w:r w:rsidRPr="00F207B8">
        <w:t xml:space="preserve"> IAB-node DU point-of-view, the child link has the following types of time resources:</w:t>
      </w:r>
    </w:p>
    <w:p w:rsidR="008403AA" w:rsidRPr="00AD19A6"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Downlink time resource</w:t>
      </w:r>
      <w:r w:rsidRPr="00A02E00">
        <w:rPr>
          <w:rFonts w:eastAsia="Malgun Gothic" w:hint="eastAsia"/>
          <w:lang w:val="en-US" w:eastAsia="ko-KR"/>
        </w:rPr>
        <w:t>;</w:t>
      </w:r>
    </w:p>
    <w:p w:rsidR="008403AA" w:rsidRPr="00AD19A6"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Uplink time resource</w:t>
      </w:r>
      <w:r w:rsidRPr="00A02E00">
        <w:rPr>
          <w:rFonts w:eastAsia="Malgun Gothic" w:hint="eastAsia"/>
          <w:lang w:val="en-US" w:eastAsia="ko-KR"/>
        </w:rPr>
        <w:t>;</w:t>
      </w:r>
    </w:p>
    <w:p w:rsidR="008403AA" w:rsidRPr="00F207B8" w:rsidRDefault="008403AA" w:rsidP="002528A7">
      <w:pPr>
        <w:pStyle w:val="B1"/>
        <w:ind w:left="852"/>
        <w:rPr>
          <w:lang w:val="en-US"/>
        </w:rPr>
      </w:pPr>
      <w:r w:rsidRPr="004052EB">
        <w:rPr>
          <w:rFonts w:eastAsia="Malgun Gothic" w:hint="eastAsia"/>
          <w:lang w:val="en-US" w:eastAsia="ko-KR"/>
        </w:rPr>
        <w:lastRenderedPageBreak/>
        <w:t>-</w:t>
      </w:r>
      <w:r w:rsidRPr="004052EB">
        <w:rPr>
          <w:rFonts w:eastAsia="Malgun Gothic" w:hint="eastAsia"/>
          <w:lang w:val="en-US" w:eastAsia="ko-KR"/>
        </w:rPr>
        <w:tab/>
      </w:r>
      <w:r w:rsidRPr="00F207B8">
        <w:rPr>
          <w:lang w:val="en-US"/>
        </w:rPr>
        <w:t>Flexible time resource</w:t>
      </w:r>
      <w:r w:rsidRPr="00A02E00">
        <w:rPr>
          <w:rFonts w:eastAsia="Malgun Gothic" w:hint="eastAsia"/>
          <w:lang w:val="en-US" w:eastAsia="ko-KR"/>
        </w:rPr>
        <w:t>;</w:t>
      </w:r>
    </w:p>
    <w:p w:rsidR="008403AA" w:rsidRPr="00F207B8"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Not available time resources (resources not to be used for communication on the DU child links)</w:t>
      </w:r>
      <w:r w:rsidRPr="00A02E00">
        <w:rPr>
          <w:rFonts w:eastAsia="Malgun Gothic" w:hint="eastAsia"/>
          <w:lang w:val="en-US" w:eastAsia="ko-KR"/>
        </w:rPr>
        <w:t>.</w:t>
      </w:r>
    </w:p>
    <w:p w:rsidR="008403AA" w:rsidRPr="00F207B8" w:rsidRDefault="008403AA" w:rsidP="002528A7">
      <w:pPr>
        <w:ind w:left="284"/>
      </w:pPr>
      <w:r w:rsidRPr="00F207B8">
        <w:t>Each of the downlink, uplink and flexible time-resource types of the DU child link can belong to one of two categories:</w:t>
      </w:r>
    </w:p>
    <w:p w:rsidR="008403AA" w:rsidRPr="00F207B8"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Hard: The corresponding time resource is always available for the DU child link</w:t>
      </w:r>
      <w:r w:rsidRPr="00A02E00">
        <w:rPr>
          <w:rFonts w:eastAsia="Malgun Gothic" w:hint="eastAsia"/>
          <w:lang w:val="en-US" w:eastAsia="ko-KR"/>
        </w:rPr>
        <w:t>;</w:t>
      </w:r>
      <w:r w:rsidRPr="00F207B8">
        <w:rPr>
          <w:lang w:val="en-US"/>
        </w:rPr>
        <w:t xml:space="preserve"> </w:t>
      </w:r>
    </w:p>
    <w:p w:rsidR="008403AA" w:rsidRPr="00F207B8"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Soft: The availability of the corresponding time resource for the DU child link is explicitly and/or implicitly controlled by the parent node</w:t>
      </w:r>
      <w:r>
        <w:rPr>
          <w:lang w:val="en-US"/>
        </w:rPr>
        <w:t>.</w:t>
      </w:r>
    </w:p>
    <w:p w:rsidR="008403AA" w:rsidRDefault="008403AA" w:rsidP="008403AA">
      <w:pPr>
        <w:pStyle w:val="maintext"/>
        <w:ind w:firstLineChars="0" w:firstLine="0"/>
      </w:pPr>
    </w:p>
    <w:p w:rsidR="00B66646" w:rsidRDefault="00B66646" w:rsidP="008403AA">
      <w:pPr>
        <w:pStyle w:val="maintext"/>
        <w:ind w:firstLineChars="0" w:firstLine="0"/>
      </w:pPr>
      <w:r>
        <w:t xml:space="preserve">During RAN1 NR </w:t>
      </w:r>
      <w:proofErr w:type="spellStart"/>
      <w:r>
        <w:t>Adoc</w:t>
      </w:r>
      <w:proofErr w:type="spellEnd"/>
      <w:r>
        <w:t xml:space="preserve"> #4 the following agreements were made:</w:t>
      </w:r>
    </w:p>
    <w:p w:rsidR="00B66646" w:rsidRPr="006A78E4" w:rsidRDefault="00B66646" w:rsidP="00B66646">
      <w:pPr>
        <w:rPr>
          <w:lang w:eastAsia="x-none"/>
        </w:rPr>
      </w:pPr>
      <w:r w:rsidRPr="006A78E4">
        <w:rPr>
          <w:highlight w:val="green"/>
          <w:lang w:eastAsia="x-none"/>
        </w:rPr>
        <w:t>Agreements</w:t>
      </w:r>
      <w:r w:rsidRPr="006A78E4">
        <w:rPr>
          <w:lang w:eastAsia="x-none"/>
        </w:rPr>
        <w:t>:</w:t>
      </w:r>
    </w:p>
    <w:p w:rsidR="00B66646" w:rsidRPr="00791C0F" w:rsidRDefault="00B66646" w:rsidP="00B66646">
      <w:r w:rsidRPr="00791C0F">
        <w:t>At least existing resource definitions (D/U/F) and semi-static and dynamic signaling methods defined in Rel-15 for access UEs are reused for configuration and indication of MT resources to be used by the backhaul link between the IAB node and its parent.</w:t>
      </w:r>
    </w:p>
    <w:p w:rsidR="00B66646" w:rsidRPr="00791C0F" w:rsidRDefault="00B66646" w:rsidP="00B66646">
      <w:pPr>
        <w:numPr>
          <w:ilvl w:val="0"/>
          <w:numId w:val="23"/>
        </w:numPr>
      </w:pPr>
      <w:r w:rsidRPr="00791C0F">
        <w:t>FFS details</w:t>
      </w:r>
    </w:p>
    <w:p w:rsidR="00B66646" w:rsidRDefault="00B66646" w:rsidP="00B66646">
      <w:pPr>
        <w:rPr>
          <w:lang w:eastAsia="x-none"/>
        </w:rPr>
      </w:pPr>
    </w:p>
    <w:p w:rsidR="00B66646" w:rsidRPr="006A78E4" w:rsidRDefault="00B66646" w:rsidP="00B66646">
      <w:pPr>
        <w:rPr>
          <w:lang w:eastAsia="x-none"/>
        </w:rPr>
      </w:pPr>
      <w:r w:rsidRPr="006A78E4">
        <w:rPr>
          <w:highlight w:val="green"/>
          <w:lang w:eastAsia="x-none"/>
        </w:rPr>
        <w:t>Agreements</w:t>
      </w:r>
      <w:r w:rsidRPr="006A78E4">
        <w:rPr>
          <w:lang w:eastAsia="x-none"/>
        </w:rPr>
        <w:t>:</w:t>
      </w:r>
    </w:p>
    <w:p w:rsidR="00B66646" w:rsidRPr="006A78E4" w:rsidRDefault="00B66646" w:rsidP="00B66646">
      <w:r w:rsidRPr="006A78E4">
        <w:t>IAB-node/IAB-donor DU resources are provided by a semi-static configuration which is provided separately from the MT resource indication</w:t>
      </w:r>
    </w:p>
    <w:p w:rsidR="00B66646" w:rsidRPr="006A78E4" w:rsidRDefault="00B66646" w:rsidP="00B66646">
      <w:pPr>
        <w:numPr>
          <w:ilvl w:val="0"/>
          <w:numId w:val="23"/>
        </w:numPr>
      </w:pPr>
      <w:r w:rsidRPr="006A78E4">
        <w:t xml:space="preserve">FFS: whether the configuration is per-link or per-DU </w:t>
      </w:r>
    </w:p>
    <w:p w:rsidR="00B66646" w:rsidRPr="006A78E4" w:rsidRDefault="00B66646" w:rsidP="00B66646">
      <w:pPr>
        <w:numPr>
          <w:ilvl w:val="0"/>
          <w:numId w:val="23"/>
        </w:numPr>
      </w:pPr>
      <w:r w:rsidRPr="006A78E4">
        <w:t>FFS: details for the configuration</w:t>
      </w:r>
    </w:p>
    <w:p w:rsidR="00B66646" w:rsidRPr="008403AA" w:rsidRDefault="00B66646" w:rsidP="008403AA">
      <w:pPr>
        <w:pStyle w:val="maintext"/>
        <w:ind w:firstLineChars="0" w:firstLine="0"/>
      </w:pPr>
    </w:p>
    <w:p w:rsidR="008403AA" w:rsidRDefault="002528A7" w:rsidP="009550DA">
      <w:pPr>
        <w:pStyle w:val="maintext"/>
        <w:ind w:firstLineChars="0" w:firstLine="0"/>
        <w:rPr>
          <w:rFonts w:ascii="Calibri" w:hAnsi="Calibri"/>
        </w:rPr>
      </w:pPr>
      <w:proofErr w:type="gramStart"/>
      <w:r>
        <w:rPr>
          <w:rFonts w:ascii="Calibri" w:hAnsi="Calibri"/>
        </w:rPr>
        <w:t>In order to</w:t>
      </w:r>
      <w:proofErr w:type="gramEnd"/>
      <w:r>
        <w:rPr>
          <w:rFonts w:ascii="Calibri" w:hAnsi="Calibri"/>
        </w:rPr>
        <w:t xml:space="preserve"> achieve TDM partitioning of parent and child links while also enabling FDM or SDM in a forward compatible manner, the following two principles need to be supported in the design of the coordination signalling:</w:t>
      </w:r>
    </w:p>
    <w:p w:rsidR="002528A7" w:rsidRDefault="002528A7" w:rsidP="002528A7">
      <w:pPr>
        <w:pStyle w:val="maintext"/>
        <w:numPr>
          <w:ilvl w:val="0"/>
          <w:numId w:val="20"/>
        </w:numPr>
        <w:ind w:firstLineChars="0"/>
        <w:rPr>
          <w:rFonts w:ascii="Calibri" w:hAnsi="Calibri"/>
        </w:rPr>
      </w:pPr>
      <w:r>
        <w:rPr>
          <w:rFonts w:ascii="Calibri" w:hAnsi="Calibri"/>
        </w:rPr>
        <w:t>Explicit configuration of whether a resource for a given DU child link is Hard or Soft</w:t>
      </w:r>
    </w:p>
    <w:p w:rsidR="002528A7" w:rsidRDefault="002528A7" w:rsidP="002528A7">
      <w:pPr>
        <w:pStyle w:val="maintext"/>
        <w:numPr>
          <w:ilvl w:val="0"/>
          <w:numId w:val="20"/>
        </w:numPr>
        <w:ind w:firstLineChars="0"/>
        <w:rPr>
          <w:rFonts w:ascii="Calibri" w:hAnsi="Calibri"/>
        </w:rPr>
      </w:pPr>
      <w:r>
        <w:rPr>
          <w:rFonts w:ascii="Calibri" w:hAnsi="Calibri"/>
        </w:rPr>
        <w:t>Explicit indication of whether given time resources are available or not available from the IAB node’s perspective</w:t>
      </w:r>
    </w:p>
    <w:p w:rsidR="00815023" w:rsidRDefault="00815023" w:rsidP="002528A7">
      <w:pPr>
        <w:pStyle w:val="maintext"/>
        <w:ind w:firstLineChars="0" w:firstLine="0"/>
        <w:rPr>
          <w:rFonts w:ascii="Calibri" w:hAnsi="Calibri"/>
        </w:rPr>
      </w:pPr>
    </w:p>
    <w:p w:rsidR="002528A7" w:rsidRDefault="002528A7" w:rsidP="002528A7">
      <w:pPr>
        <w:pStyle w:val="maintext"/>
        <w:ind w:firstLineChars="0" w:firstLine="0"/>
        <w:rPr>
          <w:rFonts w:ascii="Calibri" w:hAnsi="Calibri"/>
        </w:rPr>
      </w:pPr>
      <w:r>
        <w:rPr>
          <w:rFonts w:ascii="Calibri" w:hAnsi="Calibri"/>
        </w:rPr>
        <w:t>This is illustrated well in Tables 7.3.3-1 and 7.3.3-2 in TR 38.874, which capture the DU/MT behaviour of an IAB node depending on whether TDM or SDM operation is supported. For example, in case of TDM operation a given slot which is used by the parent link for DL transmissions to the MT should be indicated to be not-available for the DU child link</w:t>
      </w:r>
      <w:r w:rsidR="00766B7B">
        <w:rPr>
          <w:rFonts w:ascii="Calibri" w:hAnsi="Calibri"/>
        </w:rPr>
        <w:t xml:space="preserve">, while </w:t>
      </w:r>
      <w:r>
        <w:rPr>
          <w:rFonts w:ascii="Calibri" w:hAnsi="Calibri"/>
        </w:rPr>
        <w:t>a given slot which is not used by the parent link for either DL/UL transmissions to/from the UE should be indicated as either Downlink-Hard or Uplink-Hard</w:t>
      </w:r>
      <w:r w:rsidR="00766B7B">
        <w:rPr>
          <w:rFonts w:ascii="Calibri" w:hAnsi="Calibri"/>
        </w:rPr>
        <w:t>. However, if SDM operation is supported, it is straightforward to change the indication of not-available resources to either DL or UL resources for the DU child link (or flexible if dynamic coordination is supported as discussed in the next section).</w:t>
      </w:r>
    </w:p>
    <w:p w:rsidR="002528A7" w:rsidRDefault="00766B7B" w:rsidP="009550DA">
      <w:pPr>
        <w:pStyle w:val="maintext"/>
        <w:ind w:firstLineChars="0" w:firstLine="0"/>
        <w:rPr>
          <w:rFonts w:ascii="Calibri" w:hAnsi="Calibri"/>
        </w:rPr>
      </w:pPr>
      <w:r>
        <w:rPr>
          <w:rFonts w:ascii="Calibri" w:hAnsi="Calibri"/>
        </w:rPr>
        <w:t>While implicit indication of available/not-available and hard/soft could be used to support TDM operation, it becomes very challenging to later add support of SDM operation, since additional IAB node behaviour or signalling must be introduced to avoid confusion about the correct utilization of a given resources.</w:t>
      </w:r>
    </w:p>
    <w:p w:rsidR="009550DA" w:rsidRDefault="009550DA" w:rsidP="009550DA">
      <w:pPr>
        <w:pStyle w:val="maintext"/>
        <w:ind w:firstLineChars="0" w:firstLine="0"/>
        <w:rPr>
          <w:rFonts w:ascii="Calibri" w:hAnsi="Calibri"/>
          <w:b/>
        </w:rPr>
      </w:pPr>
      <w:r w:rsidRPr="00057E9B">
        <w:rPr>
          <w:rFonts w:ascii="Calibri" w:hAnsi="Calibri"/>
          <w:b/>
        </w:rPr>
        <w:t xml:space="preserve">Proposal </w:t>
      </w:r>
      <w:r w:rsidR="008563DB">
        <w:rPr>
          <w:rFonts w:ascii="Calibri" w:hAnsi="Calibri"/>
          <w:b/>
        </w:rPr>
        <w:t>1</w:t>
      </w:r>
      <w:r w:rsidRPr="00057E9B">
        <w:rPr>
          <w:rFonts w:ascii="Calibri" w:hAnsi="Calibri"/>
          <w:b/>
        </w:rPr>
        <w:t xml:space="preserve">: </w:t>
      </w:r>
      <w:proofErr w:type="gramStart"/>
      <w:r w:rsidR="00766B7B">
        <w:rPr>
          <w:rFonts w:ascii="Calibri" w:hAnsi="Calibri"/>
          <w:b/>
        </w:rPr>
        <w:t>In order to</w:t>
      </w:r>
      <w:proofErr w:type="gramEnd"/>
      <w:r w:rsidR="00766B7B">
        <w:rPr>
          <w:rFonts w:ascii="Calibri" w:hAnsi="Calibri"/>
          <w:b/>
        </w:rPr>
        <w:t xml:space="preserve"> enable TDM operation with forward compatibility to SDM/FDM operation, f</w:t>
      </w:r>
      <w:r>
        <w:rPr>
          <w:rFonts w:ascii="Calibri" w:hAnsi="Calibri"/>
          <w:b/>
        </w:rPr>
        <w:t xml:space="preserve">rame structure coordination </w:t>
      </w:r>
      <w:r w:rsidR="00766B7B">
        <w:rPr>
          <w:rFonts w:ascii="Calibri" w:hAnsi="Calibri"/>
          <w:b/>
        </w:rPr>
        <w:t>for IAB nodes</w:t>
      </w:r>
      <w:r>
        <w:rPr>
          <w:rFonts w:ascii="Calibri" w:hAnsi="Calibri"/>
          <w:b/>
        </w:rPr>
        <w:t xml:space="preserve"> </w:t>
      </w:r>
      <w:r w:rsidR="00766B7B">
        <w:rPr>
          <w:rFonts w:ascii="Calibri" w:hAnsi="Calibri"/>
          <w:b/>
        </w:rPr>
        <w:t>should support the following:</w:t>
      </w:r>
    </w:p>
    <w:p w:rsidR="00766B7B" w:rsidRPr="00766B7B" w:rsidRDefault="00766B7B" w:rsidP="00766B7B">
      <w:pPr>
        <w:pStyle w:val="maintext"/>
        <w:numPr>
          <w:ilvl w:val="0"/>
          <w:numId w:val="21"/>
        </w:numPr>
        <w:ind w:firstLineChars="0"/>
        <w:rPr>
          <w:rFonts w:ascii="Calibri" w:hAnsi="Calibri"/>
          <w:b/>
        </w:rPr>
      </w:pPr>
      <w:r w:rsidRPr="00766B7B">
        <w:rPr>
          <w:rFonts w:ascii="Calibri" w:hAnsi="Calibri"/>
          <w:b/>
        </w:rPr>
        <w:t xml:space="preserve">Explicit configuration of whether a </w:t>
      </w:r>
      <w:r w:rsidR="00B66646">
        <w:rPr>
          <w:rFonts w:ascii="Calibri" w:hAnsi="Calibri"/>
          <w:b/>
        </w:rPr>
        <w:t xml:space="preserve">D/U/F time </w:t>
      </w:r>
      <w:r w:rsidRPr="00766B7B">
        <w:rPr>
          <w:rFonts w:ascii="Calibri" w:hAnsi="Calibri"/>
          <w:b/>
        </w:rPr>
        <w:t>resource for a given DU child link is Hard or Soft</w:t>
      </w:r>
    </w:p>
    <w:p w:rsidR="00766B7B" w:rsidRPr="00766B7B" w:rsidRDefault="00766B7B" w:rsidP="00766B7B">
      <w:pPr>
        <w:pStyle w:val="maintext"/>
        <w:numPr>
          <w:ilvl w:val="0"/>
          <w:numId w:val="21"/>
        </w:numPr>
        <w:ind w:firstLineChars="0"/>
        <w:rPr>
          <w:rFonts w:ascii="Calibri" w:hAnsi="Calibri"/>
          <w:b/>
        </w:rPr>
      </w:pPr>
      <w:r w:rsidRPr="00766B7B">
        <w:rPr>
          <w:rFonts w:ascii="Calibri" w:hAnsi="Calibri"/>
          <w:b/>
        </w:rPr>
        <w:t xml:space="preserve">Explicit indication of whether </w:t>
      </w:r>
      <w:r w:rsidR="00B66646">
        <w:rPr>
          <w:rFonts w:ascii="Calibri" w:hAnsi="Calibri"/>
          <w:b/>
        </w:rPr>
        <w:t xml:space="preserve">a D/U/F </w:t>
      </w:r>
      <w:r w:rsidRPr="00766B7B">
        <w:rPr>
          <w:rFonts w:ascii="Calibri" w:hAnsi="Calibri"/>
          <w:b/>
        </w:rPr>
        <w:t xml:space="preserve">time resource </w:t>
      </w:r>
      <w:r w:rsidR="00B66646">
        <w:rPr>
          <w:rFonts w:ascii="Calibri" w:hAnsi="Calibri"/>
          <w:b/>
        </w:rPr>
        <w:t>is</w:t>
      </w:r>
      <w:r w:rsidRPr="00766B7B">
        <w:rPr>
          <w:rFonts w:ascii="Calibri" w:hAnsi="Calibri"/>
          <w:b/>
        </w:rPr>
        <w:t xml:space="preserve"> available or not available from the IAB node’s perspective</w:t>
      </w:r>
    </w:p>
    <w:p w:rsidR="00766B7B" w:rsidRDefault="00766B7B" w:rsidP="009550DA">
      <w:pPr>
        <w:pStyle w:val="maintext"/>
        <w:ind w:firstLineChars="0" w:firstLine="0"/>
        <w:rPr>
          <w:rFonts w:ascii="Calibri" w:hAnsi="Calibri"/>
          <w:b/>
        </w:rPr>
      </w:pPr>
    </w:p>
    <w:p w:rsidR="00155BC2" w:rsidRDefault="00155BC2" w:rsidP="00155BC2">
      <w:pPr>
        <w:pStyle w:val="Heading2"/>
      </w:pPr>
      <w:r>
        <w:lastRenderedPageBreak/>
        <w:t>Dynamic frame structure coordination</w:t>
      </w:r>
    </w:p>
    <w:p w:rsidR="001E02F3" w:rsidRPr="001E02F3" w:rsidRDefault="00004522" w:rsidP="001E02F3">
      <w:pPr>
        <w:pStyle w:val="maintext"/>
        <w:ind w:firstLineChars="0" w:firstLine="0"/>
        <w:rPr>
          <w:rFonts w:ascii="Calibri" w:hAnsi="Calibri" w:cs="Arial"/>
        </w:rPr>
      </w:pPr>
      <w:r>
        <w:rPr>
          <w:rFonts w:ascii="Calibri" w:hAnsi="Calibri" w:cs="Arial"/>
        </w:rPr>
        <w:t>To support the different resource partitions discussed in this section</w:t>
      </w:r>
      <w:r w:rsidRPr="004F7571">
        <w:rPr>
          <w:rFonts w:ascii="Calibri" w:hAnsi="Calibri" w:cs="Arial"/>
        </w:rPr>
        <w:t xml:space="preserve"> the network </w:t>
      </w:r>
      <w:r>
        <w:rPr>
          <w:rFonts w:ascii="Calibri" w:hAnsi="Calibri" w:cs="Arial"/>
        </w:rPr>
        <w:t>may utilize</w:t>
      </w:r>
      <w:r w:rsidRPr="004F7571">
        <w:rPr>
          <w:rFonts w:ascii="Calibri" w:hAnsi="Calibri" w:cs="Arial"/>
        </w:rPr>
        <w:t xml:space="preserve"> semi-static TDD UL/DL configuration</w:t>
      </w:r>
      <w:r>
        <w:rPr>
          <w:rFonts w:ascii="Calibri" w:hAnsi="Calibri" w:cs="Arial"/>
        </w:rPr>
        <w:t>s to coordinate between DU functions of different IAB nodes</w:t>
      </w:r>
      <w:r w:rsidR="00901B67">
        <w:rPr>
          <w:rFonts w:ascii="Calibri" w:hAnsi="Calibri" w:cs="Arial"/>
        </w:rPr>
        <w:t xml:space="preserve"> (e.g. using the F1 interface)</w:t>
      </w:r>
      <w:r>
        <w:rPr>
          <w:rFonts w:ascii="Calibri" w:hAnsi="Calibri" w:cs="Arial"/>
        </w:rPr>
        <w:t xml:space="preserve">. However, </w:t>
      </w:r>
      <w:r w:rsidR="001E02F3">
        <w:rPr>
          <w:rFonts w:ascii="Calibri" w:hAnsi="Calibri" w:cs="Arial"/>
        </w:rPr>
        <w:t xml:space="preserve">more dynamic mechanisms for resource coordination </w:t>
      </w:r>
      <w:r w:rsidR="00624678">
        <w:rPr>
          <w:rFonts w:ascii="Calibri" w:hAnsi="Calibri" w:cs="Arial"/>
        </w:rPr>
        <w:t>is beneficial.</w:t>
      </w:r>
      <w:r w:rsidR="001E02F3">
        <w:rPr>
          <w:rFonts w:ascii="Calibri" w:hAnsi="Calibri" w:cs="Arial"/>
        </w:rPr>
        <w:t xml:space="preserve"> For example,</w:t>
      </w:r>
      <w:r w:rsidR="001E02F3" w:rsidRPr="001E02F3">
        <w:rPr>
          <w:rFonts w:ascii="Calibri" w:hAnsi="Calibri" w:cs="Arial"/>
        </w:rPr>
        <w:t xml:space="preserve"> the available DL/UL resources shared between access and backhaul links at a given IAB node may be dynamically optimized, depending on traffic load variations or radio measurements including RSRP or CLI </w:t>
      </w:r>
      <w:r w:rsidR="001E02F3">
        <w:rPr>
          <w:rFonts w:ascii="Calibri" w:hAnsi="Calibri" w:cs="Arial"/>
        </w:rPr>
        <w:t>measurements.</w:t>
      </w:r>
    </w:p>
    <w:p w:rsidR="001E02F3" w:rsidRPr="001E02F3" w:rsidRDefault="00BA315C" w:rsidP="001E02F3">
      <w:pPr>
        <w:pStyle w:val="maintext"/>
        <w:ind w:firstLineChars="0" w:firstLine="0"/>
        <w:rPr>
          <w:rFonts w:ascii="Calibri" w:hAnsi="Calibri" w:cs="Arial"/>
        </w:rPr>
      </w:pPr>
      <w:r>
        <w:rPr>
          <w:rFonts w:ascii="Calibri" w:hAnsi="Calibri" w:cs="Arial"/>
        </w:rPr>
        <w:t>Figure 5</w:t>
      </w:r>
      <w:r w:rsidR="001E02F3">
        <w:rPr>
          <w:rFonts w:ascii="Calibri" w:hAnsi="Calibri" w:cs="Arial"/>
        </w:rPr>
        <w:t xml:space="preserve"> gives an example where </w:t>
      </w:r>
      <w:r w:rsidR="001E02F3" w:rsidRPr="001E02F3">
        <w:rPr>
          <w:rFonts w:ascii="Calibri" w:hAnsi="Calibri" w:cs="Arial"/>
        </w:rPr>
        <w:t xml:space="preserve">the DL and UL alternates to ensure the half-duplex constraint is maintained at the IAB node, however during slot t + 1 and slot t + 2, the IAB parent node does not have any DL traffic to schedule (e.g. </w:t>
      </w:r>
      <w:r w:rsidR="001E02F3">
        <w:rPr>
          <w:rFonts w:ascii="Calibri" w:hAnsi="Calibri" w:cs="Arial"/>
        </w:rPr>
        <w:t>for access and backhaul links</w:t>
      </w:r>
      <w:r w:rsidR="001E02F3" w:rsidRPr="001E02F3">
        <w:rPr>
          <w:rFonts w:ascii="Calibri" w:hAnsi="Calibri" w:cs="Arial"/>
        </w:rPr>
        <w:t xml:space="preserve">) for the </w:t>
      </w:r>
      <w:r w:rsidR="001E02F3">
        <w:rPr>
          <w:rFonts w:ascii="Calibri" w:hAnsi="Calibri" w:cs="Arial"/>
        </w:rPr>
        <w:t>child IAB node</w:t>
      </w:r>
      <w:r w:rsidR="001E02F3" w:rsidRPr="001E02F3">
        <w:rPr>
          <w:rFonts w:ascii="Calibri" w:hAnsi="Calibri" w:cs="Arial"/>
        </w:rPr>
        <w:t>. However</w:t>
      </w:r>
      <w:r w:rsidR="00624678">
        <w:rPr>
          <w:rFonts w:ascii="Calibri" w:hAnsi="Calibri" w:cs="Arial"/>
        </w:rPr>
        <w:t>,</w:t>
      </w:r>
      <w:r w:rsidR="001E02F3" w:rsidRPr="001E02F3">
        <w:rPr>
          <w:rFonts w:ascii="Calibri" w:hAnsi="Calibri" w:cs="Arial"/>
        </w:rPr>
        <w:t xml:space="preserve"> since the frame structure is semi-statically coordinated, the IAB DU cannot adapt the frame structure to allow DL transmissions (to access UEs or other IAB nodes) since it is not aware of the potential scheduling of the IAB parent node.</w:t>
      </w:r>
    </w:p>
    <w:p w:rsidR="001E02F3" w:rsidRDefault="001E02F3" w:rsidP="001E02F3">
      <w:pPr>
        <w:spacing w:after="160" w:line="259" w:lineRule="auto"/>
        <w:rPr>
          <w:rFonts w:asciiTheme="minorHAnsi" w:hAnsiTheme="minorHAnsi"/>
          <w:color w:val="000000"/>
          <w:sz w:val="22"/>
          <w:szCs w:val="22"/>
        </w:rPr>
      </w:pPr>
      <w:r>
        <w:rPr>
          <w:rFonts w:asciiTheme="minorHAnsi" w:hAnsiTheme="minorHAnsi"/>
          <w:noProof/>
          <w:color w:val="000000"/>
          <w:sz w:val="22"/>
          <w:szCs w:val="22"/>
        </w:rPr>
        <w:drawing>
          <wp:inline distT="0" distB="0" distL="0" distR="0" wp14:anchorId="2A805780">
            <wp:extent cx="6394817" cy="20383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3606" cy="2041151"/>
                    </a:xfrm>
                    <a:prstGeom prst="rect">
                      <a:avLst/>
                    </a:prstGeom>
                    <a:noFill/>
                  </pic:spPr>
                </pic:pic>
              </a:graphicData>
            </a:graphic>
          </wp:inline>
        </w:drawing>
      </w:r>
    </w:p>
    <w:p w:rsidR="001E02F3" w:rsidRDefault="001E02F3" w:rsidP="001E02F3">
      <w:pPr>
        <w:pStyle w:val="Caption"/>
        <w:ind w:left="720"/>
        <w:rPr>
          <w:rFonts w:ascii="Calibri" w:hAnsi="Calibri"/>
        </w:rPr>
      </w:pPr>
      <w:r w:rsidRPr="001E02F3">
        <w:rPr>
          <w:rFonts w:ascii="Calibri" w:hAnsi="Calibri"/>
        </w:rPr>
        <w:t xml:space="preserve">Figure </w:t>
      </w:r>
      <w:r w:rsidR="00BA315C">
        <w:rPr>
          <w:rFonts w:ascii="Calibri" w:hAnsi="Calibri"/>
        </w:rPr>
        <w:t>5</w:t>
      </w:r>
      <w:r w:rsidRPr="001E02F3">
        <w:rPr>
          <w:rFonts w:ascii="Calibri" w:hAnsi="Calibri"/>
        </w:rPr>
        <w:t>: IAB frame structure without coordination</w:t>
      </w:r>
    </w:p>
    <w:p w:rsidR="008563DB" w:rsidRPr="001E02F3" w:rsidRDefault="008563DB" w:rsidP="008563DB">
      <w:pPr>
        <w:pStyle w:val="maintext"/>
        <w:ind w:firstLineChars="0" w:firstLine="0"/>
        <w:rPr>
          <w:rFonts w:ascii="Calibri" w:hAnsi="Calibri" w:cs="Arial"/>
        </w:rPr>
      </w:pPr>
      <w:r>
        <w:rPr>
          <w:rFonts w:ascii="Calibri" w:hAnsi="Calibri" w:cs="Arial"/>
          <w:noProof/>
          <w:lang w:val="en-US" w:eastAsia="en-US"/>
        </w:rPr>
        <w:drawing>
          <wp:inline distT="0" distB="0" distL="0" distR="0" wp14:anchorId="7F31736D" wp14:editId="27262186">
            <wp:extent cx="6316652" cy="196827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4175" cy="1973735"/>
                    </a:xfrm>
                    <a:prstGeom prst="rect">
                      <a:avLst/>
                    </a:prstGeom>
                    <a:noFill/>
                  </pic:spPr>
                </pic:pic>
              </a:graphicData>
            </a:graphic>
          </wp:inline>
        </w:drawing>
      </w:r>
    </w:p>
    <w:p w:rsidR="008563DB" w:rsidRPr="00886940" w:rsidRDefault="008563DB" w:rsidP="008563DB">
      <w:pPr>
        <w:pStyle w:val="Caption"/>
        <w:ind w:left="720"/>
        <w:rPr>
          <w:rFonts w:ascii="Calibri" w:hAnsi="Calibri"/>
        </w:rPr>
      </w:pPr>
      <w:r w:rsidRPr="00886940">
        <w:rPr>
          <w:rFonts w:ascii="Calibri" w:hAnsi="Calibri"/>
        </w:rPr>
        <w:t xml:space="preserve">Figure </w:t>
      </w:r>
      <w:r w:rsidR="00BA315C">
        <w:rPr>
          <w:rFonts w:ascii="Calibri" w:hAnsi="Calibri"/>
        </w:rPr>
        <w:t>6</w:t>
      </w:r>
      <w:r w:rsidRPr="00886940">
        <w:rPr>
          <w:rFonts w:ascii="Calibri" w:hAnsi="Calibri"/>
        </w:rPr>
        <w:t>: IAB frame structure with dynamic coordination</w:t>
      </w:r>
    </w:p>
    <w:p w:rsidR="001E02F3" w:rsidRDefault="001E02F3" w:rsidP="001E02F3">
      <w:pPr>
        <w:pStyle w:val="maintext"/>
        <w:ind w:firstLineChars="0" w:firstLine="0"/>
        <w:rPr>
          <w:rFonts w:ascii="Calibri" w:hAnsi="Calibri" w:cs="Arial"/>
        </w:rPr>
      </w:pPr>
      <w:r w:rsidRPr="001E02F3">
        <w:rPr>
          <w:rFonts w:ascii="Calibri" w:hAnsi="Calibri" w:cs="Arial"/>
        </w:rPr>
        <w:t xml:space="preserve">However, if the IAB parent and IAB node can perform dynamic frame structure coordination (DFSC), the parent node can indicate to the IAB MT function that a set of resources are available or released, overriding the semi-statically coordinated and configured DL/UL resource pattern. The IAB </w:t>
      </w:r>
      <w:r>
        <w:rPr>
          <w:rFonts w:ascii="Calibri" w:hAnsi="Calibri" w:cs="Arial"/>
        </w:rPr>
        <w:t>node can internally determine</w:t>
      </w:r>
      <w:r w:rsidRPr="001E02F3">
        <w:rPr>
          <w:rFonts w:ascii="Calibri" w:hAnsi="Calibri" w:cs="Arial"/>
        </w:rPr>
        <w:t xml:space="preserve"> </w:t>
      </w:r>
      <w:r>
        <w:rPr>
          <w:rFonts w:ascii="Calibri" w:hAnsi="Calibri" w:cs="Arial"/>
        </w:rPr>
        <w:t xml:space="preserve">whether to </w:t>
      </w:r>
      <w:r w:rsidRPr="001E02F3">
        <w:rPr>
          <w:rFonts w:ascii="Calibri" w:hAnsi="Calibri" w:cs="Arial"/>
        </w:rPr>
        <w:t>utilize those</w:t>
      </w:r>
      <w:r>
        <w:rPr>
          <w:rFonts w:ascii="Calibri" w:hAnsi="Calibri" w:cs="Arial"/>
        </w:rPr>
        <w:t xml:space="preserve"> newly available resources</w:t>
      </w:r>
      <w:r w:rsidRPr="001E02F3">
        <w:rPr>
          <w:rFonts w:ascii="Calibri" w:hAnsi="Calibri" w:cs="Arial"/>
        </w:rPr>
        <w:t xml:space="preserve">. Figure </w:t>
      </w:r>
      <w:r w:rsidR="00BA315C">
        <w:rPr>
          <w:rFonts w:ascii="Calibri" w:hAnsi="Calibri" w:cs="Arial"/>
        </w:rPr>
        <w:t>6</w:t>
      </w:r>
      <w:r w:rsidRPr="001E02F3">
        <w:rPr>
          <w:rFonts w:ascii="Calibri" w:hAnsi="Calibri" w:cs="Arial"/>
        </w:rPr>
        <w:t xml:space="preserve"> gives an example of DFSC signalling and coordination, where at the beginning of the DL portion of slot t + 1 the IAB parent node indicates that the remaining DL resources in slot t + 1 and slot t + 2 are available for usage by the IAB DU for DL transmissions instead of UL </w:t>
      </w:r>
      <w:r>
        <w:rPr>
          <w:rFonts w:ascii="Calibri" w:hAnsi="Calibri" w:cs="Arial"/>
        </w:rPr>
        <w:t>taking into account</w:t>
      </w:r>
      <w:r w:rsidRPr="001E02F3">
        <w:rPr>
          <w:rFonts w:ascii="Calibri" w:hAnsi="Calibri" w:cs="Arial"/>
        </w:rPr>
        <w:t xml:space="preserve"> </w:t>
      </w:r>
      <w:r>
        <w:rPr>
          <w:rFonts w:ascii="Calibri" w:hAnsi="Calibri" w:cs="Arial"/>
        </w:rPr>
        <w:t>delays associated with</w:t>
      </w:r>
      <w:r w:rsidRPr="001E02F3">
        <w:rPr>
          <w:rFonts w:ascii="Calibri" w:hAnsi="Calibri" w:cs="Arial"/>
        </w:rPr>
        <w:t xml:space="preserve"> the reception processing time at the IAB </w:t>
      </w:r>
      <w:r>
        <w:rPr>
          <w:rFonts w:ascii="Calibri" w:hAnsi="Calibri" w:cs="Arial"/>
        </w:rPr>
        <w:t>node’s MT</w:t>
      </w:r>
      <w:r w:rsidRPr="001E02F3">
        <w:rPr>
          <w:rFonts w:ascii="Calibri" w:hAnsi="Calibri" w:cs="Arial"/>
        </w:rPr>
        <w:t xml:space="preserve"> and scheduling processing time at the IAB</w:t>
      </w:r>
      <w:r>
        <w:rPr>
          <w:rFonts w:ascii="Calibri" w:hAnsi="Calibri" w:cs="Arial"/>
        </w:rPr>
        <w:t xml:space="preserve"> node’s</w:t>
      </w:r>
      <w:r w:rsidRPr="001E02F3">
        <w:rPr>
          <w:rFonts w:ascii="Calibri" w:hAnsi="Calibri" w:cs="Arial"/>
        </w:rPr>
        <w:t xml:space="preserve"> DU.</w:t>
      </w:r>
    </w:p>
    <w:p w:rsidR="00B66646" w:rsidRDefault="00872D80" w:rsidP="001E02F3">
      <w:pPr>
        <w:pStyle w:val="maintext"/>
        <w:ind w:firstLineChars="0" w:firstLine="0"/>
        <w:rPr>
          <w:rFonts w:ascii="Calibri" w:hAnsi="Calibri" w:cs="Arial"/>
        </w:rPr>
      </w:pPr>
      <w:r>
        <w:rPr>
          <w:rFonts w:ascii="Calibri" w:hAnsi="Calibri" w:cs="Arial"/>
        </w:rPr>
        <w:lastRenderedPageBreak/>
        <w:t xml:space="preserve">While the configuration of the “hard” DL/UL/Flexible resources is performed in a semi-static manner using F1/RRC signalling for the DU and MT respectively, </w:t>
      </w:r>
      <w:proofErr w:type="gramStart"/>
      <w:r>
        <w:rPr>
          <w:rFonts w:ascii="Calibri" w:hAnsi="Calibri" w:cs="Arial"/>
        </w:rPr>
        <w:t>in order to</w:t>
      </w:r>
      <w:proofErr w:type="gramEnd"/>
      <w:r>
        <w:rPr>
          <w:rFonts w:ascii="Calibri" w:hAnsi="Calibri" w:cs="Arial"/>
        </w:rPr>
        <w:t xml:space="preserve"> perform DFSC, existing Rel.15 signalling mechanisms can be used, namely the use of the GC-PDCCH to indicate the slot format(s) which can be used in the case of soft resources. </w:t>
      </w:r>
      <w:r w:rsidR="00B66646">
        <w:rPr>
          <w:rFonts w:ascii="Calibri" w:hAnsi="Calibri" w:cs="Arial"/>
        </w:rPr>
        <w:t>As described in 38.213 section 11.1.1:</w:t>
      </w:r>
    </w:p>
    <w:p w:rsidR="00B66646" w:rsidRDefault="00B66646" w:rsidP="00B66646">
      <w:pPr>
        <w:pStyle w:val="maintext"/>
        <w:ind w:left="720" w:firstLineChars="0" w:firstLine="0"/>
        <w:rPr>
          <w:rFonts w:eastAsia="SimSun"/>
          <w:lang w:val="en-US" w:eastAsia="zh-CN"/>
        </w:rPr>
      </w:pPr>
      <w:proofErr w:type="gramStart"/>
      <w:r>
        <w:rPr>
          <w:rFonts w:eastAsia="SimSun"/>
          <w:lang w:eastAsia="zh-CN"/>
        </w:rPr>
        <w:t>A</w:t>
      </w:r>
      <w:proofErr w:type="gramEnd"/>
      <w:r>
        <w:rPr>
          <w:rFonts w:eastAsia="SimSun"/>
          <w:lang w:eastAsia="zh-CN"/>
        </w:rPr>
        <w:t xml:space="preserve"> </w:t>
      </w:r>
      <w:r>
        <w:t xml:space="preserve">SFI-index field </w:t>
      </w:r>
      <w:r>
        <w:rPr>
          <w:lang w:val="en-US"/>
        </w:rPr>
        <w:t xml:space="preserve">value in a </w:t>
      </w:r>
      <w:r>
        <w:rPr>
          <w:rFonts w:eastAsia="SimSun"/>
          <w:lang w:eastAsia="zh-CN"/>
        </w:rPr>
        <w:t xml:space="preserve">DCI format 2_0 indicates to a UE </w:t>
      </w:r>
      <w:r>
        <w:rPr>
          <w:rFonts w:eastAsia="SimSun"/>
          <w:lang w:val="en-US" w:eastAsia="zh-CN"/>
        </w:rPr>
        <w:t xml:space="preserve">a slot format for each slot in a number of slots for each DL BWP or each UL BWP starting from a slot where the UE detects the DCI format 2_0. </w:t>
      </w:r>
    </w:p>
    <w:p w:rsidR="00B66646" w:rsidRDefault="00B66646" w:rsidP="00B66646">
      <w:pPr>
        <w:pStyle w:val="maintext"/>
        <w:ind w:left="720" w:firstLineChars="0" w:firstLine="0"/>
        <w:rPr>
          <w:rFonts w:eastAsia="SimSun"/>
          <w:lang w:val="en-US" w:eastAsia="zh-CN"/>
        </w:rPr>
      </w:pPr>
      <w:r>
        <w:rPr>
          <w:rFonts w:eastAsia="SimSun"/>
          <w:lang w:val="en-US" w:eastAsia="zh-CN"/>
        </w:rPr>
        <w:t>…</w:t>
      </w:r>
    </w:p>
    <w:p w:rsidR="00B66646" w:rsidRDefault="00B66646" w:rsidP="00B66646">
      <w:pPr>
        <w:pStyle w:val="maintext"/>
        <w:ind w:left="720" w:firstLineChars="0" w:firstLine="0"/>
        <w:rPr>
          <w:rFonts w:eastAsia="SimSun"/>
          <w:lang w:val="en-US" w:eastAsia="zh-CN"/>
        </w:rPr>
      </w:pPr>
      <w:r>
        <w:rPr>
          <w:lang w:val="en-US" w:eastAsia="zh-CN"/>
        </w:rPr>
        <w:t xml:space="preserve">A slot format is identified by a corresponding format index </w:t>
      </w:r>
      <w:r>
        <w:t>as provided in Table 11.1.1-1 where 'D' denotes a downlink symbol, 'U' denotes an uplink symbol, and 'F' denotes a flexible symbol</w:t>
      </w:r>
      <w:r>
        <w:rPr>
          <w:lang w:val="en-US"/>
        </w:rPr>
        <w:t>.</w:t>
      </w:r>
    </w:p>
    <w:p w:rsidR="00B66646" w:rsidRDefault="00B66646" w:rsidP="001E02F3">
      <w:pPr>
        <w:pStyle w:val="maintext"/>
        <w:ind w:firstLineChars="0" w:firstLine="0"/>
        <w:rPr>
          <w:rFonts w:ascii="Calibri" w:hAnsi="Calibri" w:cs="Arial"/>
        </w:rPr>
      </w:pPr>
    </w:p>
    <w:p w:rsidR="008A00F0" w:rsidRDefault="008A00F0" w:rsidP="008A00F0">
      <w:pPr>
        <w:pStyle w:val="TH"/>
      </w:pPr>
      <w:bookmarkStart w:id="5" w:name="_Hlk512253773"/>
      <w:r>
        <w:t>Table 11.1.1-</w:t>
      </w:r>
      <w:bookmarkEnd w:id="5"/>
      <w:r>
        <w:t>1: Slot formats for normal cyclic prefix</w:t>
      </w:r>
    </w:p>
    <w:p w:rsidR="00C74682" w:rsidRDefault="00C74682" w:rsidP="001E02F3">
      <w:pPr>
        <w:pStyle w:val="maintext"/>
        <w:ind w:firstLineChars="0" w:firstLine="0"/>
        <w:rPr>
          <w:rFonts w:ascii="Calibri" w:hAnsi="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C74682" w:rsidTr="00C74682">
        <w:trPr>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Format</w:t>
            </w:r>
          </w:p>
        </w:tc>
        <w:tc>
          <w:tcPr>
            <w:tcW w:w="8114" w:type="dxa"/>
            <w:gridSpan w:val="14"/>
            <w:tcBorders>
              <w:top w:val="single" w:sz="4" w:space="0" w:color="auto"/>
              <w:left w:val="single" w:sz="4" w:space="0" w:color="auto"/>
              <w:bottom w:val="nil"/>
              <w:right w:val="single" w:sz="4" w:space="0" w:color="auto"/>
            </w:tcBorders>
            <w:hideMark/>
          </w:tcPr>
          <w:p w:rsidR="00C74682" w:rsidRDefault="00C74682">
            <w:pPr>
              <w:keepNext/>
              <w:keepLines/>
              <w:jc w:val="center"/>
              <w:rPr>
                <w:b/>
                <w:sz w:val="18"/>
              </w:rPr>
            </w:pPr>
            <w:r>
              <w:rPr>
                <w:b/>
                <w:sz w:val="18"/>
              </w:rPr>
              <w:t>Symbol number in a slot</w:t>
            </w:r>
          </w:p>
        </w:tc>
      </w:tr>
      <w:tr w:rsidR="00C74682" w:rsidTr="00C746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4682" w:rsidRDefault="00C74682">
            <w:pPr>
              <w:rPr>
                <w:b/>
                <w:sz w:val="18"/>
                <w:szCs w:val="24"/>
                <w:lang w:val="en-GB"/>
              </w:rPr>
            </w:pPr>
          </w:p>
        </w:tc>
        <w:tc>
          <w:tcPr>
            <w:tcW w:w="713"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0</w:t>
            </w:r>
          </w:p>
        </w:tc>
        <w:tc>
          <w:tcPr>
            <w:tcW w:w="571"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1</w:t>
            </w:r>
          </w:p>
        </w:tc>
        <w:tc>
          <w:tcPr>
            <w:tcW w:w="571"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2</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3</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4</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5</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6</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7</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8</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9</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10</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11</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12</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13</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lastRenderedPageBreak/>
              <w:t>0</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6</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7</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8</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9</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10</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11</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12</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13</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14</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15</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16</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17</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18</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19</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20</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21</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22</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23</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24</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25</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26</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27</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28</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29</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30</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31</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32</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33</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lastRenderedPageBreak/>
              <w:t>34</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35</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36</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37</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38</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39</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40</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41</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42</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43</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44</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45</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46</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47</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48</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49</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50</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51</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52</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53</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54</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55</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highlight w:val="green"/>
              </w:rPr>
            </w:pPr>
            <w:r>
              <w:rPr>
                <w:sz w:val="18"/>
                <w:highlight w:val="green"/>
              </w:rPr>
              <w:t xml:space="preserve">56 – 254 </w:t>
            </w:r>
          </w:p>
        </w:tc>
        <w:tc>
          <w:tcPr>
            <w:tcW w:w="8114" w:type="dxa"/>
            <w:gridSpan w:val="14"/>
            <w:tcBorders>
              <w:top w:val="single" w:sz="4" w:space="0" w:color="auto"/>
              <w:left w:val="single" w:sz="4" w:space="0" w:color="auto"/>
              <w:bottom w:val="single" w:sz="4" w:space="0" w:color="auto"/>
              <w:right w:val="single" w:sz="4" w:space="0" w:color="auto"/>
            </w:tcBorders>
            <w:vAlign w:val="center"/>
            <w:hideMark/>
          </w:tcPr>
          <w:p w:rsidR="00C74682" w:rsidRDefault="00C74682">
            <w:pPr>
              <w:keepNext/>
              <w:keepLines/>
              <w:jc w:val="center"/>
              <w:rPr>
                <w:sz w:val="18"/>
                <w:highlight w:val="green"/>
              </w:rPr>
            </w:pPr>
            <w:r>
              <w:rPr>
                <w:sz w:val="18"/>
                <w:highlight w:val="green"/>
              </w:rPr>
              <w:t>Reserved</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C74682" w:rsidRDefault="00C74682">
            <w:pPr>
              <w:keepNext/>
              <w:keepLines/>
              <w:jc w:val="center"/>
              <w:rPr>
                <w:sz w:val="18"/>
              </w:rPr>
            </w:pPr>
            <w:r>
              <w:rPr>
                <w:sz w:val="18"/>
              </w:rPr>
              <w:t>255</w:t>
            </w:r>
          </w:p>
        </w:tc>
        <w:tc>
          <w:tcPr>
            <w:tcW w:w="8114" w:type="dxa"/>
            <w:gridSpan w:val="14"/>
            <w:tcBorders>
              <w:top w:val="single" w:sz="4" w:space="0" w:color="auto"/>
              <w:left w:val="single" w:sz="4" w:space="0" w:color="auto"/>
              <w:bottom w:val="single" w:sz="4" w:space="0" w:color="auto"/>
              <w:right w:val="single" w:sz="4" w:space="0" w:color="auto"/>
            </w:tcBorders>
            <w:vAlign w:val="center"/>
            <w:hideMark/>
          </w:tcPr>
          <w:p w:rsidR="00C74682" w:rsidRDefault="00C74682">
            <w:pPr>
              <w:keepNext/>
              <w:keepLines/>
              <w:jc w:val="center"/>
              <w:rPr>
                <w:sz w:val="18"/>
              </w:rPr>
            </w:pPr>
            <w:r>
              <w:rPr>
                <w:sz w:val="18"/>
              </w:rPr>
              <w:t xml:space="preserve">UE determines the slot format for the slot based on </w:t>
            </w:r>
            <w:r>
              <w:rPr>
                <w:i/>
                <w:sz w:val="18"/>
              </w:rPr>
              <w:t>TDD-UL-DL-</w:t>
            </w:r>
            <w:proofErr w:type="spellStart"/>
            <w:r>
              <w:rPr>
                <w:i/>
                <w:sz w:val="18"/>
              </w:rPr>
              <w:t>ConfigurationCommon</w:t>
            </w:r>
            <w:proofErr w:type="spellEnd"/>
            <w:r>
              <w:rPr>
                <w:sz w:val="18"/>
              </w:rPr>
              <w:t xml:space="preserve">, or </w:t>
            </w:r>
            <w:r>
              <w:rPr>
                <w:i/>
                <w:sz w:val="18"/>
              </w:rPr>
              <w:t>TDD-UL-DL-</w:t>
            </w:r>
            <w:proofErr w:type="spellStart"/>
            <w:r>
              <w:rPr>
                <w:i/>
                <w:sz w:val="18"/>
              </w:rPr>
              <w:t>ConfigDedicated</w:t>
            </w:r>
            <w:proofErr w:type="spellEnd"/>
            <w:r>
              <w:rPr>
                <w:sz w:val="18"/>
              </w:rPr>
              <w:t xml:space="preserve"> and, if any, on detected DCI formats</w:t>
            </w:r>
          </w:p>
        </w:tc>
      </w:tr>
    </w:tbl>
    <w:p w:rsidR="00175301" w:rsidRDefault="00175301" w:rsidP="00FB2665">
      <w:pPr>
        <w:pStyle w:val="maintext"/>
        <w:ind w:firstLineChars="0" w:firstLine="0"/>
      </w:pPr>
    </w:p>
    <w:p w:rsidR="00C74682" w:rsidRDefault="00C74682" w:rsidP="00C74682">
      <w:pPr>
        <w:pStyle w:val="maintext"/>
        <w:ind w:firstLineChars="0" w:firstLine="0"/>
        <w:rPr>
          <w:rFonts w:ascii="Calibri" w:hAnsi="Calibri" w:cs="Arial"/>
        </w:rPr>
      </w:pPr>
      <w:r>
        <w:rPr>
          <w:rFonts w:ascii="Calibri" w:hAnsi="Calibri" w:cs="Arial"/>
        </w:rPr>
        <w:t>The table referenced in that section was defined with only 56 formats in Rel-16, with the remaining indices indicated as reserved for future use. As a result, new slot formats should be defined in Rel.16 which can be optimized for TDM/SDM multiplexing of access and backhaul links.</w:t>
      </w:r>
    </w:p>
    <w:p w:rsidR="00C74682" w:rsidRDefault="00C74682" w:rsidP="00FB2665">
      <w:pPr>
        <w:pStyle w:val="maintext"/>
        <w:ind w:firstLineChars="0" w:firstLine="0"/>
      </w:pPr>
    </w:p>
    <w:p w:rsidR="00C74682" w:rsidRDefault="00C74682" w:rsidP="00FB2665">
      <w:pPr>
        <w:pStyle w:val="maintext"/>
        <w:ind w:firstLineChars="0" w:firstLine="0"/>
      </w:pPr>
      <w:r w:rsidRPr="00057E9B">
        <w:rPr>
          <w:rFonts w:ascii="Calibri" w:hAnsi="Calibri"/>
          <w:b/>
        </w:rPr>
        <w:t xml:space="preserve">Proposal </w:t>
      </w:r>
      <w:r>
        <w:rPr>
          <w:rFonts w:ascii="Calibri" w:hAnsi="Calibri"/>
          <w:b/>
        </w:rPr>
        <w:t>2</w:t>
      </w:r>
      <w:r w:rsidRPr="00057E9B">
        <w:rPr>
          <w:rFonts w:ascii="Calibri" w:hAnsi="Calibri"/>
          <w:b/>
        </w:rPr>
        <w:t xml:space="preserve">: </w:t>
      </w:r>
      <w:r>
        <w:rPr>
          <w:rFonts w:ascii="Calibri" w:hAnsi="Calibri"/>
          <w:b/>
        </w:rPr>
        <w:t>IAB should support dynamic frame structure coordination by using GC-PDCCH signalling from the parent IAB node to the child IAB node to indicate existing Rel.15 slot formats and newly defined Rel.16 slot formats which are optimized for TDM/SDM multiplexing of access and backhaul links.</w:t>
      </w:r>
    </w:p>
    <w:p w:rsidR="00C74682" w:rsidRDefault="00C74682" w:rsidP="00B66646">
      <w:pPr>
        <w:pStyle w:val="maintext"/>
        <w:ind w:firstLineChars="0" w:firstLine="0"/>
        <w:rPr>
          <w:rFonts w:ascii="Calibri" w:hAnsi="Calibri" w:cs="Arial"/>
        </w:rPr>
      </w:pPr>
    </w:p>
    <w:p w:rsidR="00C74682" w:rsidRDefault="00C74682" w:rsidP="00B66646">
      <w:pPr>
        <w:pStyle w:val="maintext"/>
        <w:ind w:firstLineChars="0" w:firstLine="0"/>
        <w:rPr>
          <w:rFonts w:ascii="Calibri" w:hAnsi="Calibri" w:cs="Arial"/>
        </w:rPr>
      </w:pPr>
    </w:p>
    <w:p w:rsidR="00C74682" w:rsidRDefault="00C74682" w:rsidP="00B66646">
      <w:pPr>
        <w:pStyle w:val="maintext"/>
        <w:ind w:firstLineChars="0" w:firstLine="0"/>
        <w:rPr>
          <w:rFonts w:ascii="Calibri" w:hAnsi="Calibri" w:cs="Arial"/>
        </w:rPr>
      </w:pPr>
    </w:p>
    <w:p w:rsidR="00C74682" w:rsidRDefault="00C74682" w:rsidP="00B66646">
      <w:pPr>
        <w:pStyle w:val="maintext"/>
        <w:ind w:firstLineChars="0" w:firstLine="0"/>
        <w:rPr>
          <w:rFonts w:ascii="Calibri" w:hAnsi="Calibri" w:cs="Arial"/>
        </w:rPr>
      </w:pPr>
      <w:r>
        <w:rPr>
          <w:rFonts w:ascii="Calibri" w:hAnsi="Calibri" w:cs="Arial"/>
        </w:rPr>
        <w:lastRenderedPageBreak/>
        <w:t>The</w:t>
      </w:r>
      <w:r w:rsidR="00B66646" w:rsidRPr="00B66646">
        <w:rPr>
          <w:rFonts w:ascii="Calibri" w:hAnsi="Calibri" w:cs="Arial"/>
        </w:rPr>
        <w:t xml:space="preserve"> new TDD-UL-DL-Pattern configurations </w:t>
      </w:r>
      <w:r>
        <w:rPr>
          <w:rFonts w:ascii="Calibri" w:hAnsi="Calibri" w:cs="Arial"/>
        </w:rPr>
        <w:t xml:space="preserve">should </w:t>
      </w:r>
      <w:r w:rsidR="00B66646" w:rsidRPr="00B66646">
        <w:rPr>
          <w:rFonts w:ascii="Calibri" w:hAnsi="Calibri" w:cs="Arial"/>
        </w:rPr>
        <w:t>allow for patterns that start with uplink slots, uplink symbols, or flexible symbols</w:t>
      </w:r>
      <w:r>
        <w:rPr>
          <w:rFonts w:ascii="Calibri" w:hAnsi="Calibri" w:cs="Arial"/>
        </w:rPr>
        <w:t xml:space="preserve"> unlike </w:t>
      </w:r>
      <w:proofErr w:type="gramStart"/>
      <w:r>
        <w:rPr>
          <w:rFonts w:ascii="Calibri" w:hAnsi="Calibri" w:cs="Arial"/>
        </w:rPr>
        <w:t>the majority of</w:t>
      </w:r>
      <w:proofErr w:type="gramEnd"/>
      <w:r>
        <w:rPr>
          <w:rFonts w:ascii="Calibri" w:hAnsi="Calibri" w:cs="Arial"/>
        </w:rPr>
        <w:t xml:space="preserve"> the patterns defined in Rel-15 which start with downlink symbols</w:t>
      </w:r>
      <w:r w:rsidR="00B66646" w:rsidRPr="00B66646">
        <w:rPr>
          <w:rFonts w:ascii="Calibri" w:hAnsi="Calibri" w:cs="Arial"/>
        </w:rPr>
        <w:t xml:space="preserve">. </w:t>
      </w:r>
      <w:r>
        <w:rPr>
          <w:rFonts w:ascii="Calibri" w:hAnsi="Calibri" w:cs="Arial"/>
        </w:rPr>
        <w:t>This has the benefit of enabling a straightforward shift of the alignment of frame structures across hops as shown in Figure 4, which is</w:t>
      </w:r>
      <w:r w:rsidR="008A00F0">
        <w:rPr>
          <w:rFonts w:ascii="Calibri" w:hAnsi="Calibri" w:cs="Arial"/>
        </w:rPr>
        <w:t xml:space="preserve"> needed</w:t>
      </w:r>
      <w:r>
        <w:rPr>
          <w:rFonts w:ascii="Calibri" w:hAnsi="Calibri" w:cs="Arial"/>
        </w:rPr>
        <w:t xml:space="preserve"> for both TDM as well as SDM access and backhaul multiplexing. </w:t>
      </w:r>
    </w:p>
    <w:p w:rsidR="008A00F0" w:rsidRDefault="008A00F0" w:rsidP="00B66646">
      <w:pPr>
        <w:pStyle w:val="maintext"/>
        <w:ind w:firstLineChars="0" w:firstLine="0"/>
        <w:rPr>
          <w:rFonts w:ascii="Calibri" w:hAnsi="Calibri" w:cs="Arial"/>
        </w:rPr>
      </w:pPr>
    </w:p>
    <w:p w:rsidR="00B66646" w:rsidRPr="00B66646" w:rsidRDefault="00C74682" w:rsidP="00C74682">
      <w:pPr>
        <w:pStyle w:val="maintext"/>
        <w:ind w:firstLineChars="0" w:firstLine="0"/>
        <w:rPr>
          <w:rFonts w:ascii="Calibri" w:hAnsi="Calibri" w:cs="Arial"/>
        </w:rPr>
      </w:pPr>
      <w:r>
        <w:rPr>
          <w:rFonts w:ascii="Calibri" w:hAnsi="Calibri" w:cs="Arial"/>
        </w:rPr>
        <w:t xml:space="preserve">The explicit </w:t>
      </w:r>
      <w:r w:rsidR="008A00F0">
        <w:rPr>
          <w:rFonts w:ascii="Calibri" w:hAnsi="Calibri" w:cs="Arial"/>
        </w:rPr>
        <w:t xml:space="preserve">definition and </w:t>
      </w:r>
      <w:r>
        <w:rPr>
          <w:rFonts w:ascii="Calibri" w:hAnsi="Calibri" w:cs="Arial"/>
        </w:rPr>
        <w:t xml:space="preserve">indication of the new patterns has benefits over reusing </w:t>
      </w:r>
      <w:r w:rsidR="00B66646" w:rsidRPr="00B66646">
        <w:rPr>
          <w:rFonts w:ascii="Calibri" w:hAnsi="Calibri" w:cs="Arial"/>
        </w:rPr>
        <w:t xml:space="preserve">existing patterns </w:t>
      </w:r>
      <w:r>
        <w:rPr>
          <w:rFonts w:ascii="Calibri" w:hAnsi="Calibri" w:cs="Arial"/>
        </w:rPr>
        <w:t xml:space="preserve">which </w:t>
      </w:r>
      <w:r w:rsidR="00B66646" w:rsidRPr="00B66646">
        <w:rPr>
          <w:rFonts w:ascii="Calibri" w:hAnsi="Calibri" w:cs="Arial"/>
        </w:rPr>
        <w:t xml:space="preserve">are shifted by K slots </w:t>
      </w:r>
      <w:r>
        <w:rPr>
          <w:rFonts w:ascii="Calibri" w:hAnsi="Calibri" w:cs="Arial"/>
        </w:rPr>
        <w:t xml:space="preserve">(e.g. K = 2 in Figure 4) </w:t>
      </w:r>
      <w:r w:rsidR="00B66646" w:rsidRPr="00B66646">
        <w:rPr>
          <w:rFonts w:ascii="Calibri" w:hAnsi="Calibri" w:cs="Arial"/>
        </w:rPr>
        <w:t>with respect to the radio frame boundary</w:t>
      </w:r>
      <w:r>
        <w:rPr>
          <w:rFonts w:ascii="Calibri" w:hAnsi="Calibri" w:cs="Arial"/>
        </w:rPr>
        <w:t xml:space="preserve"> to achieve the desired frame structure pattern</w:t>
      </w:r>
      <w:r w:rsidR="00B66646" w:rsidRPr="00B66646">
        <w:rPr>
          <w:rFonts w:ascii="Calibri" w:hAnsi="Calibri" w:cs="Arial"/>
        </w:rPr>
        <w:t xml:space="preserve">. </w:t>
      </w:r>
      <w:r>
        <w:rPr>
          <w:rFonts w:ascii="Calibri" w:hAnsi="Calibri" w:cs="Arial"/>
        </w:rPr>
        <w:t xml:space="preserve">This is because certain slots may still need to be aligned </w:t>
      </w:r>
      <w:r w:rsidR="008A00F0">
        <w:rPr>
          <w:rFonts w:ascii="Calibri" w:hAnsi="Calibri" w:cs="Arial"/>
        </w:rPr>
        <w:t>as DL</w:t>
      </w:r>
      <w:r w:rsidR="00B66646" w:rsidRPr="00B66646">
        <w:rPr>
          <w:rFonts w:ascii="Calibri" w:hAnsi="Calibri" w:cs="Arial"/>
        </w:rPr>
        <w:t xml:space="preserve"> to transmit synchronization signals and broadcast channels from all Relay/Donor DUs in the network in a coordinated manner</w:t>
      </w:r>
      <w:r w:rsidR="008A00F0">
        <w:rPr>
          <w:rFonts w:ascii="Calibri" w:hAnsi="Calibri" w:cs="Arial"/>
        </w:rPr>
        <w:t xml:space="preserve"> which is beneficial to reduce the required number of measurement gaps for MTs as well as access UEs</w:t>
      </w:r>
      <w:r w:rsidR="00B66646" w:rsidRPr="00B66646">
        <w:rPr>
          <w:rFonts w:ascii="Calibri" w:hAnsi="Calibri" w:cs="Arial"/>
        </w:rPr>
        <w:t xml:space="preserve">. </w:t>
      </w:r>
    </w:p>
    <w:p w:rsidR="008A00F0" w:rsidRDefault="008A00F0" w:rsidP="008A00F0">
      <w:pPr>
        <w:pStyle w:val="maintext"/>
        <w:ind w:firstLineChars="0" w:firstLine="0"/>
        <w:rPr>
          <w:rFonts w:ascii="Calibri" w:hAnsi="Calibri"/>
          <w:b/>
        </w:rPr>
      </w:pPr>
    </w:p>
    <w:p w:rsidR="008A00F0" w:rsidRDefault="008A00F0" w:rsidP="008A00F0">
      <w:pPr>
        <w:pStyle w:val="maintext"/>
        <w:ind w:firstLineChars="0" w:firstLine="0"/>
      </w:pPr>
      <w:r w:rsidRPr="00057E9B">
        <w:rPr>
          <w:rFonts w:ascii="Calibri" w:hAnsi="Calibri"/>
          <w:b/>
        </w:rPr>
        <w:t xml:space="preserve">Proposal </w:t>
      </w:r>
      <w:r>
        <w:rPr>
          <w:rFonts w:ascii="Calibri" w:hAnsi="Calibri"/>
          <w:b/>
        </w:rPr>
        <w:t>3</w:t>
      </w:r>
      <w:r w:rsidRPr="00057E9B">
        <w:rPr>
          <w:rFonts w:ascii="Calibri" w:hAnsi="Calibri"/>
          <w:b/>
        </w:rPr>
        <w:t xml:space="preserve">: </w:t>
      </w:r>
      <w:r>
        <w:rPr>
          <w:rFonts w:ascii="Calibri" w:hAnsi="Calibri"/>
          <w:b/>
        </w:rPr>
        <w:t xml:space="preserve">The new slot formats defined for IAB in Rel-16 should support patterns </w:t>
      </w:r>
      <w:r w:rsidR="00A95601">
        <w:rPr>
          <w:rFonts w:ascii="Calibri" w:hAnsi="Calibri"/>
          <w:b/>
        </w:rPr>
        <w:t xml:space="preserve">which begin </w:t>
      </w:r>
      <w:bookmarkStart w:id="6" w:name="_GoBack"/>
      <w:bookmarkEnd w:id="6"/>
      <w:r w:rsidRPr="008A00F0">
        <w:rPr>
          <w:rFonts w:ascii="Calibri" w:hAnsi="Calibri"/>
          <w:b/>
        </w:rPr>
        <w:t>with uplink slots, uplink symbols, or flexible symbols</w:t>
      </w:r>
      <w:r>
        <w:rPr>
          <w:rFonts w:ascii="Calibri" w:hAnsi="Calibri"/>
          <w:b/>
        </w:rPr>
        <w:t>.</w:t>
      </w:r>
    </w:p>
    <w:p w:rsidR="00766B7B" w:rsidRPr="0033513A" w:rsidRDefault="00766B7B" w:rsidP="00FB2665">
      <w:pPr>
        <w:pStyle w:val="maintext"/>
        <w:ind w:firstLineChars="0" w:firstLine="0"/>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E604D6">
        <w:rPr>
          <w:rFonts w:ascii="Calibri" w:hAnsi="Calibri"/>
        </w:rPr>
        <w:t>. The following proposals were made</w:t>
      </w:r>
      <w:r>
        <w:rPr>
          <w:rFonts w:ascii="Calibri" w:hAnsi="Calibri"/>
        </w:rPr>
        <w:t>:</w:t>
      </w:r>
    </w:p>
    <w:p w:rsidR="00B66646" w:rsidRDefault="00B66646" w:rsidP="00B66646">
      <w:pPr>
        <w:pStyle w:val="maintext"/>
        <w:ind w:firstLineChars="0" w:firstLine="0"/>
        <w:rPr>
          <w:rFonts w:ascii="Calibri" w:hAnsi="Calibri"/>
          <w:b/>
        </w:rPr>
      </w:pPr>
      <w:r w:rsidRPr="00057E9B">
        <w:rPr>
          <w:rFonts w:ascii="Calibri" w:hAnsi="Calibri"/>
          <w:b/>
        </w:rPr>
        <w:t xml:space="preserve">Proposal </w:t>
      </w:r>
      <w:r>
        <w:rPr>
          <w:rFonts w:ascii="Calibri" w:hAnsi="Calibri"/>
          <w:b/>
        </w:rPr>
        <w:t>1</w:t>
      </w:r>
      <w:r w:rsidRPr="00057E9B">
        <w:rPr>
          <w:rFonts w:ascii="Calibri" w:hAnsi="Calibri"/>
          <w:b/>
        </w:rPr>
        <w:t xml:space="preserve">: </w:t>
      </w:r>
      <w:proofErr w:type="gramStart"/>
      <w:r>
        <w:rPr>
          <w:rFonts w:ascii="Calibri" w:hAnsi="Calibri"/>
          <w:b/>
        </w:rPr>
        <w:t>In order to</w:t>
      </w:r>
      <w:proofErr w:type="gramEnd"/>
      <w:r>
        <w:rPr>
          <w:rFonts w:ascii="Calibri" w:hAnsi="Calibri"/>
          <w:b/>
        </w:rPr>
        <w:t xml:space="preserve"> enable TDM operation with forward compatibility to SDM/FDM operation, frame structure coordination for IAB nodes should support the following:</w:t>
      </w:r>
    </w:p>
    <w:p w:rsidR="00B66646" w:rsidRPr="00766B7B" w:rsidRDefault="00B66646" w:rsidP="00B66646">
      <w:pPr>
        <w:pStyle w:val="maintext"/>
        <w:numPr>
          <w:ilvl w:val="0"/>
          <w:numId w:val="24"/>
        </w:numPr>
        <w:ind w:firstLineChars="0"/>
        <w:rPr>
          <w:rFonts w:ascii="Calibri" w:hAnsi="Calibri"/>
          <w:b/>
        </w:rPr>
      </w:pPr>
      <w:r w:rsidRPr="00766B7B">
        <w:rPr>
          <w:rFonts w:ascii="Calibri" w:hAnsi="Calibri"/>
          <w:b/>
        </w:rPr>
        <w:t xml:space="preserve">Explicit configuration of whether a </w:t>
      </w:r>
      <w:r>
        <w:rPr>
          <w:rFonts w:ascii="Calibri" w:hAnsi="Calibri"/>
          <w:b/>
        </w:rPr>
        <w:t xml:space="preserve">D/U/F time </w:t>
      </w:r>
      <w:r w:rsidRPr="00766B7B">
        <w:rPr>
          <w:rFonts w:ascii="Calibri" w:hAnsi="Calibri"/>
          <w:b/>
        </w:rPr>
        <w:t>resource for a given DU child link is Hard or Soft</w:t>
      </w:r>
    </w:p>
    <w:p w:rsidR="00B66646" w:rsidRPr="00766B7B" w:rsidRDefault="00B66646" w:rsidP="00B66646">
      <w:pPr>
        <w:pStyle w:val="maintext"/>
        <w:numPr>
          <w:ilvl w:val="0"/>
          <w:numId w:val="24"/>
        </w:numPr>
        <w:ind w:firstLineChars="0"/>
        <w:rPr>
          <w:rFonts w:ascii="Calibri" w:hAnsi="Calibri"/>
          <w:b/>
        </w:rPr>
      </w:pPr>
      <w:r w:rsidRPr="00766B7B">
        <w:rPr>
          <w:rFonts w:ascii="Calibri" w:hAnsi="Calibri"/>
          <w:b/>
        </w:rPr>
        <w:t xml:space="preserve">Explicit indication of whether </w:t>
      </w:r>
      <w:r>
        <w:rPr>
          <w:rFonts w:ascii="Calibri" w:hAnsi="Calibri"/>
          <w:b/>
        </w:rPr>
        <w:t xml:space="preserve">a D/U/F </w:t>
      </w:r>
      <w:r w:rsidRPr="00766B7B">
        <w:rPr>
          <w:rFonts w:ascii="Calibri" w:hAnsi="Calibri"/>
          <w:b/>
        </w:rPr>
        <w:t xml:space="preserve">time resource </w:t>
      </w:r>
      <w:r>
        <w:rPr>
          <w:rFonts w:ascii="Calibri" w:hAnsi="Calibri"/>
          <w:b/>
        </w:rPr>
        <w:t>is</w:t>
      </w:r>
      <w:r w:rsidRPr="00766B7B">
        <w:rPr>
          <w:rFonts w:ascii="Calibri" w:hAnsi="Calibri"/>
          <w:b/>
        </w:rPr>
        <w:t xml:space="preserve"> available or not available from the IAB node’s perspective</w:t>
      </w:r>
    </w:p>
    <w:p w:rsidR="008403AA" w:rsidRDefault="008403AA" w:rsidP="008403AA">
      <w:pPr>
        <w:pStyle w:val="maintext"/>
        <w:ind w:firstLineChars="0" w:firstLine="0"/>
        <w:rPr>
          <w:rFonts w:ascii="Calibri" w:hAnsi="Calibri"/>
          <w:b/>
        </w:rPr>
      </w:pPr>
      <w:r w:rsidRPr="00057E9B">
        <w:rPr>
          <w:rFonts w:ascii="Calibri" w:hAnsi="Calibri"/>
          <w:b/>
        </w:rPr>
        <w:t xml:space="preserve">Proposal </w:t>
      </w:r>
      <w:r>
        <w:rPr>
          <w:rFonts w:ascii="Calibri" w:hAnsi="Calibri"/>
          <w:b/>
        </w:rPr>
        <w:t>2</w:t>
      </w:r>
      <w:r w:rsidRPr="00057E9B">
        <w:rPr>
          <w:rFonts w:ascii="Calibri" w:hAnsi="Calibri"/>
          <w:b/>
        </w:rPr>
        <w:t xml:space="preserve">: </w:t>
      </w:r>
      <w:r>
        <w:rPr>
          <w:rFonts w:ascii="Calibri" w:hAnsi="Calibri"/>
          <w:b/>
        </w:rPr>
        <w:t>IAB should support dynamic frame structure coordination by using GC-PDCCH signalling from the parent IAB node to the child IAB node to indicate existing Rel.15 slot formats and newly defined Rel.16 slot formats which are optimized for TDM/SDM multiplexing of access and backhaul links.</w:t>
      </w:r>
    </w:p>
    <w:p w:rsidR="008A00F0" w:rsidRDefault="008A00F0" w:rsidP="008A00F0">
      <w:pPr>
        <w:pStyle w:val="maintext"/>
        <w:ind w:firstLineChars="0" w:firstLine="0"/>
      </w:pPr>
      <w:r w:rsidRPr="00057E9B">
        <w:rPr>
          <w:rFonts w:ascii="Calibri" w:hAnsi="Calibri"/>
          <w:b/>
        </w:rPr>
        <w:t xml:space="preserve">Proposal </w:t>
      </w:r>
      <w:r>
        <w:rPr>
          <w:rFonts w:ascii="Calibri" w:hAnsi="Calibri"/>
          <w:b/>
        </w:rPr>
        <w:t>3</w:t>
      </w:r>
      <w:r w:rsidRPr="00057E9B">
        <w:rPr>
          <w:rFonts w:ascii="Calibri" w:hAnsi="Calibri"/>
          <w:b/>
        </w:rPr>
        <w:t xml:space="preserve">: </w:t>
      </w:r>
      <w:r>
        <w:rPr>
          <w:rFonts w:ascii="Calibri" w:hAnsi="Calibri"/>
          <w:b/>
        </w:rPr>
        <w:t xml:space="preserve">The new slot formats defined for IAB in Rel-16 should support patterns </w:t>
      </w:r>
      <w:r w:rsidR="00A95601">
        <w:rPr>
          <w:rFonts w:ascii="Calibri" w:hAnsi="Calibri"/>
          <w:b/>
        </w:rPr>
        <w:t xml:space="preserve">which begin </w:t>
      </w:r>
      <w:r w:rsidRPr="008A00F0">
        <w:rPr>
          <w:rFonts w:ascii="Calibri" w:hAnsi="Calibri"/>
          <w:b/>
        </w:rPr>
        <w:t>with uplink slots, uplink symbols, or flexible symbols</w:t>
      </w:r>
      <w:r>
        <w:rPr>
          <w:rFonts w:ascii="Calibri" w:hAnsi="Calibri"/>
          <w:b/>
        </w:rPr>
        <w:t>.</w:t>
      </w:r>
    </w:p>
    <w:p w:rsidR="006703A8" w:rsidRDefault="006703A8" w:rsidP="00172743">
      <w:pPr>
        <w:spacing w:before="0" w:after="0"/>
        <w:rPr>
          <w:rFonts w:ascii="Calibri" w:hAnsi="Calibri"/>
        </w:rPr>
      </w:pPr>
    </w:p>
    <w:p w:rsidR="00FE6C15" w:rsidRPr="0076067D" w:rsidRDefault="00FE6C15" w:rsidP="0076067D">
      <w:pPr>
        <w:pStyle w:val="Heading1"/>
      </w:pPr>
      <w:r>
        <w:t>Reference</w:t>
      </w:r>
    </w:p>
    <w:p w:rsidR="008F676A" w:rsidRDefault="008F676A" w:rsidP="008F676A">
      <w:pPr>
        <w:pStyle w:val="2222"/>
        <w:spacing w:after="120" w:line="288" w:lineRule="auto"/>
        <w:ind w:firstLineChars="0" w:firstLine="0"/>
        <w:jc w:val="left"/>
        <w:rPr>
          <w:rFonts w:cs="Times New Roman"/>
          <w:lang w:eastAsia="ko-KR"/>
        </w:rPr>
      </w:pPr>
      <w:bookmarkStart w:id="7" w:name="_Hlk534835874"/>
      <w:r>
        <w:rPr>
          <w:rFonts w:cs="Times New Roman"/>
          <w:lang w:eastAsia="ko-KR"/>
        </w:rPr>
        <w:t xml:space="preserve">[1] RP-182882, </w:t>
      </w:r>
      <w:r w:rsidRPr="004131D6">
        <w:rPr>
          <w:rFonts w:cs="Times New Roman"/>
          <w:lang w:eastAsia="ko-KR"/>
        </w:rPr>
        <w:t>New WID: Integrated Access and Backhaul for NR</w:t>
      </w:r>
      <w:r>
        <w:rPr>
          <w:rFonts w:cs="Times New Roman"/>
          <w:lang w:eastAsia="ko-KR"/>
        </w:rPr>
        <w:t>, Qualcomm</w:t>
      </w:r>
    </w:p>
    <w:p w:rsidR="008F676A" w:rsidRPr="00A54900" w:rsidRDefault="008F676A" w:rsidP="008F676A">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bookmarkEnd w:id="7"/>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205E" w:rsidRDefault="00EC205E" w:rsidP="00424124">
      <w:pPr>
        <w:spacing w:before="0" w:after="0"/>
      </w:pPr>
      <w:r>
        <w:separator/>
      </w:r>
    </w:p>
  </w:endnote>
  <w:endnote w:type="continuationSeparator" w:id="0">
    <w:p w:rsidR="00EC205E" w:rsidRDefault="00EC205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205E" w:rsidRDefault="00EC205E" w:rsidP="00424124">
      <w:pPr>
        <w:spacing w:before="0" w:after="0"/>
      </w:pPr>
      <w:r>
        <w:separator/>
      </w:r>
    </w:p>
  </w:footnote>
  <w:footnote w:type="continuationSeparator" w:id="0">
    <w:p w:rsidR="00EC205E" w:rsidRDefault="00EC205E"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463913"/>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412606"/>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396EE0"/>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4C1B02"/>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6"/>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5"/>
  </w:num>
  <w:num w:numId="8">
    <w:abstractNumId w:val="14"/>
  </w:num>
  <w:num w:numId="9">
    <w:abstractNumId w:val="2"/>
  </w:num>
  <w:num w:numId="10">
    <w:abstractNumId w:val="3"/>
  </w:num>
  <w:num w:numId="11">
    <w:abstractNumId w:val="17"/>
  </w:num>
  <w:num w:numId="12">
    <w:abstractNumId w:val="9"/>
  </w:num>
  <w:num w:numId="13">
    <w:abstractNumId w:val="10"/>
  </w:num>
  <w:num w:numId="14">
    <w:abstractNumId w:val="23"/>
  </w:num>
  <w:num w:numId="15">
    <w:abstractNumId w:val="1"/>
  </w:num>
  <w:num w:numId="16">
    <w:abstractNumId w:val="21"/>
  </w:num>
  <w:num w:numId="17">
    <w:abstractNumId w:val="15"/>
  </w:num>
  <w:num w:numId="18">
    <w:abstractNumId w:val="11"/>
  </w:num>
  <w:num w:numId="19">
    <w:abstractNumId w:val="22"/>
  </w:num>
  <w:num w:numId="20">
    <w:abstractNumId w:val="13"/>
  </w:num>
  <w:num w:numId="21">
    <w:abstractNumId w:val="7"/>
  </w:num>
  <w:num w:numId="22">
    <w:abstractNumId w:val="8"/>
  </w:num>
  <w:num w:numId="23">
    <w:abstractNumId w:val="19"/>
  </w:num>
  <w:num w:numId="2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1AB6"/>
    <w:rsid w:val="00032D47"/>
    <w:rsid w:val="000337FC"/>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29D8"/>
    <w:rsid w:val="000F259D"/>
    <w:rsid w:val="0010303E"/>
    <w:rsid w:val="0011327D"/>
    <w:rsid w:val="00116DA6"/>
    <w:rsid w:val="001279BC"/>
    <w:rsid w:val="00127B93"/>
    <w:rsid w:val="00137E15"/>
    <w:rsid w:val="001417A8"/>
    <w:rsid w:val="00153793"/>
    <w:rsid w:val="00155BC2"/>
    <w:rsid w:val="00161629"/>
    <w:rsid w:val="00172743"/>
    <w:rsid w:val="00175301"/>
    <w:rsid w:val="001A5A68"/>
    <w:rsid w:val="001A6212"/>
    <w:rsid w:val="001A75E0"/>
    <w:rsid w:val="001B731B"/>
    <w:rsid w:val="001C4ACE"/>
    <w:rsid w:val="001C699C"/>
    <w:rsid w:val="001E02F3"/>
    <w:rsid w:val="001E0CE1"/>
    <w:rsid w:val="001E58CC"/>
    <w:rsid w:val="001E602E"/>
    <w:rsid w:val="001F02DD"/>
    <w:rsid w:val="001F2A01"/>
    <w:rsid w:val="001F59ED"/>
    <w:rsid w:val="002013B3"/>
    <w:rsid w:val="00201870"/>
    <w:rsid w:val="00211D37"/>
    <w:rsid w:val="00212204"/>
    <w:rsid w:val="0021262A"/>
    <w:rsid w:val="00216763"/>
    <w:rsid w:val="00222269"/>
    <w:rsid w:val="00222811"/>
    <w:rsid w:val="00225464"/>
    <w:rsid w:val="00233D70"/>
    <w:rsid w:val="00235373"/>
    <w:rsid w:val="00242080"/>
    <w:rsid w:val="002427E5"/>
    <w:rsid w:val="00246D61"/>
    <w:rsid w:val="0024786A"/>
    <w:rsid w:val="0025058B"/>
    <w:rsid w:val="002528A7"/>
    <w:rsid w:val="00262116"/>
    <w:rsid w:val="002641FE"/>
    <w:rsid w:val="00265254"/>
    <w:rsid w:val="00267362"/>
    <w:rsid w:val="002725E8"/>
    <w:rsid w:val="00272EC2"/>
    <w:rsid w:val="00273B2A"/>
    <w:rsid w:val="00274677"/>
    <w:rsid w:val="00276785"/>
    <w:rsid w:val="00277973"/>
    <w:rsid w:val="00287D4D"/>
    <w:rsid w:val="0029112F"/>
    <w:rsid w:val="0029147A"/>
    <w:rsid w:val="002914D5"/>
    <w:rsid w:val="00297225"/>
    <w:rsid w:val="002A005E"/>
    <w:rsid w:val="002A0270"/>
    <w:rsid w:val="002A66E2"/>
    <w:rsid w:val="002B6E52"/>
    <w:rsid w:val="002C0488"/>
    <w:rsid w:val="002C4097"/>
    <w:rsid w:val="002C594E"/>
    <w:rsid w:val="002D3D42"/>
    <w:rsid w:val="002D479B"/>
    <w:rsid w:val="002D5698"/>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0BBB"/>
    <w:rsid w:val="00385177"/>
    <w:rsid w:val="00386642"/>
    <w:rsid w:val="00392176"/>
    <w:rsid w:val="003921D6"/>
    <w:rsid w:val="003A0594"/>
    <w:rsid w:val="003A298A"/>
    <w:rsid w:val="003A553B"/>
    <w:rsid w:val="003A566A"/>
    <w:rsid w:val="003B1EC9"/>
    <w:rsid w:val="003B5456"/>
    <w:rsid w:val="003C2392"/>
    <w:rsid w:val="003C2E75"/>
    <w:rsid w:val="003E1304"/>
    <w:rsid w:val="003E2741"/>
    <w:rsid w:val="003E35D4"/>
    <w:rsid w:val="003E7121"/>
    <w:rsid w:val="003F0731"/>
    <w:rsid w:val="003F33B4"/>
    <w:rsid w:val="004011AC"/>
    <w:rsid w:val="00405F6D"/>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D3B"/>
    <w:rsid w:val="005007E9"/>
    <w:rsid w:val="00504C05"/>
    <w:rsid w:val="00504E5F"/>
    <w:rsid w:val="005055A6"/>
    <w:rsid w:val="00507060"/>
    <w:rsid w:val="0051179B"/>
    <w:rsid w:val="005121EE"/>
    <w:rsid w:val="00512838"/>
    <w:rsid w:val="0051424F"/>
    <w:rsid w:val="00523623"/>
    <w:rsid w:val="005300F0"/>
    <w:rsid w:val="005363F5"/>
    <w:rsid w:val="00541819"/>
    <w:rsid w:val="0054560C"/>
    <w:rsid w:val="00545FD3"/>
    <w:rsid w:val="00551C99"/>
    <w:rsid w:val="0055464C"/>
    <w:rsid w:val="0056238B"/>
    <w:rsid w:val="00565BDB"/>
    <w:rsid w:val="005666A4"/>
    <w:rsid w:val="0057145F"/>
    <w:rsid w:val="00575859"/>
    <w:rsid w:val="005758E7"/>
    <w:rsid w:val="005778C8"/>
    <w:rsid w:val="0058120D"/>
    <w:rsid w:val="005A18B4"/>
    <w:rsid w:val="005A60B4"/>
    <w:rsid w:val="005B47BD"/>
    <w:rsid w:val="005B69C2"/>
    <w:rsid w:val="005B6FA6"/>
    <w:rsid w:val="005D2C51"/>
    <w:rsid w:val="005F21BF"/>
    <w:rsid w:val="005F613D"/>
    <w:rsid w:val="00600F57"/>
    <w:rsid w:val="00603015"/>
    <w:rsid w:val="0060603E"/>
    <w:rsid w:val="00624678"/>
    <w:rsid w:val="00632789"/>
    <w:rsid w:val="00633934"/>
    <w:rsid w:val="00634707"/>
    <w:rsid w:val="00636F9E"/>
    <w:rsid w:val="006439F2"/>
    <w:rsid w:val="00644034"/>
    <w:rsid w:val="006477B7"/>
    <w:rsid w:val="00652AC8"/>
    <w:rsid w:val="0065437E"/>
    <w:rsid w:val="0066157D"/>
    <w:rsid w:val="006703A8"/>
    <w:rsid w:val="0067125A"/>
    <w:rsid w:val="00671E30"/>
    <w:rsid w:val="006726B2"/>
    <w:rsid w:val="006756FB"/>
    <w:rsid w:val="00677BD0"/>
    <w:rsid w:val="00685B82"/>
    <w:rsid w:val="00685E11"/>
    <w:rsid w:val="0069705B"/>
    <w:rsid w:val="006A0EDC"/>
    <w:rsid w:val="006A18DB"/>
    <w:rsid w:val="006A2D2E"/>
    <w:rsid w:val="006C0BAC"/>
    <w:rsid w:val="006C452E"/>
    <w:rsid w:val="006C7692"/>
    <w:rsid w:val="006D6AB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5452"/>
    <w:rsid w:val="00747A6F"/>
    <w:rsid w:val="0075622F"/>
    <w:rsid w:val="0076067D"/>
    <w:rsid w:val="00766B7B"/>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46F"/>
    <w:rsid w:val="007F0AF3"/>
    <w:rsid w:val="007F1928"/>
    <w:rsid w:val="007F392E"/>
    <w:rsid w:val="00811A1B"/>
    <w:rsid w:val="00814815"/>
    <w:rsid w:val="00815023"/>
    <w:rsid w:val="00824DED"/>
    <w:rsid w:val="00826E5A"/>
    <w:rsid w:val="0083713D"/>
    <w:rsid w:val="008403AA"/>
    <w:rsid w:val="008437B2"/>
    <w:rsid w:val="00843F1C"/>
    <w:rsid w:val="00850DCE"/>
    <w:rsid w:val="00853591"/>
    <w:rsid w:val="00854FBB"/>
    <w:rsid w:val="008563D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00F0"/>
    <w:rsid w:val="008A25A1"/>
    <w:rsid w:val="008B39B6"/>
    <w:rsid w:val="008C1AFD"/>
    <w:rsid w:val="008C4B67"/>
    <w:rsid w:val="008D1AEF"/>
    <w:rsid w:val="008E48C2"/>
    <w:rsid w:val="008F0D8C"/>
    <w:rsid w:val="008F2160"/>
    <w:rsid w:val="008F676A"/>
    <w:rsid w:val="00901B67"/>
    <w:rsid w:val="00905E86"/>
    <w:rsid w:val="009124E4"/>
    <w:rsid w:val="00917D0F"/>
    <w:rsid w:val="00924EA9"/>
    <w:rsid w:val="00925FA2"/>
    <w:rsid w:val="00926A9C"/>
    <w:rsid w:val="00927803"/>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5311"/>
    <w:rsid w:val="00A262E4"/>
    <w:rsid w:val="00A26EC3"/>
    <w:rsid w:val="00A300E0"/>
    <w:rsid w:val="00A359C7"/>
    <w:rsid w:val="00A41CF3"/>
    <w:rsid w:val="00A456B1"/>
    <w:rsid w:val="00A4674D"/>
    <w:rsid w:val="00A547CE"/>
    <w:rsid w:val="00A55FF3"/>
    <w:rsid w:val="00A603CE"/>
    <w:rsid w:val="00A64CF7"/>
    <w:rsid w:val="00A72B33"/>
    <w:rsid w:val="00A821EA"/>
    <w:rsid w:val="00A8721E"/>
    <w:rsid w:val="00A92495"/>
    <w:rsid w:val="00A95601"/>
    <w:rsid w:val="00AA5160"/>
    <w:rsid w:val="00AA5899"/>
    <w:rsid w:val="00AB058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2216"/>
    <w:rsid w:val="00B34716"/>
    <w:rsid w:val="00B3707E"/>
    <w:rsid w:val="00B55FA2"/>
    <w:rsid w:val="00B61A13"/>
    <w:rsid w:val="00B6232D"/>
    <w:rsid w:val="00B648CA"/>
    <w:rsid w:val="00B64C5B"/>
    <w:rsid w:val="00B66646"/>
    <w:rsid w:val="00B74894"/>
    <w:rsid w:val="00B749FB"/>
    <w:rsid w:val="00B75FF7"/>
    <w:rsid w:val="00B82B83"/>
    <w:rsid w:val="00B909F7"/>
    <w:rsid w:val="00B96A24"/>
    <w:rsid w:val="00BA315C"/>
    <w:rsid w:val="00BA677D"/>
    <w:rsid w:val="00BA6FDB"/>
    <w:rsid w:val="00BB02ED"/>
    <w:rsid w:val="00BB3CBF"/>
    <w:rsid w:val="00BB5132"/>
    <w:rsid w:val="00BC31F9"/>
    <w:rsid w:val="00BC6F83"/>
    <w:rsid w:val="00BC704C"/>
    <w:rsid w:val="00BD15E1"/>
    <w:rsid w:val="00BD34B4"/>
    <w:rsid w:val="00BE26B4"/>
    <w:rsid w:val="00BF2C5D"/>
    <w:rsid w:val="00BF31E3"/>
    <w:rsid w:val="00BF5F1C"/>
    <w:rsid w:val="00C07731"/>
    <w:rsid w:val="00C17E83"/>
    <w:rsid w:val="00C218A9"/>
    <w:rsid w:val="00C261F4"/>
    <w:rsid w:val="00C40BE6"/>
    <w:rsid w:val="00C47EE0"/>
    <w:rsid w:val="00C534CA"/>
    <w:rsid w:val="00C63006"/>
    <w:rsid w:val="00C67568"/>
    <w:rsid w:val="00C7007B"/>
    <w:rsid w:val="00C71871"/>
    <w:rsid w:val="00C724F1"/>
    <w:rsid w:val="00C735F1"/>
    <w:rsid w:val="00C74682"/>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37270"/>
    <w:rsid w:val="00D446F1"/>
    <w:rsid w:val="00D456D8"/>
    <w:rsid w:val="00D45A0E"/>
    <w:rsid w:val="00D4645D"/>
    <w:rsid w:val="00D4758C"/>
    <w:rsid w:val="00D50169"/>
    <w:rsid w:val="00D5391C"/>
    <w:rsid w:val="00D55FAB"/>
    <w:rsid w:val="00D56786"/>
    <w:rsid w:val="00D61EAB"/>
    <w:rsid w:val="00D701D3"/>
    <w:rsid w:val="00D70E8C"/>
    <w:rsid w:val="00D724F9"/>
    <w:rsid w:val="00D7445F"/>
    <w:rsid w:val="00D91E8D"/>
    <w:rsid w:val="00D92B1D"/>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C205E"/>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A0472"/>
    <w:rsid w:val="00FA28D1"/>
    <w:rsid w:val="00FA6558"/>
    <w:rsid w:val="00FB2665"/>
    <w:rsid w:val="00FC3DE0"/>
    <w:rsid w:val="00FC61FD"/>
    <w:rsid w:val="00FD2C8C"/>
    <w:rsid w:val="00FD489B"/>
    <w:rsid w:val="00FD530D"/>
    <w:rsid w:val="00FD6F1A"/>
    <w:rsid w:val="00FD791D"/>
    <w:rsid w:val="00FE0217"/>
    <w:rsid w:val="00FE4A8C"/>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729B5A"/>
  <w15:chartTrackingRefBased/>
  <w15:docId w15:val="{1BB0CC9F-A3A6-4E77-95C5-571467F1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styleId="List2">
    <w:name w:val="List 2"/>
    <w:basedOn w:val="Normal"/>
    <w:uiPriority w:val="99"/>
    <w:semiHidden/>
    <w:unhideWhenUsed/>
    <w:rsid w:val="00424124"/>
    <w:pPr>
      <w:ind w:left="720" w:hanging="360"/>
      <w:contextualSpacing/>
    </w:p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8403AA"/>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paragraph" w:styleId="List">
    <w:name w:val="List"/>
    <w:basedOn w:val="Normal"/>
    <w:uiPriority w:val="99"/>
    <w:semiHidden/>
    <w:unhideWhenUsed/>
    <w:rsid w:val="008403AA"/>
    <w:pPr>
      <w:ind w:left="360" w:hanging="360"/>
      <w:contextualSpacing/>
    </w:pPr>
  </w:style>
  <w:style w:type="character" w:customStyle="1" w:styleId="B1Char">
    <w:name w:val="B1 Char"/>
    <w:link w:val="B1"/>
    <w:rsid w:val="008403AA"/>
    <w:rPr>
      <w:rFonts w:ascii="Times New Roman" w:eastAsia="Times New Roman" w:hAnsi="Times New Roman"/>
      <w:lang w:val="x-none" w:eastAsia="x-none"/>
    </w:rPr>
  </w:style>
  <w:style w:type="paragraph" w:customStyle="1" w:styleId="Text">
    <w:name w:val="Text"/>
    <w:rsid w:val="00B66646"/>
    <w:pPr>
      <w:keepLines/>
      <w:tabs>
        <w:tab w:val="left" w:pos="2552"/>
        <w:tab w:val="left" w:pos="3856"/>
        <w:tab w:val="left" w:pos="5216"/>
        <w:tab w:val="left" w:pos="6464"/>
        <w:tab w:val="left" w:pos="7768"/>
        <w:tab w:val="left" w:pos="9072"/>
        <w:tab w:val="left" w:pos="9639"/>
      </w:tabs>
    </w:pPr>
    <w:rPr>
      <w:rFonts w:ascii="Arial" w:eastAsia="Times New Roman" w:hAnsi="Arial"/>
    </w:rPr>
  </w:style>
  <w:style w:type="character" w:customStyle="1" w:styleId="THChar">
    <w:name w:val="TH Char"/>
    <w:link w:val="TH"/>
    <w:qFormat/>
    <w:locked/>
    <w:rsid w:val="008A00F0"/>
    <w:rPr>
      <w:rFonts w:ascii="Arial" w:eastAsia="Times New Roman" w:hAnsi="Arial" w:cs="Arial"/>
      <w:b/>
      <w:lang w:val="en-GB" w:eastAsia="en-GB"/>
    </w:rPr>
  </w:style>
  <w:style w:type="paragraph" w:customStyle="1" w:styleId="TH">
    <w:name w:val="TH"/>
    <w:basedOn w:val="Normal"/>
    <w:link w:val="THChar"/>
    <w:qFormat/>
    <w:rsid w:val="008A00F0"/>
    <w:pPr>
      <w:keepNext/>
      <w:keepLines/>
      <w:overflowPunct w:val="0"/>
      <w:autoSpaceDE w:val="0"/>
      <w:autoSpaceDN w:val="0"/>
      <w:adjustRightInd w:val="0"/>
      <w:spacing w:after="180"/>
      <w:jc w:val="center"/>
    </w:pPr>
    <w:rPr>
      <w:rFonts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2500895">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45038425">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813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2.png@01D39440.045232F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cid:image005.png@01D3944D.5F473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811B8-9387-42C9-8EAB-DB4E302D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2299</Words>
  <Characters>13106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15375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Novlan, Thomas (AT&amp;T)</cp:lastModifiedBy>
  <cp:revision>2</cp:revision>
  <cp:lastPrinted>2018-09-28T20:14:00Z</cp:lastPrinted>
  <dcterms:created xsi:type="dcterms:W3CDTF">2019-02-15T19:56:00Z</dcterms:created>
  <dcterms:modified xsi:type="dcterms:W3CDTF">2019-02-15T19:56:00Z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