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49491" w14:textId="399341F2" w:rsidR="00020E9F" w:rsidRPr="00AB2C58" w:rsidRDefault="00020E9F" w:rsidP="00020E9F">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 xml:space="preserve">3GPP TSG RAN WG1 </w:t>
      </w:r>
      <w:r w:rsidRPr="001552F8">
        <w:rPr>
          <w:rFonts w:ascii="Arial" w:hAnsi="Arial" w:cs="Arial"/>
          <w:b/>
          <w:bCs/>
          <w:sz w:val="24"/>
          <w:lang w:val="en-US"/>
        </w:rPr>
        <w:t>#96</w:t>
      </w:r>
      <w:r>
        <w:rPr>
          <w:rFonts w:ascii="Arial" w:hAnsi="Arial" w:cs="Arial"/>
          <w:b/>
          <w:bCs/>
          <w:sz w:val="24"/>
          <w:lang w:val="en-US"/>
        </w:rPr>
        <w:tab/>
        <w:t xml:space="preserve">                     </w:t>
      </w:r>
      <w:r w:rsidRPr="00AB2C58">
        <w:rPr>
          <w:rFonts w:ascii="Arial" w:hAnsi="Arial" w:cs="Arial" w:hint="eastAsia"/>
          <w:b/>
          <w:bCs/>
          <w:sz w:val="24"/>
          <w:lang w:val="en-US"/>
        </w:rPr>
        <w:t xml:space="preserve">                                       </w:t>
      </w:r>
      <w:r>
        <w:rPr>
          <w:rFonts w:ascii="Arial" w:hAnsi="Arial" w:cs="Arial"/>
          <w:b/>
          <w:bCs/>
          <w:sz w:val="24"/>
          <w:lang w:val="en-US"/>
        </w:rPr>
        <w:t xml:space="preserve">                         R1-19</w:t>
      </w:r>
      <w:r w:rsidR="00FF5184">
        <w:rPr>
          <w:rFonts w:ascii="Arial" w:hAnsi="Arial" w:cs="Arial"/>
          <w:b/>
          <w:bCs/>
          <w:sz w:val="24"/>
          <w:lang w:val="en-US"/>
        </w:rPr>
        <w:t>01842</w:t>
      </w:r>
    </w:p>
    <w:p w14:paraId="1874D932" w14:textId="3CC45046" w:rsidR="00741BC0" w:rsidRDefault="00020E9F" w:rsidP="00020E9F">
      <w:pPr>
        <w:widowControl w:val="0"/>
        <w:tabs>
          <w:tab w:val="center" w:pos="4536"/>
          <w:tab w:val="right" w:pos="9072"/>
        </w:tabs>
        <w:overflowPunct/>
        <w:autoSpaceDE/>
        <w:adjustRightInd/>
        <w:spacing w:after="0"/>
        <w:rPr>
          <w:rFonts w:cs="Arial"/>
          <w:b/>
          <w:i/>
          <w:kern w:val="2"/>
          <w:lang w:val="en-US"/>
        </w:rPr>
      </w:pPr>
      <w:r w:rsidRPr="001552F8">
        <w:rPr>
          <w:rFonts w:ascii="Arial" w:hAnsi="Arial" w:cs="Arial"/>
          <w:b/>
          <w:bCs/>
          <w:sz w:val="24"/>
          <w:lang w:val="en-US"/>
        </w:rPr>
        <w:t>Athens, Greece, 25th February – 1st March,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7BCE59E2"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w:t>
      </w:r>
      <w:r w:rsidR="00FF5184">
        <w:rPr>
          <w:rFonts w:ascii="Arial" w:hAnsi="Arial" w:cs="Arial"/>
          <w:b/>
          <w:sz w:val="24"/>
          <w:lang w:val="en-US"/>
        </w:rPr>
        <w:t xml:space="preserve"> and Analysis </w:t>
      </w:r>
      <w:r>
        <w:rPr>
          <w:rFonts w:ascii="Arial" w:hAnsi="Arial" w:cs="Arial"/>
          <w:b/>
          <w:sz w:val="24"/>
          <w:lang w:val="en-US"/>
        </w:rPr>
        <w:t xml:space="preserve">of </w:t>
      </w:r>
      <w:r w:rsidR="00FF5184">
        <w:rPr>
          <w:rFonts w:ascii="Arial" w:hAnsi="Arial" w:cs="Arial"/>
          <w:b/>
          <w:sz w:val="24"/>
          <w:lang w:val="en-US"/>
        </w:rPr>
        <w:t xml:space="preserve">NR </w:t>
      </w:r>
      <w:r>
        <w:rPr>
          <w:rFonts w:ascii="Arial" w:hAnsi="Arial" w:cs="Arial"/>
          <w:b/>
          <w:sz w:val="24"/>
          <w:lang w:val="en-US"/>
        </w:rPr>
        <w:t xml:space="preserve">V2X </w:t>
      </w:r>
      <w:r w:rsidR="00FF5184">
        <w:rPr>
          <w:rFonts w:ascii="Arial" w:hAnsi="Arial" w:cs="Arial"/>
          <w:b/>
          <w:sz w:val="24"/>
          <w:lang w:val="en-US"/>
        </w:rPr>
        <w:t>Physical Layer Structure</w:t>
      </w:r>
    </w:p>
    <w:p w14:paraId="0FB4EF1C" w14:textId="77777777"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7.2.4.1.1</w:t>
      </w:r>
    </w:p>
    <w:p w14:paraId="2B45D040" w14:textId="77777777"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77777777" w:rsidR="00741BC0" w:rsidRDefault="00741BC0" w:rsidP="00741BC0">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 in relation to physical </w:t>
      </w:r>
      <w:proofErr w:type="gramStart"/>
      <w:r>
        <w:t>layer</w:t>
      </w:r>
      <w:proofErr w:type="gramEnd"/>
      <w:r>
        <w:t xml:space="preserve"> structures:</w:t>
      </w:r>
    </w:p>
    <w:tbl>
      <w:tblPr>
        <w:tblStyle w:val="TableGrid"/>
        <w:tblW w:w="0" w:type="auto"/>
        <w:tblLook w:val="04A0" w:firstRow="1" w:lastRow="0" w:firstColumn="1" w:lastColumn="0" w:noHBand="0" w:noVBand="1"/>
      </w:tblPr>
      <w:tblGrid>
        <w:gridCol w:w="9895"/>
      </w:tblGrid>
      <w:tr w:rsidR="00741BC0" w14:paraId="329628FB" w14:textId="77777777" w:rsidTr="0043111E">
        <w:tc>
          <w:tcPr>
            <w:tcW w:w="9895" w:type="dxa"/>
          </w:tcPr>
          <w:p w14:paraId="2133D988" w14:textId="77777777" w:rsidR="00741BC0" w:rsidRDefault="00741BC0" w:rsidP="0043111E">
            <w:pPr>
              <w:pStyle w:val="3GPPNormalText"/>
            </w:pPr>
            <w:r>
              <w:t>This study item includes the following objectives, considering in-network coverage, out-of-network coverage, and partial network coverage:</w:t>
            </w:r>
          </w:p>
          <w:p w14:paraId="5D2D0215" w14:textId="77777777" w:rsidR="00741BC0" w:rsidRPr="00CC13D3" w:rsidRDefault="00741BC0" w:rsidP="0043111E">
            <w:pPr>
              <w:pStyle w:val="3GPPNormalText"/>
            </w:pPr>
            <w:r w:rsidRPr="00CC13D3">
              <w:t>1: Sidelink design [RAN1, RAN2]:</w:t>
            </w:r>
          </w:p>
          <w:p w14:paraId="22B5CB01" w14:textId="77777777" w:rsidR="00741BC0" w:rsidRDefault="00741BC0" w:rsidP="0043111E">
            <w:pPr>
              <w:pStyle w:val="3GPPNormalText"/>
            </w:pPr>
            <w:r>
              <w:t></w:t>
            </w:r>
            <w:r>
              <w:tab/>
              <w:t xml:space="preserve">Identify technical solutions for a NR sidelink design to meet the requirements of advanced V2X services, including </w:t>
            </w:r>
          </w:p>
          <w:p w14:paraId="3339A401" w14:textId="77777777" w:rsidR="00741BC0" w:rsidRDefault="00741BC0" w:rsidP="0043111E">
            <w:pPr>
              <w:pStyle w:val="3GPPNormalText"/>
              <w:ind w:left="338"/>
            </w:pPr>
            <w:r>
              <w:t>-</w:t>
            </w:r>
            <w:r>
              <w:tab/>
              <w:t>Study the support of sidelink unicast, sidelink groupcast and sidelink broadcast</w:t>
            </w:r>
          </w:p>
          <w:p w14:paraId="45558E82" w14:textId="77777777" w:rsidR="00741BC0" w:rsidRDefault="00741BC0" w:rsidP="0043111E">
            <w:pPr>
              <w:pStyle w:val="3GPPNormalText"/>
              <w:ind w:left="338"/>
            </w:pPr>
            <w:r>
              <w:t>-</w:t>
            </w:r>
            <w:r>
              <w:tab/>
            </w:r>
            <w:r w:rsidRPr="00F50510">
              <w:rPr>
                <w:b/>
              </w:rPr>
              <w:t>Study NR sidelink physical layer structures and procedure(s)</w:t>
            </w:r>
          </w:p>
          <w:p w14:paraId="7E48EA63" w14:textId="77777777" w:rsidR="00741BC0" w:rsidRDefault="00741BC0" w:rsidP="0043111E">
            <w:pPr>
              <w:pStyle w:val="3GPPNormalText"/>
              <w:ind w:left="338"/>
            </w:pPr>
            <w:r>
              <w:t>-</w:t>
            </w:r>
            <w:r>
              <w:tab/>
              <w:t>Study sidelink synchronization mechanism</w:t>
            </w:r>
          </w:p>
          <w:p w14:paraId="4E54DE03" w14:textId="77777777" w:rsidR="00741BC0" w:rsidRPr="00CC13D3" w:rsidRDefault="00741BC0" w:rsidP="0043111E">
            <w:pPr>
              <w:pStyle w:val="3GPPNormalText"/>
              <w:ind w:left="338"/>
              <w:rPr>
                <w:b/>
              </w:rPr>
            </w:pPr>
            <w:r w:rsidRPr="00CC13D3">
              <w:rPr>
                <w:b/>
              </w:rPr>
              <w:t>-</w:t>
            </w:r>
            <w:r w:rsidRPr="00CC13D3">
              <w:rPr>
                <w:b/>
              </w:rPr>
              <w:tab/>
            </w:r>
            <w:r w:rsidRPr="00F50510">
              <w:t>Study sidelink resource allocation mechanism (also including objective 3)</w:t>
            </w:r>
          </w:p>
          <w:p w14:paraId="28D5F148" w14:textId="77777777" w:rsidR="00741BC0" w:rsidRDefault="00741BC0" w:rsidP="0043111E">
            <w:pPr>
              <w:pStyle w:val="3GPPNormalText"/>
              <w:ind w:left="338"/>
            </w:pPr>
            <w:r>
              <w:t>-</w:t>
            </w:r>
            <w:r>
              <w:tab/>
              <w:t>Study sidelink L2/L3 protocols</w:t>
            </w:r>
          </w:p>
        </w:tc>
      </w:tr>
    </w:tbl>
    <w:p w14:paraId="45AEE625" w14:textId="77777777" w:rsidR="00741BC0" w:rsidRDefault="00741BC0" w:rsidP="00741BC0">
      <w:pPr>
        <w:pStyle w:val="3GPPNormalText"/>
      </w:pPr>
    </w:p>
    <w:p w14:paraId="1A3360C1" w14:textId="77777777" w:rsidR="00020E9F" w:rsidRDefault="00020E9F" w:rsidP="00020E9F">
      <w:pPr>
        <w:pStyle w:val="3GPPNormalText"/>
      </w:pPr>
      <w:r>
        <w:t>In the previous RAN1 Ad-Hoc Meeting 1901 in Taipei, the following agreements were made [2]:</w:t>
      </w:r>
    </w:p>
    <w:p w14:paraId="4DF4B609" w14:textId="77777777" w:rsidR="00020E9F" w:rsidRPr="00020E9F" w:rsidRDefault="00020E9F" w:rsidP="00020E9F">
      <w:pPr>
        <w:pStyle w:val="3GPPNormalText"/>
        <w:numPr>
          <w:ilvl w:val="0"/>
          <w:numId w:val="37"/>
        </w:numPr>
        <w:ind w:left="360"/>
        <w:rPr>
          <w:rFonts w:eastAsiaTheme="minorHAnsi"/>
          <w:szCs w:val="20"/>
          <w:lang w:val="en-GB" w:eastAsia="ko-KR"/>
        </w:rPr>
      </w:pPr>
      <w:r w:rsidRPr="00020E9F">
        <w:rPr>
          <w:rFonts w:eastAsiaTheme="minorHAnsi"/>
          <w:szCs w:val="20"/>
          <w:lang w:val="en-GB" w:eastAsia="ko-KR"/>
        </w:rPr>
        <w:t>Confirm the working assumption</w:t>
      </w:r>
    </w:p>
    <w:p w14:paraId="3FF8577A" w14:textId="77777777" w:rsidR="00020E9F" w:rsidRPr="00020E9F" w:rsidRDefault="00020E9F" w:rsidP="00020E9F">
      <w:pPr>
        <w:pStyle w:val="3GPPNormalText"/>
        <w:numPr>
          <w:ilvl w:val="1"/>
          <w:numId w:val="37"/>
        </w:numPr>
        <w:ind w:left="720"/>
        <w:rPr>
          <w:rFonts w:eastAsiaTheme="minorHAnsi"/>
          <w:szCs w:val="20"/>
          <w:lang w:val="en-GB" w:eastAsia="ko-KR"/>
        </w:rPr>
      </w:pPr>
      <w:r w:rsidRPr="00020E9F">
        <w:rPr>
          <w:rFonts w:eastAsiaTheme="minorHAnsi"/>
          <w:szCs w:val="20"/>
          <w:lang w:val="en-GB" w:eastAsia="ko-KR"/>
        </w:rPr>
        <w:t>Working assumption: only one SL BWP is configured in a carrier for a NR V2X UE</w:t>
      </w:r>
    </w:p>
    <w:p w14:paraId="3540C5DA" w14:textId="77777777" w:rsidR="00020E9F" w:rsidRPr="00020E9F" w:rsidRDefault="00020E9F" w:rsidP="00020E9F">
      <w:pPr>
        <w:pStyle w:val="3GPPNormalText"/>
        <w:numPr>
          <w:ilvl w:val="0"/>
          <w:numId w:val="37"/>
        </w:numPr>
        <w:ind w:left="360"/>
        <w:rPr>
          <w:rFonts w:eastAsiaTheme="minorHAnsi"/>
          <w:szCs w:val="20"/>
          <w:lang w:val="en-GB" w:eastAsia="ko-KR"/>
        </w:rPr>
      </w:pPr>
      <w:r w:rsidRPr="00020E9F">
        <w:rPr>
          <w:rFonts w:eastAsiaTheme="minorHAnsi"/>
          <w:szCs w:val="20"/>
          <w:lang w:val="en-GB" w:eastAsia="ko-KR"/>
        </w:rPr>
        <w:t xml:space="preserve">Configuration for SL BWP is separated from </w:t>
      </w:r>
      <w:proofErr w:type="spellStart"/>
      <w:r w:rsidRPr="00020E9F">
        <w:rPr>
          <w:rFonts w:eastAsiaTheme="minorHAnsi"/>
          <w:szCs w:val="20"/>
          <w:lang w:val="en-GB" w:eastAsia="ko-KR"/>
        </w:rPr>
        <w:t>Uu</w:t>
      </w:r>
      <w:proofErr w:type="spellEnd"/>
      <w:r w:rsidRPr="00020E9F">
        <w:rPr>
          <w:rFonts w:eastAsiaTheme="minorHAnsi"/>
          <w:szCs w:val="20"/>
          <w:lang w:val="en-GB" w:eastAsia="ko-KR"/>
        </w:rPr>
        <w:t xml:space="preserve"> BWP configuration signalling.</w:t>
      </w:r>
    </w:p>
    <w:p w14:paraId="10F31091" w14:textId="77777777" w:rsidR="00020E9F" w:rsidRPr="00020E9F" w:rsidRDefault="00020E9F" w:rsidP="00020E9F">
      <w:pPr>
        <w:pStyle w:val="3GPPNormalText"/>
        <w:numPr>
          <w:ilvl w:val="1"/>
          <w:numId w:val="37"/>
        </w:numPr>
        <w:ind w:left="720"/>
        <w:rPr>
          <w:rFonts w:eastAsiaTheme="minorHAnsi"/>
          <w:szCs w:val="20"/>
          <w:lang w:val="en-GB" w:eastAsia="ko-KR"/>
        </w:rPr>
      </w:pPr>
      <w:r w:rsidRPr="00020E9F">
        <w:rPr>
          <w:rFonts w:eastAsiaTheme="minorHAnsi"/>
          <w:szCs w:val="20"/>
          <w:lang w:val="en-GB" w:eastAsia="ko-KR"/>
        </w:rPr>
        <w:t>UE is not expected to use different numerology in the configured SL BWP and active UL BWP in the same carrier at a given time.</w:t>
      </w:r>
    </w:p>
    <w:p w14:paraId="57CF5262" w14:textId="77777777" w:rsidR="00020E9F" w:rsidRPr="00020E9F" w:rsidRDefault="00020E9F" w:rsidP="00020E9F">
      <w:pPr>
        <w:pStyle w:val="3GPPNormalText"/>
        <w:numPr>
          <w:ilvl w:val="2"/>
          <w:numId w:val="37"/>
        </w:numPr>
        <w:ind w:left="1080"/>
        <w:rPr>
          <w:rFonts w:eastAsiaTheme="minorHAnsi"/>
          <w:szCs w:val="20"/>
          <w:lang w:val="en-GB" w:eastAsia="ko-KR"/>
        </w:rPr>
      </w:pPr>
      <w:r w:rsidRPr="00020E9F">
        <w:rPr>
          <w:rFonts w:eastAsiaTheme="minorHAnsi"/>
          <w:szCs w:val="20"/>
          <w:lang w:val="en-GB" w:eastAsia="ko-KR"/>
        </w:rPr>
        <w:t>FFS the time scale</w:t>
      </w:r>
    </w:p>
    <w:p w14:paraId="47984CEC" w14:textId="77777777" w:rsidR="00020E9F" w:rsidRPr="00020E9F" w:rsidRDefault="00020E9F" w:rsidP="00020E9F">
      <w:pPr>
        <w:pStyle w:val="3GPPNormalText"/>
        <w:numPr>
          <w:ilvl w:val="2"/>
          <w:numId w:val="37"/>
        </w:numPr>
        <w:ind w:left="1080"/>
        <w:rPr>
          <w:rFonts w:eastAsiaTheme="minorHAnsi"/>
          <w:szCs w:val="20"/>
          <w:lang w:val="en-GB" w:eastAsia="ko-KR"/>
        </w:rPr>
      </w:pPr>
      <w:r w:rsidRPr="00020E9F">
        <w:rPr>
          <w:rFonts w:eastAsiaTheme="minorHAnsi"/>
          <w:szCs w:val="20"/>
          <w:lang w:val="en-GB" w:eastAsia="ko-KR"/>
        </w:rPr>
        <w:t xml:space="preserve">FFS relation to DL BWP including initial </w:t>
      </w:r>
      <w:proofErr w:type="spellStart"/>
      <w:r w:rsidRPr="00020E9F">
        <w:rPr>
          <w:rFonts w:eastAsiaTheme="minorHAnsi"/>
          <w:szCs w:val="20"/>
          <w:lang w:val="en-GB" w:eastAsia="ko-KR"/>
        </w:rPr>
        <w:t>Uu</w:t>
      </w:r>
      <w:proofErr w:type="spellEnd"/>
      <w:r w:rsidRPr="00020E9F">
        <w:rPr>
          <w:rFonts w:eastAsiaTheme="minorHAnsi"/>
          <w:szCs w:val="20"/>
          <w:lang w:val="en-GB" w:eastAsia="ko-KR"/>
        </w:rPr>
        <w:t xml:space="preserve"> BWP</w:t>
      </w:r>
    </w:p>
    <w:p w14:paraId="38CBD2FA" w14:textId="77777777" w:rsidR="00020E9F" w:rsidRPr="00020E9F" w:rsidRDefault="00020E9F" w:rsidP="00020E9F">
      <w:pPr>
        <w:pStyle w:val="3GPPNormalText"/>
        <w:numPr>
          <w:ilvl w:val="2"/>
          <w:numId w:val="37"/>
        </w:numPr>
        <w:ind w:left="1080"/>
        <w:rPr>
          <w:rFonts w:eastAsiaTheme="minorHAnsi"/>
          <w:szCs w:val="20"/>
          <w:lang w:val="en-GB" w:eastAsia="ko-KR"/>
        </w:rPr>
      </w:pPr>
      <w:r w:rsidRPr="00020E9F">
        <w:rPr>
          <w:rFonts w:eastAsiaTheme="minorHAnsi"/>
          <w:szCs w:val="20"/>
          <w:lang w:val="en-GB" w:eastAsia="ko-KR"/>
        </w:rPr>
        <w:t>FFS relation in terms of frequency location and bandwidth</w:t>
      </w:r>
    </w:p>
    <w:p w14:paraId="5F284081" w14:textId="013AFEE0" w:rsidR="00020E9F" w:rsidRPr="00020E9F" w:rsidRDefault="00020E9F" w:rsidP="00020E9F">
      <w:pPr>
        <w:pStyle w:val="3GPPNormalText"/>
        <w:numPr>
          <w:ilvl w:val="0"/>
          <w:numId w:val="37"/>
        </w:numPr>
        <w:ind w:left="360"/>
        <w:rPr>
          <w:lang w:val="en-GB"/>
        </w:rPr>
      </w:pPr>
      <w:r w:rsidRPr="00020E9F">
        <w:rPr>
          <w:lang w:val="en-GB"/>
        </w:rPr>
        <w:t xml:space="preserve">For time domain resources of a resource pool for PSSCH, </w:t>
      </w:r>
    </w:p>
    <w:p w14:paraId="263F7167" w14:textId="0A57D0FE" w:rsidR="00020E9F" w:rsidRPr="00020E9F" w:rsidRDefault="00020E9F" w:rsidP="00020E9F">
      <w:pPr>
        <w:pStyle w:val="3GPPNormalText"/>
        <w:numPr>
          <w:ilvl w:val="1"/>
          <w:numId w:val="37"/>
        </w:numPr>
        <w:ind w:left="720"/>
        <w:rPr>
          <w:lang w:val="en-GB"/>
        </w:rPr>
      </w:pPr>
      <w:r w:rsidRPr="00020E9F">
        <w:rPr>
          <w:lang w:val="en-GB"/>
        </w:rPr>
        <w:t>Support the case where the resource pool consists of non-contiguous time resources</w:t>
      </w:r>
    </w:p>
    <w:p w14:paraId="6AEE3C68" w14:textId="515744A4" w:rsidR="00020E9F" w:rsidRPr="00020E9F" w:rsidRDefault="00020E9F" w:rsidP="00020E9F">
      <w:pPr>
        <w:pStyle w:val="3GPPNormalText"/>
        <w:numPr>
          <w:ilvl w:val="1"/>
          <w:numId w:val="37"/>
        </w:numPr>
        <w:ind w:left="720"/>
        <w:rPr>
          <w:lang w:val="en-GB"/>
        </w:rPr>
      </w:pPr>
      <w:r w:rsidRPr="00020E9F">
        <w:rPr>
          <w:lang w:val="en-GB"/>
        </w:rPr>
        <w:t>FFS details including granularity</w:t>
      </w:r>
    </w:p>
    <w:p w14:paraId="50904044" w14:textId="492F9EA4" w:rsidR="00020E9F" w:rsidRPr="00020E9F" w:rsidRDefault="00020E9F" w:rsidP="00020E9F">
      <w:pPr>
        <w:pStyle w:val="3GPPNormalText"/>
        <w:numPr>
          <w:ilvl w:val="0"/>
          <w:numId w:val="37"/>
        </w:numPr>
        <w:ind w:left="360"/>
        <w:rPr>
          <w:lang w:val="en-GB"/>
        </w:rPr>
      </w:pPr>
      <w:r w:rsidRPr="00020E9F">
        <w:rPr>
          <w:lang w:val="en-GB"/>
        </w:rPr>
        <w:t xml:space="preserve">For frequency domain resources of a resource pool for PSSCH, </w:t>
      </w:r>
    </w:p>
    <w:p w14:paraId="48FE4C7D" w14:textId="2A5DF995" w:rsidR="00020E9F" w:rsidRPr="00020E9F" w:rsidRDefault="00020E9F" w:rsidP="00020E9F">
      <w:pPr>
        <w:pStyle w:val="3GPPNormalText"/>
        <w:numPr>
          <w:ilvl w:val="1"/>
          <w:numId w:val="37"/>
        </w:numPr>
        <w:ind w:left="720"/>
        <w:rPr>
          <w:lang w:val="en-GB"/>
        </w:rPr>
      </w:pPr>
      <w:r w:rsidRPr="00020E9F">
        <w:rPr>
          <w:lang w:val="en-GB"/>
        </w:rPr>
        <w:t>Down select following options:</w:t>
      </w:r>
    </w:p>
    <w:p w14:paraId="5EC944CE" w14:textId="696C372A" w:rsidR="00020E9F" w:rsidRPr="00020E9F" w:rsidRDefault="00020E9F" w:rsidP="00020E9F">
      <w:pPr>
        <w:pStyle w:val="3GPPNormalText"/>
        <w:numPr>
          <w:ilvl w:val="2"/>
          <w:numId w:val="37"/>
        </w:numPr>
        <w:ind w:left="1080"/>
        <w:rPr>
          <w:lang w:val="en-GB"/>
        </w:rPr>
      </w:pPr>
      <w:r w:rsidRPr="00020E9F">
        <w:rPr>
          <w:lang w:val="en-GB"/>
        </w:rPr>
        <w:lastRenderedPageBreak/>
        <w:t>Option 1: The resource pool always consists of contiguous PRBs</w:t>
      </w:r>
    </w:p>
    <w:p w14:paraId="5C28E3F2" w14:textId="1A817467" w:rsidR="00741BC0" w:rsidRDefault="00020E9F" w:rsidP="00020E9F">
      <w:pPr>
        <w:pStyle w:val="3GPPNormalText"/>
        <w:numPr>
          <w:ilvl w:val="2"/>
          <w:numId w:val="37"/>
        </w:numPr>
        <w:ind w:left="1080"/>
        <w:rPr>
          <w:lang w:val="en-GB"/>
        </w:rPr>
      </w:pPr>
      <w:r w:rsidRPr="00020E9F">
        <w:rPr>
          <w:lang w:val="en-GB"/>
        </w:rPr>
        <w:t>Option 2: The resource pool can consist of non-contiguous PRBs</w:t>
      </w:r>
    </w:p>
    <w:p w14:paraId="735B5D5F" w14:textId="77777777" w:rsidR="001C185A" w:rsidRPr="00A67DD8" w:rsidRDefault="001C185A" w:rsidP="0040380E">
      <w:pPr>
        <w:pStyle w:val="3GPPNormalText"/>
        <w:rPr>
          <w:lang w:val="en-GB"/>
        </w:rPr>
      </w:pPr>
    </w:p>
    <w:p w14:paraId="3E568109" w14:textId="3B68CFCF" w:rsidR="00D46450" w:rsidRDefault="00D46450" w:rsidP="00D46450">
      <w:pPr>
        <w:pStyle w:val="Heading1"/>
        <w:rPr>
          <w:lang w:val="en-US"/>
        </w:rPr>
      </w:pPr>
      <w:bookmarkStart w:id="1" w:name="OLE_LINK15"/>
      <w:bookmarkStart w:id="2" w:name="OLE_LINK16"/>
      <w:r>
        <w:rPr>
          <w:lang w:val="en-US"/>
        </w:rPr>
        <w:t xml:space="preserve">Resource Pools Defined in </w:t>
      </w:r>
      <w:r w:rsidR="007322C7">
        <w:rPr>
          <w:lang w:val="en-US"/>
        </w:rPr>
        <w:t>SL</w:t>
      </w:r>
      <w:r>
        <w:rPr>
          <w:lang w:val="en-US"/>
        </w:rPr>
        <w:t xml:space="preserve"> BWP</w:t>
      </w:r>
    </w:p>
    <w:p w14:paraId="17A11428" w14:textId="77777777" w:rsidR="00007D00" w:rsidRDefault="00007D00" w:rsidP="00DF1FE7">
      <w:pPr>
        <w:jc w:val="both"/>
        <w:rPr>
          <w:sz w:val="22"/>
          <w:szCs w:val="22"/>
          <w:lang w:val="en-US"/>
        </w:rPr>
      </w:pPr>
      <w:r>
        <w:rPr>
          <w:sz w:val="22"/>
          <w:szCs w:val="22"/>
          <w:lang w:val="en-US"/>
        </w:rPr>
        <w:t xml:space="preserve">This section delves into the </w:t>
      </w:r>
      <w:r w:rsidR="005C303F">
        <w:rPr>
          <w:sz w:val="22"/>
          <w:szCs w:val="22"/>
          <w:lang w:val="en-US"/>
        </w:rPr>
        <w:t>introduction of resource pools within the BWPs, along with the possible designs, definitions and configuration options of the resource pools.</w:t>
      </w:r>
    </w:p>
    <w:p w14:paraId="198F0CDD" w14:textId="5F707A06" w:rsidR="005C303F" w:rsidRDefault="005C303F" w:rsidP="005C303F">
      <w:pPr>
        <w:pStyle w:val="Heading2"/>
        <w:tabs>
          <w:tab w:val="clear" w:pos="1002"/>
          <w:tab w:val="num" w:pos="540"/>
        </w:tabs>
        <w:ind w:left="540"/>
      </w:pPr>
      <w:r>
        <w:t xml:space="preserve">Configuration of Resource Pools </w:t>
      </w:r>
      <w:r w:rsidR="002C1081">
        <w:t xml:space="preserve">in </w:t>
      </w:r>
      <w:r w:rsidR="007322C7">
        <w:t xml:space="preserve">SL </w:t>
      </w:r>
      <w:r>
        <w:t>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77777777"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w:t>
      </w:r>
      <w:proofErr w:type="spellStart"/>
      <w:r w:rsidRPr="005C303F">
        <w:t>QoS</w:t>
      </w:r>
      <w:proofErr w:type="spellEnd"/>
      <w:r w:rsidRPr="005C303F">
        <w:t xml:space="preserve"> conditions, provides the UEs with the configuration of the resource pools within the BWP via DCI signalling.</w:t>
      </w:r>
    </w:p>
    <w:p w14:paraId="59E68BE0" w14:textId="77777777" w:rsidR="005C303F" w:rsidRDefault="002C1081" w:rsidP="005C303F">
      <w:pPr>
        <w:pStyle w:val="3GPPNormalText"/>
        <w:rPr>
          <w:szCs w:val="22"/>
        </w:rPr>
      </w:pPr>
      <w:r>
        <w:rPr>
          <w:szCs w:val="22"/>
        </w:rPr>
        <w:t xml:space="preserve">When the UEs operate in Mode 2, the gNB can also provide </w:t>
      </w:r>
      <w:r w:rsidR="00950803">
        <w:rPr>
          <w:szCs w:val="22"/>
        </w:rPr>
        <w:t>cell-specific BWP configurations</w:t>
      </w:r>
      <w:r w:rsidR="00023D9B">
        <w:rPr>
          <w:szCs w:val="22"/>
        </w:rPr>
        <w:t xml:space="preserve"> or </w:t>
      </w:r>
      <w:r>
        <w:rPr>
          <w:szCs w:val="22"/>
        </w:rPr>
        <w:t>pre-configured BWPs with resource pools within them.</w:t>
      </w:r>
    </w:p>
    <w:p w14:paraId="5D6D9D8D" w14:textId="473783A9" w:rsidR="002C1081" w:rsidRDefault="002C1081" w:rsidP="002C1081">
      <w:pPr>
        <w:pStyle w:val="3GPPNormalText"/>
        <w:rPr>
          <w:b/>
        </w:rPr>
      </w:pPr>
      <w:r w:rsidRPr="00E6311E">
        <w:rPr>
          <w:b/>
        </w:rPr>
        <w:t>O</w:t>
      </w:r>
      <w:r>
        <w:rPr>
          <w:b/>
        </w:rPr>
        <w:t xml:space="preserve">bservation </w:t>
      </w:r>
      <w:r w:rsidR="001C185A">
        <w:rPr>
          <w:b/>
        </w:rPr>
        <w:t>1</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of the BWP, or by the gNB.</w:t>
      </w:r>
    </w:p>
    <w:p w14:paraId="5141FF44" w14:textId="77777777" w:rsidR="002C1081" w:rsidRPr="005C303F" w:rsidRDefault="002C1081" w:rsidP="005C303F">
      <w:pPr>
        <w:pStyle w:val="3GPPNormalText"/>
      </w:pPr>
    </w:p>
    <w:p w14:paraId="6BEAB3C2" w14:textId="77777777" w:rsidR="00D46450" w:rsidRDefault="00D46450" w:rsidP="00D46450">
      <w:pPr>
        <w:pStyle w:val="Heading2"/>
        <w:tabs>
          <w:tab w:val="clear" w:pos="1002"/>
          <w:tab w:val="num" w:pos="540"/>
        </w:tabs>
        <w:ind w:left="540"/>
      </w:pPr>
      <w:r>
        <w:t>Criteria for Segregation of BWPs into Multiple Resource Pools</w:t>
      </w:r>
    </w:p>
    <w:p w14:paraId="25FF1470" w14:textId="77777777" w:rsidR="002C1081" w:rsidRDefault="002C1081" w:rsidP="00DF1FE7">
      <w:pPr>
        <w:jc w:val="both"/>
        <w:rPr>
          <w:sz w:val="22"/>
          <w:szCs w:val="22"/>
        </w:rPr>
      </w:pPr>
      <w:r>
        <w:rPr>
          <w:sz w:val="22"/>
          <w:szCs w:val="22"/>
        </w:rPr>
        <w:t xml:space="preserve">The definition of multiple resource pools within a BWP opens up the possibility of assigning individual resource pools </w:t>
      </w:r>
      <w:r w:rsidR="00710530">
        <w:rPr>
          <w:sz w:val="22"/>
          <w:szCs w:val="22"/>
        </w:rPr>
        <w:t xml:space="preserve">for </w:t>
      </w:r>
      <w:r>
        <w:rPr>
          <w:sz w:val="22"/>
          <w:szCs w:val="22"/>
        </w:rPr>
        <w:t>different purposes, thereby segregating the BWP. This would result in lesser competition among UEs looking for resources that meet certain criteria.</w:t>
      </w:r>
    </w:p>
    <w:p w14:paraId="45BFC303" w14:textId="77777777" w:rsidR="002C1081" w:rsidRDefault="002C1081" w:rsidP="00D46450">
      <w:pPr>
        <w:rPr>
          <w:sz w:val="22"/>
          <w:szCs w:val="22"/>
        </w:rPr>
      </w:pPr>
      <w:r>
        <w:rPr>
          <w:sz w:val="22"/>
          <w:szCs w:val="22"/>
        </w:rPr>
        <w:t>The different criteria under which the BWP could be segregated into resource pools are listed below:</w:t>
      </w:r>
    </w:p>
    <w:p w14:paraId="68A91803" w14:textId="77777777" w:rsidR="00861125" w:rsidRDefault="002C1081" w:rsidP="00145B16">
      <w:pPr>
        <w:pStyle w:val="3GPPNormalText"/>
        <w:numPr>
          <w:ilvl w:val="0"/>
          <w:numId w:val="33"/>
        </w:numPr>
      </w:pPr>
      <w:r w:rsidRPr="00151D7E">
        <w:rPr>
          <w:b/>
        </w:rPr>
        <w:t xml:space="preserve">Communication </w:t>
      </w:r>
      <w:r w:rsidR="005D1142" w:rsidRPr="00151D7E">
        <w:rPr>
          <w:b/>
        </w:rPr>
        <w:t>T</w:t>
      </w:r>
      <w:r w:rsidRPr="00151D7E">
        <w:rPr>
          <w:b/>
        </w:rPr>
        <w:t>ypes</w:t>
      </w:r>
      <w:r w:rsidRPr="00145B16">
        <w:t xml:space="preserve"> – </w:t>
      </w:r>
      <w:r w:rsidR="005D1142">
        <w:t>B</w:t>
      </w:r>
      <w:r w:rsidRPr="00145B16">
        <w:t xml:space="preserve">roadcast, </w:t>
      </w:r>
      <w:r w:rsidR="005D1142">
        <w:t>G</w:t>
      </w:r>
      <w:r w:rsidRPr="00145B16">
        <w:t xml:space="preserve">roupcast and </w:t>
      </w:r>
      <w:r w:rsidR="005D1142">
        <w:t>U</w:t>
      </w:r>
      <w:r w:rsidRPr="00145B16">
        <w:t>nicast</w:t>
      </w:r>
    </w:p>
    <w:p w14:paraId="3A0B27B2" w14:textId="266E69AF" w:rsidR="002C1081" w:rsidRPr="00145B16" w:rsidRDefault="00861125" w:rsidP="005D1142">
      <w:pPr>
        <w:pStyle w:val="3GPPNormalText"/>
        <w:ind w:left="720"/>
      </w:pPr>
      <w:r>
        <w:t>E</w:t>
      </w:r>
      <w:r w:rsidRPr="00861125">
        <w:t xml:space="preserve">ach of the communication types have different reliability and latency requirements that have to be adhered to. </w:t>
      </w:r>
      <w:r>
        <w:t xml:space="preserve">The definition of resource pools for each communication type would ensure that there is no contention for resources across communication types and </w:t>
      </w:r>
      <w:r w:rsidRPr="00861125">
        <w:t>would enable the efficient segregation of resources based on the requirements to be met</w:t>
      </w:r>
      <w:r>
        <w:t xml:space="preserve">. </w:t>
      </w:r>
      <w:r w:rsidR="00512401">
        <w:t>The design for the broadcast resource pool would vary from that of the unicast and groupcast resource pools also because of the introduction of the feedback channel (PSCFH), which is discussed in further detail in our accompanying contribution [</w:t>
      </w:r>
      <w:r w:rsidR="005966B1">
        <w:t>3</w:t>
      </w:r>
      <w:r w:rsidR="00512401">
        <w:t>].</w:t>
      </w:r>
    </w:p>
    <w:p w14:paraId="58FEB420" w14:textId="77777777" w:rsidR="00861125" w:rsidRDefault="005D1142" w:rsidP="00145B16">
      <w:pPr>
        <w:pStyle w:val="3GPPNormalText"/>
        <w:numPr>
          <w:ilvl w:val="0"/>
          <w:numId w:val="33"/>
        </w:numPr>
      </w:pPr>
      <w:r w:rsidRPr="00151D7E">
        <w:rPr>
          <w:b/>
        </w:rPr>
        <w:t>Traffic T</w:t>
      </w:r>
      <w:r w:rsidR="002C1081" w:rsidRPr="00151D7E">
        <w:rPr>
          <w:b/>
        </w:rPr>
        <w:t>ypes</w:t>
      </w:r>
      <w:r w:rsidR="002C1081" w:rsidRPr="00145B16">
        <w:t xml:space="preserve"> – </w:t>
      </w:r>
      <w:r>
        <w:t>P</w:t>
      </w:r>
      <w:r w:rsidR="002C1081" w:rsidRPr="00145B16">
        <w:t xml:space="preserve">eriodic and </w:t>
      </w:r>
      <w:r>
        <w:t>A</w:t>
      </w:r>
      <w:r w:rsidR="002C1081" w:rsidRPr="00145B16">
        <w:t>periodic</w:t>
      </w:r>
    </w:p>
    <w:p w14:paraId="3E510F02" w14:textId="77777777" w:rsidR="002C1081" w:rsidRPr="00145B16" w:rsidRDefault="00861125" w:rsidP="005D1142">
      <w:pPr>
        <w:pStyle w:val="3GPPNormalText"/>
        <w:ind w:left="720"/>
      </w:pPr>
      <w:r>
        <w:t>S</w:t>
      </w:r>
      <w:r w:rsidRPr="00861125">
        <w:t>egregation based o</w:t>
      </w:r>
      <w:r>
        <w:t>n traffic types, periodic (SPS transmissions</w:t>
      </w:r>
      <w:r w:rsidRPr="00861125">
        <w:t>) and aperiodic traffic (</w:t>
      </w:r>
      <w:r>
        <w:t>one-shot transmissions), enable</w:t>
      </w:r>
      <w:r w:rsidRPr="00861125">
        <w:t xml:space="preserve"> </w:t>
      </w:r>
      <w:r w:rsidR="009E3471">
        <w:t xml:space="preserve">the </w:t>
      </w:r>
      <w:r>
        <w:t xml:space="preserve">employing </w:t>
      </w:r>
      <w:r w:rsidR="009E3471">
        <w:t xml:space="preserve">of </w:t>
      </w:r>
      <w:r w:rsidRPr="00861125">
        <w:t xml:space="preserve">different </w:t>
      </w:r>
      <w:r>
        <w:t>sensing mechanisms</w:t>
      </w:r>
      <w:r w:rsidRPr="00861125">
        <w:t xml:space="preserve"> in these resource pools.</w:t>
      </w:r>
    </w:p>
    <w:p w14:paraId="324B91EE" w14:textId="77777777" w:rsidR="009E3471" w:rsidRDefault="00145B16" w:rsidP="00145B16">
      <w:pPr>
        <w:pStyle w:val="3GPPNormalText"/>
        <w:numPr>
          <w:ilvl w:val="0"/>
          <w:numId w:val="33"/>
        </w:numPr>
      </w:pPr>
      <w:r w:rsidRPr="00151D7E">
        <w:rPr>
          <w:b/>
        </w:rPr>
        <w:t xml:space="preserve">Operation </w:t>
      </w:r>
      <w:r w:rsidR="005D1142" w:rsidRPr="00151D7E">
        <w:rPr>
          <w:b/>
        </w:rPr>
        <w:t>M</w:t>
      </w:r>
      <w:r w:rsidRPr="00151D7E">
        <w:rPr>
          <w:b/>
        </w:rPr>
        <w:t>odes</w:t>
      </w:r>
      <w:r w:rsidRPr="00145B16">
        <w:t xml:space="preserve"> – Mode 1 and Mode 2</w:t>
      </w:r>
    </w:p>
    <w:p w14:paraId="35668D4B" w14:textId="7B9A8BBC" w:rsidR="001C185A" w:rsidRPr="00145B16" w:rsidRDefault="009E3471" w:rsidP="00512401">
      <w:pPr>
        <w:pStyle w:val="3GPPNormalText"/>
        <w:ind w:left="720"/>
      </w:pPr>
      <w:r>
        <w:t>S</w:t>
      </w:r>
      <w:r w:rsidRPr="009E3471">
        <w:t>egregation of the BWP based on the operation modes would enable different procedures to be followed in these resource pools.</w:t>
      </w:r>
      <w:r>
        <w:t xml:space="preserve"> This can be particularly advantageous for the requirement where </w:t>
      </w:r>
      <w:r w:rsidRPr="009E3471">
        <w:t>UE</w:t>
      </w:r>
      <w:r>
        <w:t>s</w:t>
      </w:r>
      <w:r w:rsidRPr="009E3471">
        <w:t xml:space="preserve"> can simultaneously operate in both modes, for traffic being generated by different applications.</w:t>
      </w:r>
    </w:p>
    <w:p w14:paraId="24C67340" w14:textId="77777777" w:rsidR="009E3471" w:rsidRPr="00151D7E" w:rsidRDefault="005D1142" w:rsidP="00145B16">
      <w:pPr>
        <w:pStyle w:val="3GPPNormalText"/>
        <w:numPr>
          <w:ilvl w:val="0"/>
          <w:numId w:val="33"/>
        </w:numPr>
        <w:rPr>
          <w:b/>
        </w:rPr>
      </w:pPr>
      <w:proofErr w:type="spellStart"/>
      <w:r w:rsidRPr="00151D7E">
        <w:rPr>
          <w:b/>
        </w:rPr>
        <w:lastRenderedPageBreak/>
        <w:t>QoS</w:t>
      </w:r>
      <w:proofErr w:type="spellEnd"/>
      <w:r w:rsidRPr="00151D7E">
        <w:rPr>
          <w:b/>
        </w:rPr>
        <w:t xml:space="preserve"> R</w:t>
      </w:r>
      <w:r w:rsidR="00145B16" w:rsidRPr="00151D7E">
        <w:rPr>
          <w:b/>
        </w:rPr>
        <w:t>equirements</w:t>
      </w:r>
    </w:p>
    <w:p w14:paraId="6C40304B" w14:textId="59943F36" w:rsidR="00145B16" w:rsidRPr="00145B16" w:rsidRDefault="009E3471" w:rsidP="005D1142">
      <w:pPr>
        <w:pStyle w:val="3GPPNormalText"/>
        <w:ind w:left="720"/>
      </w:pPr>
      <w:proofErr w:type="spellStart"/>
      <w:r w:rsidRPr="005D1142">
        <w:t>QoS</w:t>
      </w:r>
      <w:proofErr w:type="spellEnd"/>
      <w:r w:rsidRPr="005D1142">
        <w:t xml:space="preserve"> driven resource allocation can map transmissions according to the 5QI to resource pools to meet the </w:t>
      </w:r>
      <w:proofErr w:type="spellStart"/>
      <w:r w:rsidRPr="005D1142">
        <w:t>QoS</w:t>
      </w:r>
      <w:proofErr w:type="spellEnd"/>
      <w:r w:rsidRPr="005D1142">
        <w:t xml:space="preserve"> requirements, </w:t>
      </w:r>
      <w:r w:rsidR="005D1142" w:rsidRPr="00D13CFB">
        <w:t>in order</w:t>
      </w:r>
      <w:r w:rsidRPr="005D1142">
        <w:t xml:space="preserve"> to allocate resource</w:t>
      </w:r>
      <w:r w:rsidR="005D1142" w:rsidRPr="00D13CFB">
        <w:t>s</w:t>
      </w:r>
      <w:r w:rsidRPr="005D1142">
        <w:t xml:space="preserve"> with minimum delay and ensure high quality for services requesting URLLC. This could allow transmissions with strict </w:t>
      </w:r>
      <w:proofErr w:type="spellStart"/>
      <w:r w:rsidRPr="005D1142">
        <w:t>QoS</w:t>
      </w:r>
      <w:proofErr w:type="spellEnd"/>
      <w:r w:rsidRPr="005D1142">
        <w:t xml:space="preserve"> requirements a prioritized access to </w:t>
      </w:r>
      <w:r w:rsidR="007906AB" w:rsidRPr="005D1142">
        <w:t xml:space="preserve">different </w:t>
      </w:r>
      <w:r w:rsidRPr="005D1142">
        <w:t>resource pools</w:t>
      </w:r>
      <w:r w:rsidR="005D1142" w:rsidRPr="005D1142">
        <w:t>, as discussed in our accompanying contribution [</w:t>
      </w:r>
      <w:r w:rsidR="005966B1">
        <w:t>4</w:t>
      </w:r>
      <w:r w:rsidR="005D1142" w:rsidRPr="005D1142">
        <w:t>]</w:t>
      </w:r>
      <w:r w:rsidRPr="005D1142">
        <w:t>.</w:t>
      </w:r>
    </w:p>
    <w:p w14:paraId="7589A979" w14:textId="77777777" w:rsidR="009E3471" w:rsidRPr="00151D7E" w:rsidRDefault="009E3471" w:rsidP="00145B16">
      <w:pPr>
        <w:pStyle w:val="3GPPNormalText"/>
        <w:numPr>
          <w:ilvl w:val="0"/>
          <w:numId w:val="33"/>
        </w:numPr>
        <w:rPr>
          <w:b/>
        </w:rPr>
      </w:pPr>
      <w:r w:rsidRPr="00151D7E">
        <w:rPr>
          <w:b/>
        </w:rPr>
        <w:t>UE</w:t>
      </w:r>
      <w:r w:rsidR="005D1142" w:rsidRPr="00151D7E">
        <w:rPr>
          <w:b/>
        </w:rPr>
        <w:t xml:space="preserve"> L</w:t>
      </w:r>
      <w:r w:rsidR="00145B16" w:rsidRPr="00151D7E">
        <w:rPr>
          <w:b/>
        </w:rPr>
        <w:t>ocations</w:t>
      </w:r>
    </w:p>
    <w:p w14:paraId="3D378D74" w14:textId="77777777" w:rsidR="00145B16" w:rsidRPr="00145B16" w:rsidRDefault="009E3471" w:rsidP="005D1142">
      <w:pPr>
        <w:pStyle w:val="3GPPNormalText"/>
        <w:ind w:left="720"/>
      </w:pPr>
      <w:r>
        <w:t xml:space="preserve">This is similar to LTE, where </w:t>
      </w:r>
      <w:r>
        <w:rPr>
          <w:lang w:val="en-GB"/>
        </w:rPr>
        <w:t>resource pool segregation is based on the location of UEs.</w:t>
      </w:r>
    </w:p>
    <w:p w14:paraId="173A76C8" w14:textId="120A1455" w:rsidR="008F7F19" w:rsidRDefault="008F7F19" w:rsidP="008F7F19">
      <w:pPr>
        <w:jc w:val="both"/>
        <w:rPr>
          <w:b/>
          <w:sz w:val="22"/>
          <w:szCs w:val="22"/>
        </w:rPr>
      </w:pPr>
      <w:r w:rsidRPr="008F7F19">
        <w:rPr>
          <w:b/>
          <w:sz w:val="22"/>
          <w:szCs w:val="22"/>
        </w:rPr>
        <w:t>Proposal</w:t>
      </w:r>
      <w:r>
        <w:rPr>
          <w:b/>
          <w:sz w:val="22"/>
          <w:szCs w:val="22"/>
        </w:rPr>
        <w:t xml:space="preserve"> </w:t>
      </w:r>
      <w:r w:rsidR="001C185A">
        <w:rPr>
          <w:b/>
          <w:sz w:val="22"/>
          <w:szCs w:val="22"/>
        </w:rPr>
        <w:t>1</w:t>
      </w:r>
      <w:r w:rsidRPr="008F7F19">
        <w:rPr>
          <w:b/>
          <w:sz w:val="22"/>
          <w:szCs w:val="22"/>
        </w:rPr>
        <w:t>:</w:t>
      </w:r>
      <w:r w:rsidR="00023D9B">
        <w:rPr>
          <w:b/>
          <w:sz w:val="22"/>
          <w:szCs w:val="22"/>
        </w:rPr>
        <w:t xml:space="preserve"> We propose to study the configuration of resource pools base</w:t>
      </w:r>
      <w:r w:rsidR="00BF22DF">
        <w:rPr>
          <w:b/>
          <w:sz w:val="22"/>
          <w:szCs w:val="22"/>
        </w:rPr>
        <w:t>d on different defined criteria</w:t>
      </w:r>
      <w:r w:rsidR="00023D9B">
        <w:rPr>
          <w:b/>
          <w:sz w:val="22"/>
          <w:szCs w:val="22"/>
        </w:rPr>
        <w:t>.</w:t>
      </w:r>
    </w:p>
    <w:p w14:paraId="38EB8FC1" w14:textId="77777777" w:rsidR="00D46450" w:rsidRDefault="00D46450" w:rsidP="00D46450">
      <w:pPr>
        <w:rPr>
          <w:sz w:val="22"/>
          <w:szCs w:val="22"/>
        </w:rPr>
      </w:pPr>
    </w:p>
    <w:p w14:paraId="3FF6A253" w14:textId="77777777" w:rsidR="00D46450" w:rsidRDefault="00D46450" w:rsidP="00D46450">
      <w:pPr>
        <w:pStyle w:val="Heading2"/>
        <w:tabs>
          <w:tab w:val="clear" w:pos="1002"/>
          <w:tab w:val="num" w:pos="540"/>
        </w:tabs>
        <w:ind w:left="540"/>
      </w:pPr>
      <w:r>
        <w:t>Definition of Resource Pools in a BWP</w:t>
      </w:r>
    </w:p>
    <w:p w14:paraId="73BE215E" w14:textId="77777777" w:rsidR="00741BC0" w:rsidRDefault="00145B16" w:rsidP="00741BC0">
      <w:pPr>
        <w:pStyle w:val="3GPPNormalText"/>
        <w:rPr>
          <w:lang w:val="en-GB"/>
        </w:rPr>
      </w:pPr>
      <w:r>
        <w:rPr>
          <w:lang w:val="en-GB"/>
        </w:rPr>
        <w:t>In LTE, the resource pools were defined to be discontinuous across time, with the efficient use of bitmaps, and were contiguous in frequency, with the option of the control and data sub-channels being adjacent or non-adjacent to each other.</w:t>
      </w:r>
    </w:p>
    <w:p w14:paraId="6012FD78" w14:textId="26BA6083" w:rsidR="00145B16" w:rsidRDefault="00145B16" w:rsidP="00741BC0">
      <w:pPr>
        <w:pStyle w:val="3GPPNormalText"/>
        <w:rPr>
          <w:lang w:val="en-GB"/>
        </w:rPr>
      </w:pPr>
      <w:r>
        <w:rPr>
          <w:lang w:val="en-GB"/>
        </w:rPr>
        <w:t>In NR, the resource pools could be defined in either of the following means</w:t>
      </w:r>
      <w:r w:rsidR="00A02296">
        <w:rPr>
          <w:lang w:val="en-GB"/>
        </w:rPr>
        <w:t xml:space="preserve">, as depicted in Figures 1 </w:t>
      </w:r>
      <w:r w:rsidR="001C185A">
        <w:rPr>
          <w:lang w:val="en-GB"/>
        </w:rPr>
        <w:t>and 2</w:t>
      </w:r>
      <w:r>
        <w:rPr>
          <w:lang w:val="en-GB"/>
        </w:rPr>
        <w:t>:</w:t>
      </w:r>
    </w:p>
    <w:p w14:paraId="7413DB0A" w14:textId="21D634FE" w:rsidR="00145B16" w:rsidRPr="00145B16" w:rsidRDefault="00CD1748" w:rsidP="00145B16">
      <w:pPr>
        <w:pStyle w:val="3GPPNormalText"/>
        <w:numPr>
          <w:ilvl w:val="0"/>
          <w:numId w:val="35"/>
        </w:numPr>
      </w:pPr>
      <w:r>
        <w:t xml:space="preserve">Design </w:t>
      </w:r>
      <w:r w:rsidR="00DA3371">
        <w:t>1</w:t>
      </w:r>
      <w:r>
        <w:t xml:space="preserve">: </w:t>
      </w:r>
      <w:r w:rsidR="00145B16" w:rsidRPr="00145B16">
        <w:t>Discontinuous over time and contiguous over frequency</w:t>
      </w:r>
    </w:p>
    <w:p w14:paraId="44637E03" w14:textId="5774E18C" w:rsidR="00736032" w:rsidRDefault="00CD1748" w:rsidP="00D13CFB">
      <w:pPr>
        <w:pStyle w:val="3GPPNormalText"/>
        <w:numPr>
          <w:ilvl w:val="0"/>
          <w:numId w:val="35"/>
        </w:numPr>
      </w:pPr>
      <w:r>
        <w:t xml:space="preserve">Design </w:t>
      </w:r>
      <w:r w:rsidR="00DA3371">
        <w:t>2</w:t>
      </w:r>
      <w:r>
        <w:t xml:space="preserve">: </w:t>
      </w:r>
      <w:r w:rsidR="00145B16" w:rsidRPr="00145B16">
        <w:t>Discontinuous over time and non-contiguous over frequency</w:t>
      </w:r>
    </w:p>
    <w:p w14:paraId="0669A106" w14:textId="77777777" w:rsidR="001C185A" w:rsidRDefault="001C185A" w:rsidP="00D13CFB">
      <w:pPr>
        <w:pStyle w:val="3GPPNormalText"/>
      </w:pPr>
    </w:p>
    <w:p w14:paraId="18AADB99" w14:textId="30B7162D" w:rsidR="00D13CFB" w:rsidRDefault="001C185A" w:rsidP="00D13CFB">
      <w:pPr>
        <w:pStyle w:val="3GPPNormalText"/>
      </w:pPr>
      <w:r>
        <w:t>R</w:t>
      </w:r>
      <w:r w:rsidR="00D13CFB">
        <w:t>esource pools being discontinuous over time maintain the advantage that although the UEs have the added latency issue of waiting for the instance of a given resource pool to occur, UEs will be able to receive transmissions from other resource pools without being impacted by the half-duplex problem. The latency issue is further decreased if the resource pool is implemented in a BWP of high SCS.</w:t>
      </w:r>
    </w:p>
    <w:p w14:paraId="4CE47688" w14:textId="1FD0EB30" w:rsidR="00D13CFB" w:rsidRDefault="00D13CFB" w:rsidP="00D13CFB">
      <w:pPr>
        <w:pStyle w:val="3GPPNormalText"/>
      </w:pPr>
      <w:r>
        <w:t xml:space="preserve">Resource pools that are contiguous over frequency offer the ease in defining them, but non-contiguous resource pools offer the advantage of introducing frequency diversity. Thus, it is beneficial to consider these parameters while designing resource pools to accommodate services with different requirements. </w:t>
      </w:r>
    </w:p>
    <w:p w14:paraId="2CDB518D" w14:textId="77777777" w:rsidR="00512401" w:rsidRDefault="00512401" w:rsidP="00D13CFB">
      <w:pPr>
        <w:pStyle w:val="3GPPNormalText"/>
      </w:pPr>
    </w:p>
    <w:p w14:paraId="3B795FF7" w14:textId="77777777" w:rsidR="00CD1748" w:rsidRDefault="00A02296" w:rsidP="00A02296">
      <w:pPr>
        <w:jc w:val="center"/>
        <w:rPr>
          <w:b/>
          <w:sz w:val="22"/>
          <w:szCs w:val="22"/>
        </w:rPr>
      </w:pPr>
      <w:r w:rsidRPr="00526DC5">
        <w:rPr>
          <w:noProof/>
          <w:lang w:val="en-US"/>
        </w:rPr>
        <w:drawing>
          <wp:inline distT="0" distB="0" distL="0" distR="0" wp14:anchorId="27FC413E" wp14:editId="135FA318">
            <wp:extent cx="5196563" cy="2305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96563" cy="2305050"/>
                    </a:xfrm>
                    <a:prstGeom prst="rect">
                      <a:avLst/>
                    </a:prstGeom>
                    <a:noFill/>
                    <a:ln>
                      <a:noFill/>
                    </a:ln>
                  </pic:spPr>
                </pic:pic>
              </a:graphicData>
            </a:graphic>
          </wp:inline>
        </w:drawing>
      </w:r>
    </w:p>
    <w:p w14:paraId="3A636C69" w14:textId="77777777" w:rsidR="00736032" w:rsidRDefault="00736032" w:rsidP="00A02296">
      <w:pPr>
        <w:jc w:val="center"/>
        <w:rPr>
          <w:b/>
          <w:sz w:val="22"/>
          <w:szCs w:val="22"/>
        </w:rPr>
      </w:pPr>
      <w:r w:rsidRPr="00A23F57">
        <w:rPr>
          <w:noProof/>
          <w:lang w:val="en-US"/>
        </w:rPr>
        <w:drawing>
          <wp:inline distT="0" distB="0" distL="0" distR="0" wp14:anchorId="570092B4" wp14:editId="4C08EC11">
            <wp:extent cx="5753100" cy="1473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47320"/>
                    </a:xfrm>
                    <a:prstGeom prst="rect">
                      <a:avLst/>
                    </a:prstGeom>
                    <a:noFill/>
                    <a:ln>
                      <a:noFill/>
                    </a:ln>
                  </pic:spPr>
                </pic:pic>
              </a:graphicData>
            </a:graphic>
          </wp:inline>
        </w:drawing>
      </w:r>
    </w:p>
    <w:p w14:paraId="1342BE48" w14:textId="090D3356" w:rsidR="00736032" w:rsidRDefault="00736032" w:rsidP="00736032">
      <w:pPr>
        <w:jc w:val="center"/>
        <w:rPr>
          <w:i/>
          <w:sz w:val="22"/>
          <w:szCs w:val="22"/>
        </w:rPr>
      </w:pPr>
      <w:r w:rsidRPr="00180185">
        <w:rPr>
          <w:b/>
          <w:i/>
          <w:sz w:val="22"/>
          <w:szCs w:val="22"/>
        </w:rPr>
        <w:t xml:space="preserve">Figure </w:t>
      </w:r>
      <w:r w:rsidR="001C185A">
        <w:rPr>
          <w:b/>
          <w:i/>
          <w:sz w:val="22"/>
          <w:szCs w:val="22"/>
        </w:rPr>
        <w:t>1</w:t>
      </w:r>
      <w:r w:rsidRPr="00180185">
        <w:rPr>
          <w:b/>
          <w:i/>
          <w:sz w:val="22"/>
          <w:szCs w:val="22"/>
        </w:rPr>
        <w:t>:</w:t>
      </w:r>
      <w:r w:rsidRPr="00A02296">
        <w:rPr>
          <w:i/>
          <w:sz w:val="22"/>
          <w:szCs w:val="22"/>
        </w:rPr>
        <w:t xml:space="preserve"> Resource </w:t>
      </w:r>
      <w:r>
        <w:rPr>
          <w:i/>
          <w:sz w:val="22"/>
          <w:szCs w:val="22"/>
        </w:rPr>
        <w:t>P</w:t>
      </w:r>
      <w:r w:rsidRPr="00A02296">
        <w:rPr>
          <w:i/>
          <w:sz w:val="22"/>
          <w:szCs w:val="22"/>
        </w:rPr>
        <w:t xml:space="preserve">ool </w:t>
      </w:r>
      <w:r>
        <w:rPr>
          <w:i/>
          <w:sz w:val="22"/>
          <w:szCs w:val="22"/>
        </w:rPr>
        <w:t>D</w:t>
      </w:r>
      <w:r w:rsidRPr="00A02296">
        <w:rPr>
          <w:i/>
          <w:sz w:val="22"/>
          <w:szCs w:val="22"/>
        </w:rPr>
        <w:t>esign</w:t>
      </w:r>
      <w:r>
        <w:rPr>
          <w:i/>
          <w:sz w:val="22"/>
          <w:szCs w:val="22"/>
        </w:rPr>
        <w:t xml:space="preserve"> </w:t>
      </w:r>
      <w:r w:rsidR="001C185A">
        <w:rPr>
          <w:i/>
          <w:sz w:val="22"/>
          <w:szCs w:val="22"/>
        </w:rPr>
        <w:t>1</w:t>
      </w:r>
      <w:r>
        <w:rPr>
          <w:i/>
          <w:sz w:val="22"/>
          <w:szCs w:val="22"/>
        </w:rPr>
        <w:t xml:space="preserve"> - </w:t>
      </w:r>
      <w:r w:rsidRPr="00736032">
        <w:rPr>
          <w:i/>
          <w:sz w:val="22"/>
          <w:szCs w:val="22"/>
        </w:rPr>
        <w:t>Discontinuous over time and contiguous over frequency</w:t>
      </w:r>
    </w:p>
    <w:p w14:paraId="0C01DDAB" w14:textId="77777777" w:rsidR="00DC7A33" w:rsidRPr="00736032" w:rsidRDefault="00A02296" w:rsidP="00736032">
      <w:pPr>
        <w:jc w:val="center"/>
        <w:rPr>
          <w:b/>
          <w:sz w:val="22"/>
          <w:szCs w:val="22"/>
        </w:rPr>
      </w:pPr>
      <w:r w:rsidRPr="00526DC5">
        <w:rPr>
          <w:noProof/>
          <w:lang w:val="en-US"/>
        </w:rPr>
        <w:lastRenderedPageBreak/>
        <w:drawing>
          <wp:inline distT="0" distB="0" distL="0" distR="0" wp14:anchorId="35E981F1" wp14:editId="5A2AD0DE">
            <wp:extent cx="5200650" cy="22967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6">
                      <a:extLst>
                        <a:ext uri="{28A0092B-C50C-407E-A947-70E740481C1C}">
                          <a14:useLocalDpi xmlns:a14="http://schemas.microsoft.com/office/drawing/2010/main" val="0"/>
                        </a:ext>
                      </a:extLst>
                    </a:blip>
                    <a:srcRect r="6276"/>
                    <a:stretch/>
                  </pic:blipFill>
                  <pic:spPr bwMode="auto">
                    <a:xfrm>
                      <a:off x="0" y="0"/>
                      <a:ext cx="5201592" cy="2297211"/>
                    </a:xfrm>
                    <a:prstGeom prst="rect">
                      <a:avLst/>
                    </a:prstGeom>
                    <a:noFill/>
                    <a:ln>
                      <a:noFill/>
                    </a:ln>
                    <a:extLst>
                      <a:ext uri="{53640926-AAD7-44D8-BBD7-CCE9431645EC}">
                        <a14:shadowObscured xmlns:a14="http://schemas.microsoft.com/office/drawing/2010/main"/>
                      </a:ext>
                    </a:extLst>
                  </pic:spPr>
                </pic:pic>
              </a:graphicData>
            </a:graphic>
          </wp:inline>
        </w:drawing>
      </w:r>
    </w:p>
    <w:p w14:paraId="3EA1B28D" w14:textId="77777777" w:rsidR="00DC7A33" w:rsidRPr="00A02296" w:rsidRDefault="00DC7A33" w:rsidP="00DC7A33">
      <w:pPr>
        <w:jc w:val="center"/>
        <w:rPr>
          <w:b/>
          <w:sz w:val="22"/>
          <w:szCs w:val="22"/>
        </w:rPr>
      </w:pPr>
      <w:r w:rsidRPr="00A23F57">
        <w:rPr>
          <w:noProof/>
          <w:lang w:val="en-US"/>
        </w:rPr>
        <w:drawing>
          <wp:inline distT="0" distB="0" distL="0" distR="0" wp14:anchorId="379BB814" wp14:editId="6BF1B287">
            <wp:extent cx="5753100" cy="147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47320"/>
                    </a:xfrm>
                    <a:prstGeom prst="rect">
                      <a:avLst/>
                    </a:prstGeom>
                    <a:noFill/>
                    <a:ln>
                      <a:noFill/>
                    </a:ln>
                  </pic:spPr>
                </pic:pic>
              </a:graphicData>
            </a:graphic>
          </wp:inline>
        </w:drawing>
      </w:r>
    </w:p>
    <w:p w14:paraId="5C4BA55C" w14:textId="098E258B" w:rsidR="00A02296" w:rsidRDefault="00736032" w:rsidP="00A02296">
      <w:pPr>
        <w:jc w:val="center"/>
        <w:rPr>
          <w:i/>
          <w:sz w:val="22"/>
          <w:szCs w:val="22"/>
        </w:rPr>
      </w:pPr>
      <w:r>
        <w:rPr>
          <w:b/>
          <w:i/>
          <w:sz w:val="22"/>
          <w:szCs w:val="22"/>
        </w:rPr>
        <w:t xml:space="preserve">Figure </w:t>
      </w:r>
      <w:r w:rsidR="001C185A">
        <w:rPr>
          <w:b/>
          <w:i/>
          <w:sz w:val="22"/>
          <w:szCs w:val="22"/>
        </w:rPr>
        <w:t>2</w:t>
      </w:r>
      <w:r w:rsidR="00A02296" w:rsidRPr="00180185">
        <w:rPr>
          <w:b/>
          <w:i/>
          <w:sz w:val="22"/>
          <w:szCs w:val="22"/>
        </w:rPr>
        <w:t>:</w:t>
      </w:r>
      <w:r w:rsidR="00A02296" w:rsidRPr="00A02296">
        <w:rPr>
          <w:i/>
          <w:sz w:val="22"/>
          <w:szCs w:val="22"/>
        </w:rPr>
        <w:t xml:space="preserve"> Resource </w:t>
      </w:r>
      <w:r w:rsidR="00A02296">
        <w:rPr>
          <w:i/>
          <w:sz w:val="22"/>
          <w:szCs w:val="22"/>
        </w:rPr>
        <w:t>P</w:t>
      </w:r>
      <w:r w:rsidR="00A02296" w:rsidRPr="00A02296">
        <w:rPr>
          <w:i/>
          <w:sz w:val="22"/>
          <w:szCs w:val="22"/>
        </w:rPr>
        <w:t xml:space="preserve">ool </w:t>
      </w:r>
      <w:r w:rsidR="00A02296">
        <w:rPr>
          <w:i/>
          <w:sz w:val="22"/>
          <w:szCs w:val="22"/>
        </w:rPr>
        <w:t>D</w:t>
      </w:r>
      <w:r>
        <w:rPr>
          <w:i/>
          <w:sz w:val="22"/>
          <w:szCs w:val="22"/>
        </w:rPr>
        <w:t xml:space="preserve">esign </w:t>
      </w:r>
      <w:r w:rsidR="001C185A">
        <w:rPr>
          <w:i/>
          <w:sz w:val="22"/>
          <w:szCs w:val="22"/>
        </w:rPr>
        <w:t>2</w:t>
      </w:r>
      <w:r>
        <w:rPr>
          <w:i/>
          <w:sz w:val="22"/>
          <w:szCs w:val="22"/>
        </w:rPr>
        <w:t xml:space="preserve"> - </w:t>
      </w:r>
      <w:r w:rsidRPr="00736032">
        <w:rPr>
          <w:i/>
          <w:sz w:val="22"/>
          <w:szCs w:val="22"/>
        </w:rPr>
        <w:t>Discontinuous over time and non-contiguous over frequency</w:t>
      </w:r>
    </w:p>
    <w:p w14:paraId="15F99E68" w14:textId="77777777" w:rsidR="00512401" w:rsidRDefault="00512401" w:rsidP="001C185A">
      <w:pPr>
        <w:jc w:val="both"/>
        <w:rPr>
          <w:b/>
          <w:sz w:val="22"/>
          <w:szCs w:val="22"/>
        </w:rPr>
      </w:pPr>
    </w:p>
    <w:p w14:paraId="26F95A12" w14:textId="615F8EA4" w:rsidR="001C185A" w:rsidRPr="00D13CFB" w:rsidRDefault="001C185A" w:rsidP="001C185A">
      <w:pPr>
        <w:jc w:val="both"/>
        <w:rPr>
          <w:b/>
          <w:sz w:val="22"/>
          <w:szCs w:val="22"/>
        </w:rPr>
      </w:pPr>
      <w:r w:rsidRPr="008F7F19">
        <w:rPr>
          <w:b/>
          <w:sz w:val="22"/>
          <w:szCs w:val="22"/>
        </w:rPr>
        <w:t>Proposal</w:t>
      </w:r>
      <w:r>
        <w:rPr>
          <w:b/>
          <w:sz w:val="22"/>
          <w:szCs w:val="22"/>
        </w:rPr>
        <w:t xml:space="preserve"> </w:t>
      </w:r>
      <w:r w:rsidR="007322C7">
        <w:rPr>
          <w:b/>
          <w:sz w:val="22"/>
          <w:szCs w:val="22"/>
        </w:rPr>
        <w:t>2</w:t>
      </w:r>
      <w:r w:rsidRPr="008F7F19">
        <w:rPr>
          <w:b/>
          <w:sz w:val="22"/>
          <w:szCs w:val="22"/>
        </w:rPr>
        <w:t>:</w:t>
      </w:r>
      <w:r>
        <w:rPr>
          <w:b/>
          <w:sz w:val="22"/>
          <w:szCs w:val="22"/>
        </w:rPr>
        <w:t xml:space="preserve"> We propose to study the different designs of resource pools defined in a BWP, based on the different segregation criteria such as communication types, traffic types, operation modes, </w:t>
      </w:r>
      <w:proofErr w:type="spellStart"/>
      <w:r>
        <w:rPr>
          <w:b/>
          <w:sz w:val="22"/>
          <w:szCs w:val="22"/>
        </w:rPr>
        <w:t>QoS</w:t>
      </w:r>
      <w:proofErr w:type="spellEnd"/>
      <w:r>
        <w:rPr>
          <w:b/>
          <w:sz w:val="22"/>
          <w:szCs w:val="22"/>
        </w:rPr>
        <w:t xml:space="preserve"> requirements and UE location.</w:t>
      </w:r>
    </w:p>
    <w:p w14:paraId="15FD35BA" w14:textId="77777777" w:rsidR="00A02296" w:rsidRPr="00A02296" w:rsidRDefault="00A02296" w:rsidP="00A02296">
      <w:pPr>
        <w:rPr>
          <w:i/>
          <w:sz w:val="22"/>
          <w:szCs w:val="22"/>
        </w:rPr>
      </w:pPr>
    </w:p>
    <w:p w14:paraId="2E02DE3D" w14:textId="77777777" w:rsidR="00741BC0" w:rsidRDefault="00D8661A" w:rsidP="00741BC0">
      <w:pPr>
        <w:pStyle w:val="Heading1"/>
        <w:rPr>
          <w:lang w:val="en-US"/>
        </w:rPr>
      </w:pPr>
      <w:r>
        <w:rPr>
          <w:lang w:val="en-US"/>
        </w:rPr>
        <w:t>Control-Data</w:t>
      </w:r>
      <w:r w:rsidR="008F7F19">
        <w:rPr>
          <w:lang w:val="en-US"/>
        </w:rPr>
        <w:t xml:space="preserve"> Multiplexing</w:t>
      </w:r>
    </w:p>
    <w:p w14:paraId="3F149071" w14:textId="77777777" w:rsidR="00D8661A" w:rsidRPr="00D8661A" w:rsidRDefault="00D8661A" w:rsidP="00D8661A">
      <w:pPr>
        <w:jc w:val="both"/>
        <w:rPr>
          <w:sz w:val="22"/>
          <w:szCs w:val="22"/>
          <w:lang w:val="en-US"/>
        </w:rPr>
      </w:pPr>
      <w:r>
        <w:rPr>
          <w:sz w:val="22"/>
          <w:szCs w:val="22"/>
          <w:lang w:val="en-US"/>
        </w:rPr>
        <w:t>Based on the agreement that at least option 3</w:t>
      </w:r>
      <w:r w:rsidR="006839EE">
        <w:rPr>
          <w:sz w:val="22"/>
          <w:szCs w:val="22"/>
          <w:lang w:val="en-US"/>
        </w:rPr>
        <w:t xml:space="preserve"> is to be supported in NR V2X</w:t>
      </w:r>
      <w:r>
        <w:rPr>
          <w:sz w:val="22"/>
          <w:szCs w:val="22"/>
          <w:lang w:val="en-US"/>
        </w:rPr>
        <w:t>, where the control and data channel are multiplexed in a TDM manner, this section explores the possible designs of incorporating a dual control channel.</w:t>
      </w:r>
    </w:p>
    <w:p w14:paraId="12F6276E" w14:textId="77777777" w:rsidR="008F7F19" w:rsidRPr="00B77A42" w:rsidRDefault="008F7F19" w:rsidP="008F7F19">
      <w:pPr>
        <w:pStyle w:val="Heading2"/>
        <w:tabs>
          <w:tab w:val="clear" w:pos="1002"/>
          <w:tab w:val="num" w:pos="540"/>
        </w:tabs>
        <w:ind w:left="540"/>
      </w:pPr>
      <w:r>
        <w:t xml:space="preserve">2-stage SCI </w:t>
      </w:r>
      <w:r w:rsidR="00D8661A">
        <w:t>Dual Control Channel Design</w:t>
      </w:r>
    </w:p>
    <w:p w14:paraId="08535B6A" w14:textId="77777777" w:rsidR="008F7F19" w:rsidRDefault="00D8661A" w:rsidP="008F7F19">
      <w:pPr>
        <w:pStyle w:val="3GPPNormalText"/>
      </w:pPr>
      <w:r>
        <w:t xml:space="preserve">The decision to have the control channel </w:t>
      </w:r>
      <w:proofErr w:type="spellStart"/>
      <w:r>
        <w:t>TDMed</w:t>
      </w:r>
      <w:proofErr w:type="spellEnd"/>
      <w:r>
        <w:t xml:space="preserve"> with the data channel was based on the understanding that </w:t>
      </w:r>
      <w:r w:rsidR="0096509F">
        <w:t>UEs would be able to decode the PSCCH first and determine as to whether the data following it was meant for the said UE or not. This would result in an increase in the operational efficiency of the UE.</w:t>
      </w:r>
    </w:p>
    <w:p w14:paraId="00E6AAAF" w14:textId="59C9FCA6" w:rsidR="0096509F" w:rsidRDefault="0096509F" w:rsidP="008F7F19">
      <w:pPr>
        <w:pStyle w:val="3GPPNormalText"/>
      </w:pPr>
      <w:r>
        <w:t>With the possibility of pre-emptive resource reservation for high priority transmissions by a UE, other UEs should be capable of decoding the reservation information in advance in order to ensure that the resource requested by the high priority transmission is not being used.</w:t>
      </w:r>
      <w:r w:rsidR="001F2E33">
        <w:t xml:space="preserve"> Other UEs having scheduled low priority transmissions will in turn vacate the resource requested.</w:t>
      </w:r>
      <w:r>
        <w:t xml:space="preserve"> The announcement of resource pools to be used by a group leader UE in the case of groupcast communications, as described in [</w:t>
      </w:r>
      <w:r w:rsidR="005966B1">
        <w:t>5</w:t>
      </w:r>
      <w:r>
        <w:t>], would also require other group leader UEs to listen to this announcement to ensure that there is no collision of resource allocations.</w:t>
      </w:r>
    </w:p>
    <w:p w14:paraId="2C2E9F64" w14:textId="77777777" w:rsidR="0096509F" w:rsidRDefault="0096509F" w:rsidP="008F7F19">
      <w:pPr>
        <w:pStyle w:val="3GPPNormalText"/>
      </w:pPr>
      <w:r>
        <w:t>Both these use cases are unique in the sense that both the pre-emptive reservation and announcement messages are control messages without any data linked to it, but instead point to other control messages.</w:t>
      </w:r>
    </w:p>
    <w:p w14:paraId="0583E140" w14:textId="4DF64F31" w:rsidR="00AB7223" w:rsidRDefault="0096509F" w:rsidP="008F7F19">
      <w:pPr>
        <w:pStyle w:val="3GPPNormalText"/>
      </w:pPr>
      <w:r>
        <w:t xml:space="preserve">With this motivation, we propose a common control channel or PSCCCH, where these control messages can be transmitted. </w:t>
      </w:r>
      <w:r w:rsidR="00AB7223">
        <w:t xml:space="preserve">The PSCCCH can be designed to be either </w:t>
      </w:r>
      <w:proofErr w:type="spellStart"/>
      <w:r w:rsidR="00AB7223">
        <w:t>FDMed</w:t>
      </w:r>
      <w:proofErr w:type="spellEnd"/>
      <w:r w:rsidR="00AB7223">
        <w:t xml:space="preserve"> with the proposed resource pool design, or incorporated with the existing PSCCH in a TDM manner.</w:t>
      </w:r>
    </w:p>
    <w:p w14:paraId="7D48E084" w14:textId="67B6E705" w:rsidR="00AB7223" w:rsidRDefault="00AB7223" w:rsidP="008F7F19">
      <w:pPr>
        <w:pStyle w:val="3GPPNormalText"/>
      </w:pPr>
      <w:r>
        <w:lastRenderedPageBreak/>
        <w:t xml:space="preserve">In the FDM design, as seen in Figure 3, the PSCCCH can be a set of RBs or a sub channel spanning the duration of the resource pool. The sub channel can be smaller than the defined sub channels in </w:t>
      </w:r>
      <w:r w:rsidR="00512401">
        <w:t>the resource pool, because the PSCCCH would not need many resources to transmit the pre-emption or groupcast announcement messages.</w:t>
      </w:r>
    </w:p>
    <w:p w14:paraId="6EC99A75" w14:textId="7B054F04" w:rsidR="00512401" w:rsidRDefault="00512401" w:rsidP="008F7F19">
      <w:pPr>
        <w:pStyle w:val="3GPPNormalText"/>
      </w:pPr>
      <w:r w:rsidRPr="00512401">
        <w:rPr>
          <w:noProof/>
        </w:rPr>
        <w:drawing>
          <wp:inline distT="0" distB="0" distL="0" distR="0" wp14:anchorId="36B59208" wp14:editId="71C2C2FB">
            <wp:extent cx="6332220" cy="20104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010410"/>
                    </a:xfrm>
                    <a:prstGeom prst="rect">
                      <a:avLst/>
                    </a:prstGeom>
                    <a:noFill/>
                    <a:ln>
                      <a:noFill/>
                    </a:ln>
                  </pic:spPr>
                </pic:pic>
              </a:graphicData>
            </a:graphic>
          </wp:inline>
        </w:drawing>
      </w:r>
    </w:p>
    <w:p w14:paraId="257614CD" w14:textId="50F5BAE8" w:rsidR="00512401" w:rsidRDefault="00512401" w:rsidP="00512401">
      <w:pPr>
        <w:jc w:val="center"/>
        <w:rPr>
          <w:i/>
          <w:sz w:val="22"/>
          <w:szCs w:val="22"/>
        </w:rPr>
      </w:pPr>
      <w:r>
        <w:rPr>
          <w:b/>
          <w:i/>
          <w:sz w:val="22"/>
          <w:szCs w:val="22"/>
        </w:rPr>
        <w:t xml:space="preserve">Figure </w:t>
      </w:r>
      <w:r w:rsidR="007322C7">
        <w:rPr>
          <w:b/>
          <w:i/>
          <w:sz w:val="22"/>
          <w:szCs w:val="22"/>
        </w:rPr>
        <w:t>3</w:t>
      </w:r>
      <w:r w:rsidRPr="00180185">
        <w:rPr>
          <w:b/>
          <w:i/>
          <w:sz w:val="22"/>
          <w:szCs w:val="22"/>
        </w:rPr>
        <w:t>:</w:t>
      </w:r>
      <w:r>
        <w:rPr>
          <w:i/>
          <w:sz w:val="22"/>
          <w:szCs w:val="22"/>
        </w:rPr>
        <w:t xml:space="preserve"> FDM based 2-Stage SCI</w:t>
      </w:r>
      <w:r w:rsidRPr="004B6FBB">
        <w:rPr>
          <w:i/>
          <w:sz w:val="22"/>
          <w:szCs w:val="22"/>
        </w:rPr>
        <w:t xml:space="preserve"> Dual </w:t>
      </w:r>
      <w:r>
        <w:rPr>
          <w:i/>
          <w:sz w:val="22"/>
          <w:szCs w:val="22"/>
        </w:rPr>
        <w:t>Control Channel</w:t>
      </w:r>
      <w:r w:rsidRPr="004B6FBB">
        <w:rPr>
          <w:i/>
          <w:sz w:val="22"/>
          <w:szCs w:val="22"/>
        </w:rPr>
        <w:t xml:space="preserve"> Design</w:t>
      </w:r>
    </w:p>
    <w:p w14:paraId="620878F7" w14:textId="77777777" w:rsidR="00512401" w:rsidRPr="0040380E" w:rsidRDefault="00512401" w:rsidP="008F7F19">
      <w:pPr>
        <w:pStyle w:val="3GPPNormalText"/>
        <w:rPr>
          <w:lang w:val="en-GB"/>
        </w:rPr>
      </w:pPr>
    </w:p>
    <w:p w14:paraId="13A5926E" w14:textId="31FC5109" w:rsidR="0096509F" w:rsidRDefault="00512401" w:rsidP="008F7F19">
      <w:pPr>
        <w:pStyle w:val="3GPPNormalText"/>
      </w:pPr>
      <w:r>
        <w:t xml:space="preserve">The TDM design is depicted in Figure 4. </w:t>
      </w:r>
      <w:r w:rsidR="0096509F">
        <w:t>In order to maintain the operational efficiency of the system, the</w:t>
      </w:r>
      <w:r>
        <w:t xml:space="preserve"> PSCCCH</w:t>
      </w:r>
      <w:r w:rsidR="0096509F">
        <w:t xml:space="preserve"> are </w:t>
      </w:r>
      <w:proofErr w:type="spellStart"/>
      <w:r w:rsidR="0096509F">
        <w:t>TDMed</w:t>
      </w:r>
      <w:proofErr w:type="spellEnd"/>
      <w:r w:rsidR="0096509F">
        <w:t xml:space="preserve"> with the PSCCH by occupying symbols in the beginning of the time slot. In the absence of such messages, the UE can utilize these symbols for normal PSCCH transmission. </w:t>
      </w:r>
    </w:p>
    <w:p w14:paraId="5FFB909F" w14:textId="77777777" w:rsidR="00660FEC" w:rsidRDefault="000E2E1E" w:rsidP="008F7F19">
      <w:pPr>
        <w:pStyle w:val="3GPPNormalText"/>
      </w:pPr>
      <w:r w:rsidRPr="000E2E1E">
        <w:rPr>
          <w:noProof/>
        </w:rPr>
        <w:drawing>
          <wp:inline distT="0" distB="0" distL="0" distR="0" wp14:anchorId="23FE28A5" wp14:editId="686A066C">
            <wp:extent cx="6332220" cy="21802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180211"/>
                    </a:xfrm>
                    <a:prstGeom prst="rect">
                      <a:avLst/>
                    </a:prstGeom>
                    <a:noFill/>
                    <a:ln>
                      <a:noFill/>
                    </a:ln>
                  </pic:spPr>
                </pic:pic>
              </a:graphicData>
            </a:graphic>
          </wp:inline>
        </w:drawing>
      </w:r>
    </w:p>
    <w:p w14:paraId="50E81D72" w14:textId="06D41587" w:rsidR="00660FEC" w:rsidRDefault="00660FEC" w:rsidP="00660FEC">
      <w:pPr>
        <w:jc w:val="center"/>
        <w:rPr>
          <w:i/>
          <w:sz w:val="22"/>
          <w:szCs w:val="22"/>
        </w:rPr>
      </w:pPr>
      <w:r>
        <w:rPr>
          <w:b/>
          <w:i/>
          <w:sz w:val="22"/>
          <w:szCs w:val="22"/>
        </w:rPr>
        <w:t xml:space="preserve">Figure </w:t>
      </w:r>
      <w:r w:rsidR="007322C7">
        <w:rPr>
          <w:b/>
          <w:i/>
          <w:sz w:val="22"/>
          <w:szCs w:val="22"/>
        </w:rPr>
        <w:t>4</w:t>
      </w:r>
      <w:r w:rsidRPr="00180185">
        <w:rPr>
          <w:b/>
          <w:i/>
          <w:sz w:val="22"/>
          <w:szCs w:val="22"/>
        </w:rPr>
        <w:t>:</w:t>
      </w:r>
      <w:r>
        <w:rPr>
          <w:i/>
          <w:sz w:val="22"/>
          <w:szCs w:val="22"/>
        </w:rPr>
        <w:t xml:space="preserve"> </w:t>
      </w:r>
      <w:r w:rsidR="00512401">
        <w:rPr>
          <w:i/>
          <w:sz w:val="22"/>
          <w:szCs w:val="22"/>
        </w:rPr>
        <w:t xml:space="preserve">TDM based </w:t>
      </w:r>
      <w:r>
        <w:rPr>
          <w:i/>
          <w:sz w:val="22"/>
          <w:szCs w:val="22"/>
        </w:rPr>
        <w:t>2-Stage SCI</w:t>
      </w:r>
      <w:r w:rsidRPr="004B6FBB">
        <w:rPr>
          <w:i/>
          <w:sz w:val="22"/>
          <w:szCs w:val="22"/>
        </w:rPr>
        <w:t xml:space="preserve"> Dual </w:t>
      </w:r>
      <w:r>
        <w:rPr>
          <w:i/>
          <w:sz w:val="22"/>
          <w:szCs w:val="22"/>
        </w:rPr>
        <w:t>Control Channel</w:t>
      </w:r>
      <w:r w:rsidRPr="004B6FBB">
        <w:rPr>
          <w:i/>
          <w:sz w:val="22"/>
          <w:szCs w:val="22"/>
        </w:rPr>
        <w:t xml:space="preserve"> Design</w:t>
      </w:r>
    </w:p>
    <w:p w14:paraId="0387D452" w14:textId="77777777" w:rsidR="00512401" w:rsidRDefault="00512401" w:rsidP="00512401">
      <w:pPr>
        <w:jc w:val="both"/>
        <w:rPr>
          <w:b/>
          <w:sz w:val="22"/>
          <w:szCs w:val="22"/>
          <w:lang w:val="en-US"/>
        </w:rPr>
      </w:pPr>
    </w:p>
    <w:p w14:paraId="0A397FDE" w14:textId="56C625D5" w:rsidR="00512401" w:rsidRDefault="00512401" w:rsidP="00512401">
      <w:pPr>
        <w:jc w:val="both"/>
        <w:rPr>
          <w:b/>
          <w:sz w:val="22"/>
          <w:szCs w:val="22"/>
          <w:lang w:val="en-US"/>
        </w:rPr>
      </w:pPr>
      <w:r>
        <w:rPr>
          <w:b/>
          <w:sz w:val="22"/>
          <w:szCs w:val="22"/>
          <w:lang w:val="en-US"/>
        </w:rPr>
        <w:t xml:space="preserve">Proposal </w:t>
      </w:r>
      <w:r w:rsidR="007322C7">
        <w:rPr>
          <w:b/>
          <w:sz w:val="22"/>
          <w:szCs w:val="22"/>
          <w:lang w:val="en-US"/>
        </w:rPr>
        <w:t>3</w:t>
      </w:r>
      <w:r w:rsidRPr="005454B7">
        <w:rPr>
          <w:b/>
          <w:sz w:val="22"/>
          <w:szCs w:val="22"/>
          <w:lang w:val="en-US"/>
        </w:rPr>
        <w:t xml:space="preserve">: </w:t>
      </w:r>
      <w:r>
        <w:rPr>
          <w:b/>
          <w:sz w:val="22"/>
          <w:szCs w:val="22"/>
          <w:lang w:val="en-US"/>
        </w:rPr>
        <w:t xml:space="preserve">We propose to study further the configuration of a common control channel, which is either </w:t>
      </w:r>
      <w:proofErr w:type="spellStart"/>
      <w:r>
        <w:rPr>
          <w:b/>
          <w:sz w:val="22"/>
          <w:szCs w:val="22"/>
          <w:lang w:val="en-US"/>
        </w:rPr>
        <w:t>FDMed</w:t>
      </w:r>
      <w:proofErr w:type="spellEnd"/>
      <w:r>
        <w:rPr>
          <w:b/>
          <w:sz w:val="22"/>
          <w:szCs w:val="22"/>
          <w:lang w:val="en-US"/>
        </w:rPr>
        <w:t xml:space="preserve"> with the resource pool or </w:t>
      </w:r>
      <w:proofErr w:type="spellStart"/>
      <w:r>
        <w:rPr>
          <w:b/>
          <w:sz w:val="22"/>
          <w:szCs w:val="22"/>
          <w:lang w:val="en-US"/>
        </w:rPr>
        <w:t>TDMed</w:t>
      </w:r>
      <w:proofErr w:type="spellEnd"/>
      <w:r>
        <w:rPr>
          <w:b/>
          <w:sz w:val="22"/>
          <w:szCs w:val="22"/>
          <w:lang w:val="en-US"/>
        </w:rPr>
        <w:t xml:space="preserve"> with the PSCCH in the resource pool.</w:t>
      </w:r>
    </w:p>
    <w:p w14:paraId="73BE77A7" w14:textId="77777777" w:rsidR="00736032" w:rsidRPr="0040380E" w:rsidRDefault="00736032" w:rsidP="00660FEC">
      <w:pPr>
        <w:jc w:val="center"/>
        <w:rPr>
          <w:i/>
          <w:sz w:val="22"/>
          <w:szCs w:val="22"/>
          <w:lang w:val="en-US"/>
        </w:rPr>
      </w:pPr>
    </w:p>
    <w:p w14:paraId="6D012851" w14:textId="77777777" w:rsidR="00741BC0" w:rsidRDefault="00741BC0" w:rsidP="00741BC0">
      <w:pPr>
        <w:pStyle w:val="Heading2"/>
        <w:tabs>
          <w:tab w:val="clear" w:pos="1002"/>
          <w:tab w:val="num" w:pos="540"/>
        </w:tabs>
        <w:ind w:left="540"/>
      </w:pPr>
      <w:r>
        <w:t xml:space="preserve">In- and Out-of-Coverage Dual Control </w:t>
      </w:r>
      <w:r w:rsidR="00D8661A">
        <w:t xml:space="preserve">Channel </w:t>
      </w:r>
      <w:r>
        <w:t>Design</w:t>
      </w:r>
    </w:p>
    <w:p w14:paraId="6074A5EF" w14:textId="5D498EEE" w:rsidR="00741BC0" w:rsidRDefault="00741BC0" w:rsidP="00741BC0">
      <w:pPr>
        <w:jc w:val="both"/>
        <w:rPr>
          <w:sz w:val="22"/>
          <w:szCs w:val="22"/>
        </w:rPr>
      </w:pPr>
      <w:r>
        <w:rPr>
          <w:sz w:val="22"/>
          <w:szCs w:val="22"/>
        </w:rPr>
        <w:t xml:space="preserve">Given that both Mode 1 and Mode 2 NR UEs have to coexist and it is feasible to assume that sharing of resources among the operational modes would result in an optimized resource allocation solution, we propose a dual SCI or control channel design, where the SCIs for UEs operating in Mode 1 would be transmitted and received in a separate control channel, and the SCIs for UEs operating in Mode 2 would use another adjacent control channel. </w:t>
      </w:r>
      <w:r>
        <w:rPr>
          <w:sz w:val="22"/>
          <w:szCs w:val="22"/>
        </w:rPr>
        <w:lastRenderedPageBreak/>
        <w:t xml:space="preserve">These control channels are </w:t>
      </w:r>
      <w:proofErr w:type="spellStart"/>
      <w:r>
        <w:rPr>
          <w:sz w:val="22"/>
          <w:szCs w:val="22"/>
        </w:rPr>
        <w:t>TDMed</w:t>
      </w:r>
      <w:proofErr w:type="spellEnd"/>
      <w:r>
        <w:rPr>
          <w:sz w:val="22"/>
          <w:szCs w:val="22"/>
        </w:rPr>
        <w:t xml:space="preserve"> to each other, as with the data, and would span one or two symbols across time within the time sl</w:t>
      </w:r>
      <w:r w:rsidR="00232972">
        <w:rPr>
          <w:sz w:val="22"/>
          <w:szCs w:val="22"/>
        </w:rPr>
        <w:t xml:space="preserve">ot. This can be seen in Figure </w:t>
      </w:r>
      <w:r w:rsidR="007322C7">
        <w:rPr>
          <w:sz w:val="22"/>
          <w:szCs w:val="22"/>
        </w:rPr>
        <w:t>5</w:t>
      </w:r>
      <w:r>
        <w:rPr>
          <w:sz w:val="22"/>
          <w:szCs w:val="22"/>
        </w:rPr>
        <w:t>.</w:t>
      </w:r>
    </w:p>
    <w:p w14:paraId="760E9B10" w14:textId="77777777" w:rsidR="004D4AC7" w:rsidRDefault="00741BC0" w:rsidP="00741BC0">
      <w:pPr>
        <w:jc w:val="both"/>
        <w:rPr>
          <w:sz w:val="22"/>
          <w:szCs w:val="22"/>
        </w:rPr>
      </w:pPr>
      <w:r>
        <w:rPr>
          <w:sz w:val="22"/>
          <w:szCs w:val="22"/>
        </w:rPr>
        <w:t>Both the control channels are read by both modes of UEs, with the Mode 1 UEs being able to use the Mode 2 control region to transmit data only if it has sent out an SCI claiming the following data symbols in the given sub channel.</w:t>
      </w:r>
    </w:p>
    <w:p w14:paraId="75755F14" w14:textId="359FD553" w:rsidR="000453C5" w:rsidRDefault="00741BC0" w:rsidP="00741BC0">
      <w:pPr>
        <w:jc w:val="both"/>
        <w:rPr>
          <w:noProof/>
          <w:lang w:val="en-US"/>
        </w:rPr>
      </w:pPr>
      <w:r>
        <w:rPr>
          <w:sz w:val="22"/>
          <w:szCs w:val="22"/>
        </w:rPr>
        <w:t>The primary advantage of this design is that when a Mode 2 UE senses the Mode 1 control region and finds it to be vacant or empty,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r w:rsidR="000453C5" w:rsidRPr="000453C5">
        <w:rPr>
          <w:noProof/>
          <w:lang w:val="en-US"/>
        </w:rPr>
        <w:t xml:space="preserve"> </w:t>
      </w:r>
    </w:p>
    <w:p w14:paraId="53DBF860" w14:textId="509CE1ED" w:rsidR="004D4AC7" w:rsidRDefault="000453C5" w:rsidP="000453C5">
      <w:pPr>
        <w:jc w:val="center"/>
        <w:rPr>
          <w:sz w:val="22"/>
          <w:szCs w:val="22"/>
        </w:rPr>
      </w:pPr>
      <w:r w:rsidRPr="004C13E9">
        <w:rPr>
          <w:noProof/>
          <w:lang w:val="en-US"/>
        </w:rPr>
        <w:drawing>
          <wp:inline distT="0" distB="0" distL="0" distR="0" wp14:anchorId="4CA192B7" wp14:editId="6D8662C9">
            <wp:extent cx="4598670" cy="2315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8670" cy="2315845"/>
                    </a:xfrm>
                    <a:prstGeom prst="rect">
                      <a:avLst/>
                    </a:prstGeom>
                    <a:noFill/>
                    <a:ln>
                      <a:noFill/>
                    </a:ln>
                  </pic:spPr>
                </pic:pic>
              </a:graphicData>
            </a:graphic>
          </wp:inline>
        </w:drawing>
      </w:r>
    </w:p>
    <w:p w14:paraId="38D4540A" w14:textId="23045DDB" w:rsidR="00741BC0" w:rsidRDefault="00180185" w:rsidP="00741BC0">
      <w:pPr>
        <w:jc w:val="center"/>
        <w:rPr>
          <w:i/>
          <w:sz w:val="22"/>
          <w:szCs w:val="22"/>
        </w:rPr>
      </w:pPr>
      <w:r w:rsidRPr="00180185">
        <w:rPr>
          <w:b/>
          <w:i/>
          <w:sz w:val="22"/>
          <w:szCs w:val="22"/>
        </w:rPr>
        <w:t xml:space="preserve">Figure </w:t>
      </w:r>
      <w:r w:rsidR="007322C7">
        <w:rPr>
          <w:b/>
          <w:i/>
          <w:sz w:val="22"/>
          <w:szCs w:val="22"/>
        </w:rPr>
        <w:t>5</w:t>
      </w:r>
      <w:r w:rsidR="00741BC0" w:rsidRPr="00180185">
        <w:rPr>
          <w:b/>
          <w:i/>
          <w:sz w:val="22"/>
          <w:szCs w:val="22"/>
        </w:rPr>
        <w:t>:</w:t>
      </w:r>
      <w:r w:rsidR="00741BC0">
        <w:rPr>
          <w:i/>
          <w:sz w:val="22"/>
          <w:szCs w:val="22"/>
        </w:rPr>
        <w:t xml:space="preserve"> </w:t>
      </w:r>
      <w:r w:rsidR="00741BC0" w:rsidRPr="004B6FBB">
        <w:rPr>
          <w:i/>
          <w:sz w:val="22"/>
          <w:szCs w:val="22"/>
        </w:rPr>
        <w:t xml:space="preserve">In- and Out-of-Coverage Dual </w:t>
      </w:r>
      <w:r w:rsidR="00741BC0">
        <w:rPr>
          <w:i/>
          <w:sz w:val="22"/>
          <w:szCs w:val="22"/>
        </w:rPr>
        <w:t>Control</w:t>
      </w:r>
      <w:r w:rsidR="00741BC0" w:rsidRPr="004B6FBB">
        <w:rPr>
          <w:i/>
          <w:sz w:val="22"/>
          <w:szCs w:val="22"/>
        </w:rPr>
        <w:t xml:space="preserve"> Design</w:t>
      </w:r>
    </w:p>
    <w:p w14:paraId="44A8E351" w14:textId="3C42F27C" w:rsidR="00741BC0" w:rsidRDefault="00741BC0" w:rsidP="00741BC0">
      <w:pPr>
        <w:jc w:val="both"/>
        <w:rPr>
          <w:b/>
          <w:sz w:val="22"/>
          <w:szCs w:val="22"/>
        </w:rPr>
      </w:pPr>
      <w:r>
        <w:rPr>
          <w:b/>
          <w:sz w:val="22"/>
          <w:szCs w:val="22"/>
        </w:rPr>
        <w:t xml:space="preserve">Proposal </w:t>
      </w:r>
      <w:r w:rsidR="007322C7">
        <w:rPr>
          <w:b/>
          <w:sz w:val="22"/>
          <w:szCs w:val="22"/>
        </w:rPr>
        <w:t>4</w:t>
      </w:r>
      <w:r>
        <w:rPr>
          <w:b/>
          <w:sz w:val="22"/>
          <w:szCs w:val="22"/>
        </w:rPr>
        <w:t>: Study further the impact of collisions in resource allocation between Mode 1 and Mode 2 UEs.</w:t>
      </w:r>
    </w:p>
    <w:p w14:paraId="1E25728B" w14:textId="62E1FA17" w:rsidR="00741BC0" w:rsidRDefault="0096509F" w:rsidP="00741BC0">
      <w:pPr>
        <w:jc w:val="both"/>
        <w:rPr>
          <w:b/>
          <w:sz w:val="22"/>
          <w:szCs w:val="22"/>
        </w:rPr>
      </w:pPr>
      <w:r>
        <w:rPr>
          <w:b/>
          <w:sz w:val="22"/>
          <w:szCs w:val="22"/>
        </w:rPr>
        <w:t xml:space="preserve">Proposal </w:t>
      </w:r>
      <w:r w:rsidR="007322C7">
        <w:rPr>
          <w:b/>
          <w:sz w:val="22"/>
          <w:szCs w:val="22"/>
        </w:rPr>
        <w:t>5</w:t>
      </w:r>
      <w:r w:rsidR="00741BC0">
        <w:rPr>
          <w:b/>
          <w:sz w:val="22"/>
          <w:szCs w:val="22"/>
        </w:rPr>
        <w:t>: We suggest that the in- and out-of-coverage dual control design be the baseline for further study.</w:t>
      </w:r>
    </w:p>
    <w:p w14:paraId="1DA8095A" w14:textId="77777777" w:rsidR="00741BC0" w:rsidRDefault="00741BC0" w:rsidP="00741BC0">
      <w:pPr>
        <w:jc w:val="both"/>
        <w:rPr>
          <w:b/>
          <w:sz w:val="22"/>
          <w:szCs w:val="22"/>
        </w:rPr>
      </w:pPr>
    </w:p>
    <w:p w14:paraId="527B86C7" w14:textId="77777777" w:rsidR="00E836C0" w:rsidRPr="000D3E61" w:rsidRDefault="00E836C0" w:rsidP="00E836C0">
      <w:pPr>
        <w:pStyle w:val="Heading1"/>
      </w:pPr>
      <w:r w:rsidRPr="000D3E61">
        <w:t>Flexible Slot Structure for dedicated NR Sidelink Carriers</w:t>
      </w:r>
    </w:p>
    <w:p w14:paraId="67EE6C43" w14:textId="44C5B5A2" w:rsidR="00E836C0" w:rsidRPr="000D3E61" w:rsidRDefault="00E836C0" w:rsidP="00E836C0">
      <w:pPr>
        <w:jc w:val="both"/>
        <w:rPr>
          <w:sz w:val="22"/>
          <w:szCs w:val="22"/>
        </w:rPr>
      </w:pPr>
      <w:r w:rsidRPr="000D3E61">
        <w:rPr>
          <w:sz w:val="22"/>
          <w:szCs w:val="22"/>
        </w:rPr>
        <w:t xml:space="preserve">In this section we discuss the NR flexible slot structure of NR Rel-15 with regard to NR sidelink for dedicated NR sidelink carriers. In our companion contribution </w:t>
      </w:r>
      <w:r w:rsidRPr="000D3E61">
        <w:rPr>
          <w:sz w:val="22"/>
          <w:szCs w:val="22"/>
          <w:lang w:val="en-US"/>
        </w:rPr>
        <w:t>[</w:t>
      </w:r>
      <w:r w:rsidR="005966B1">
        <w:rPr>
          <w:sz w:val="22"/>
          <w:szCs w:val="22"/>
          <w:lang w:val="en-US"/>
        </w:rPr>
        <w:t>6</w:t>
      </w:r>
      <w:r w:rsidRPr="000D3E61">
        <w:rPr>
          <w:sz w:val="22"/>
          <w:szCs w:val="22"/>
          <w:lang w:val="en-US"/>
        </w:rPr>
        <w:t>]</w:t>
      </w:r>
      <w:r w:rsidR="006A691E">
        <w:rPr>
          <w:sz w:val="22"/>
          <w:szCs w:val="22"/>
          <w:lang w:val="en-US"/>
        </w:rPr>
        <w:t xml:space="preserve"> we have</w:t>
      </w:r>
      <w:r w:rsidRPr="000D3E61">
        <w:rPr>
          <w:sz w:val="22"/>
          <w:szCs w:val="22"/>
          <w:lang w:val="en-US"/>
        </w:rPr>
        <w:t xml:space="preserve"> discuss</w:t>
      </w:r>
      <w:r w:rsidR="006A691E">
        <w:rPr>
          <w:sz w:val="22"/>
          <w:szCs w:val="22"/>
          <w:lang w:val="en-US"/>
        </w:rPr>
        <w:t>ed</w:t>
      </w:r>
      <w:r w:rsidRPr="000D3E61">
        <w:rPr>
          <w:sz w:val="22"/>
          <w:szCs w:val="22"/>
          <w:lang w:val="en-US"/>
        </w:rPr>
        <w:t xml:space="preserve"> </w:t>
      </w:r>
      <w:r w:rsidRPr="000D3E61">
        <w:rPr>
          <w:sz w:val="22"/>
          <w:szCs w:val="22"/>
        </w:rPr>
        <w:t>NR flexible slot structure concerning shared sidelink carriers.</w:t>
      </w:r>
    </w:p>
    <w:p w14:paraId="40BC3CBA" w14:textId="77777777" w:rsidR="00E836C0" w:rsidRPr="000D3E61" w:rsidRDefault="00344D83" w:rsidP="00E836C0">
      <w:pPr>
        <w:jc w:val="both"/>
        <w:rPr>
          <w:sz w:val="22"/>
          <w:szCs w:val="22"/>
        </w:rPr>
      </w:pPr>
      <w:r w:rsidRPr="000D3E61">
        <w:rPr>
          <w:sz w:val="22"/>
          <w:szCs w:val="22"/>
        </w:rPr>
        <w:t>F</w:t>
      </w:r>
      <w:r w:rsidR="00E836C0" w:rsidRPr="000D3E61">
        <w:rPr>
          <w:sz w:val="22"/>
          <w:szCs w:val="22"/>
        </w:rPr>
        <w:t>or NR V2X communications, NR flexible slot format would facilitate dynamic scheduling of the transmission direction of NR sidelink UEs even within one slot. This way accommodation of the diverse range of traffic requirements for the advanced NR V2X use cases regarding transmission rates, latency and reliability could be achieved.</w:t>
      </w:r>
    </w:p>
    <w:p w14:paraId="1072851D" w14:textId="37D955AA" w:rsidR="00E836C0" w:rsidRPr="000D3E61" w:rsidRDefault="00232972" w:rsidP="00880CA0">
      <w:pPr>
        <w:jc w:val="both"/>
        <w:rPr>
          <w:b/>
          <w:sz w:val="22"/>
          <w:szCs w:val="22"/>
        </w:rPr>
      </w:pPr>
      <w:r>
        <w:rPr>
          <w:b/>
          <w:sz w:val="22"/>
          <w:szCs w:val="22"/>
        </w:rPr>
        <w:t xml:space="preserve">Proposal </w:t>
      </w:r>
      <w:r w:rsidR="005966B1">
        <w:rPr>
          <w:b/>
          <w:sz w:val="22"/>
          <w:szCs w:val="22"/>
        </w:rPr>
        <w:t>6</w:t>
      </w:r>
      <w:r w:rsidR="00E836C0" w:rsidRPr="000D3E61">
        <w:rPr>
          <w:b/>
          <w:sz w:val="22"/>
          <w:szCs w:val="22"/>
        </w:rPr>
        <w:t>: Adopt the NR flexible slot format for NR sidelink physical structure in a dedicated NR sidelink carrier.</w:t>
      </w:r>
    </w:p>
    <w:p w14:paraId="14695F56" w14:textId="3CA490E4" w:rsidR="00E836C0" w:rsidRPr="000D3E61" w:rsidRDefault="00E836C0" w:rsidP="00E836C0">
      <w:pPr>
        <w:jc w:val="both"/>
        <w:rPr>
          <w:sz w:val="22"/>
          <w:szCs w:val="22"/>
          <w:lang w:val="en-US"/>
        </w:rPr>
      </w:pPr>
      <w:r w:rsidRPr="000D3E61">
        <w:rPr>
          <w:sz w:val="22"/>
          <w:szCs w:val="22"/>
        </w:rPr>
        <w:t xml:space="preserve">In a dedicated sidelink carrier all slots/symbols are used for sidelink communication. When adopting the NR flexible slot format, a dedicated classifier ‘sidelink’ (‘S’) should be introduced for OFDM symbols and signalled to the sidelink UEs. </w:t>
      </w:r>
      <w:r w:rsidRPr="000D3E61">
        <w:rPr>
          <w:sz w:val="22"/>
          <w:szCs w:val="22"/>
          <w:lang w:val="en-US"/>
        </w:rPr>
        <w:t>In F</w:t>
      </w:r>
      <w:r w:rsidR="00232972">
        <w:rPr>
          <w:sz w:val="22"/>
          <w:szCs w:val="22"/>
          <w:lang w:val="en-US"/>
        </w:rPr>
        <w:t xml:space="preserve">igure </w:t>
      </w:r>
      <w:r w:rsidR="007322C7">
        <w:rPr>
          <w:sz w:val="22"/>
          <w:szCs w:val="22"/>
          <w:lang w:val="en-US"/>
        </w:rPr>
        <w:t>6</w:t>
      </w:r>
      <w:r w:rsidRPr="000D3E61">
        <w:rPr>
          <w:sz w:val="22"/>
          <w:szCs w:val="22"/>
          <w:lang w:val="en-US"/>
        </w:rPr>
        <w:t xml:space="preserve">, examples a) to e) depict five possible slot formats for a dedicated sidelink carrier. </w:t>
      </w:r>
      <w:r w:rsidRPr="000D3E61">
        <w:rPr>
          <w:sz w:val="22"/>
          <w:szCs w:val="22"/>
          <w:lang w:val="en-US"/>
        </w:rPr>
        <w:lastRenderedPageBreak/>
        <w:t xml:space="preserve">Example </w:t>
      </w:r>
      <w:r w:rsidR="005966B1">
        <w:rPr>
          <w:sz w:val="22"/>
          <w:szCs w:val="22"/>
          <w:lang w:val="en-US"/>
        </w:rPr>
        <w:t>6</w:t>
      </w:r>
      <w:r w:rsidR="005966B1" w:rsidRPr="000D3E61">
        <w:rPr>
          <w:sz w:val="22"/>
          <w:szCs w:val="22"/>
          <w:lang w:val="en-US"/>
        </w:rPr>
        <w:t xml:space="preserve"> </w:t>
      </w:r>
      <w:r w:rsidRPr="000D3E61">
        <w:rPr>
          <w:sz w:val="22"/>
          <w:szCs w:val="22"/>
          <w:lang w:val="en-US"/>
        </w:rPr>
        <w:t>a) shows a slot format where all symbols in a slot are classified as</w:t>
      </w:r>
      <w:r w:rsidR="00232972">
        <w:rPr>
          <w:sz w:val="22"/>
          <w:szCs w:val="22"/>
          <w:lang w:val="en-US"/>
        </w:rPr>
        <w:t xml:space="preserve"> ‘sidelink’ (’S’). In examples </w:t>
      </w:r>
      <w:r w:rsidR="005966B1">
        <w:rPr>
          <w:sz w:val="22"/>
          <w:szCs w:val="22"/>
          <w:lang w:val="en-US"/>
        </w:rPr>
        <w:t>6</w:t>
      </w:r>
      <w:r w:rsidR="005966B1" w:rsidRPr="000D3E61">
        <w:rPr>
          <w:sz w:val="22"/>
          <w:szCs w:val="22"/>
          <w:lang w:val="en-US"/>
        </w:rPr>
        <w:t xml:space="preserve"> </w:t>
      </w:r>
      <w:r w:rsidRPr="000D3E61">
        <w:rPr>
          <w:sz w:val="22"/>
          <w:szCs w:val="22"/>
          <w:lang w:val="en-US"/>
        </w:rPr>
        <w:t xml:space="preserve">b) to e) the slot format of </w:t>
      </w:r>
      <w:r w:rsidR="005966B1">
        <w:rPr>
          <w:sz w:val="22"/>
          <w:szCs w:val="22"/>
          <w:lang w:val="en-US"/>
        </w:rPr>
        <w:t>6</w:t>
      </w:r>
      <w:r w:rsidR="005966B1" w:rsidRPr="000D3E61">
        <w:rPr>
          <w:sz w:val="22"/>
          <w:szCs w:val="22"/>
          <w:lang w:val="en-US"/>
        </w:rPr>
        <w:t xml:space="preserve"> </w:t>
      </w:r>
      <w:r w:rsidRPr="000D3E61">
        <w:rPr>
          <w:sz w:val="22"/>
          <w:szCs w:val="22"/>
          <w:lang w:val="en-US"/>
        </w:rPr>
        <w:t xml:space="preserve">a) is modified such that one or more of the sidelink symbols are replaced by ‘flexible’ (’F’) symbols at the start, end or middle of the time slot. The ‘flexible’ (’F’) symbols could be used e.g. as guard symbols when switching between transmission and reception on the dedicated sidelink carrier. </w:t>
      </w:r>
      <w:r w:rsidR="00FE2A67">
        <w:rPr>
          <w:sz w:val="22"/>
          <w:szCs w:val="22"/>
          <w:lang w:val="en-US"/>
        </w:rPr>
        <w:t xml:space="preserve"> </w:t>
      </w:r>
      <w:r w:rsidR="00232972">
        <w:rPr>
          <w:sz w:val="22"/>
          <w:szCs w:val="22"/>
          <w:lang w:val="en-US"/>
        </w:rPr>
        <w:t xml:space="preserve">Example </w:t>
      </w:r>
      <w:r w:rsidR="005966B1">
        <w:rPr>
          <w:sz w:val="22"/>
          <w:szCs w:val="22"/>
          <w:lang w:val="en-US"/>
        </w:rPr>
        <w:t>6</w:t>
      </w:r>
      <w:r w:rsidR="005966B1" w:rsidRPr="00B5261A">
        <w:rPr>
          <w:sz w:val="22"/>
          <w:szCs w:val="22"/>
          <w:lang w:val="en-US"/>
        </w:rPr>
        <w:t xml:space="preserve"> </w:t>
      </w:r>
      <w:r w:rsidR="00635EED" w:rsidRPr="00B5261A">
        <w:rPr>
          <w:sz w:val="22"/>
          <w:szCs w:val="22"/>
          <w:lang w:val="en-US"/>
        </w:rPr>
        <w:t>e) illustrates how ‘F’ symbols could be used to divide a time slot into two parts.</w:t>
      </w:r>
      <w:r w:rsidR="00635EED">
        <w:rPr>
          <w:sz w:val="22"/>
          <w:szCs w:val="22"/>
          <w:lang w:val="en-US"/>
        </w:rPr>
        <w:t xml:space="preserve"> </w:t>
      </w:r>
    </w:p>
    <w:p w14:paraId="297B29C1" w14:textId="46B7E704" w:rsidR="00E836C0" w:rsidRPr="000D3E61" w:rsidRDefault="00E836C0" w:rsidP="00E836C0">
      <w:pPr>
        <w:rPr>
          <w:b/>
          <w:sz w:val="22"/>
          <w:szCs w:val="22"/>
        </w:rPr>
      </w:pPr>
      <w:r w:rsidRPr="000D3E61">
        <w:rPr>
          <w:b/>
          <w:sz w:val="22"/>
          <w:szCs w:val="22"/>
        </w:rPr>
        <w:t xml:space="preserve">Proposal </w:t>
      </w:r>
      <w:r w:rsidR="005966B1">
        <w:rPr>
          <w:b/>
          <w:sz w:val="22"/>
          <w:szCs w:val="22"/>
        </w:rPr>
        <w:t>7</w:t>
      </w:r>
      <w:r w:rsidRPr="000D3E61">
        <w:rPr>
          <w:b/>
          <w:sz w:val="22"/>
          <w:szCs w:val="22"/>
        </w:rPr>
        <w:t>: Study dedicated slot format indication for OFDM symbols/slots in a dedicated sidelink carrier and related flexible slot formats.</w:t>
      </w:r>
    </w:p>
    <w:p w14:paraId="74FD9DD6" w14:textId="0268FA0A" w:rsidR="00E836C0" w:rsidRPr="000D3E61" w:rsidRDefault="00B5261A" w:rsidP="00B5261A">
      <w:pPr>
        <w:jc w:val="center"/>
        <w:rPr>
          <w:sz w:val="22"/>
          <w:szCs w:val="22"/>
        </w:rPr>
      </w:pPr>
      <w:r>
        <w:rPr>
          <w:noProof/>
          <w:sz w:val="22"/>
          <w:szCs w:val="22"/>
          <w:lang w:val="en-US"/>
        </w:rPr>
        <w:drawing>
          <wp:inline distT="0" distB="0" distL="0" distR="0" wp14:anchorId="104CFDB2" wp14:editId="715CF7EB">
            <wp:extent cx="5335325" cy="30560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lexSlot1.png"/>
                    <pic:cNvPicPr/>
                  </pic:nvPicPr>
                  <pic:blipFill>
                    <a:blip r:embed="rId20">
                      <a:extLst>
                        <a:ext uri="{28A0092B-C50C-407E-A947-70E740481C1C}">
                          <a14:useLocalDpi xmlns:a14="http://schemas.microsoft.com/office/drawing/2010/main" val="0"/>
                        </a:ext>
                      </a:extLst>
                    </a:blip>
                    <a:stretch>
                      <a:fillRect/>
                    </a:stretch>
                  </pic:blipFill>
                  <pic:spPr>
                    <a:xfrm>
                      <a:off x="0" y="0"/>
                      <a:ext cx="5379549" cy="3081428"/>
                    </a:xfrm>
                    <a:prstGeom prst="rect">
                      <a:avLst/>
                    </a:prstGeom>
                  </pic:spPr>
                </pic:pic>
              </a:graphicData>
            </a:graphic>
          </wp:inline>
        </w:drawing>
      </w:r>
    </w:p>
    <w:p w14:paraId="661F87A9" w14:textId="78C095B7" w:rsidR="00E836C0" w:rsidRDefault="00E836C0" w:rsidP="00E836C0">
      <w:pPr>
        <w:jc w:val="center"/>
        <w:rPr>
          <w:i/>
          <w:sz w:val="22"/>
          <w:szCs w:val="22"/>
          <w:lang w:val="en-US"/>
        </w:rPr>
      </w:pPr>
      <w:r w:rsidRPr="00B5261A">
        <w:rPr>
          <w:b/>
          <w:i/>
          <w:sz w:val="22"/>
          <w:szCs w:val="22"/>
          <w:lang w:val="en-US"/>
        </w:rPr>
        <w:t xml:space="preserve">Figure </w:t>
      </w:r>
      <w:r w:rsidR="007322C7">
        <w:rPr>
          <w:b/>
          <w:i/>
          <w:sz w:val="22"/>
          <w:szCs w:val="22"/>
          <w:lang w:val="en-US"/>
        </w:rPr>
        <w:t>6</w:t>
      </w:r>
      <w:r w:rsidR="00B70EDF">
        <w:rPr>
          <w:b/>
          <w:i/>
          <w:sz w:val="22"/>
          <w:szCs w:val="22"/>
          <w:lang w:val="en-US"/>
        </w:rPr>
        <w:t xml:space="preserve">: </w:t>
      </w:r>
      <w:r w:rsidRPr="000D3E61">
        <w:rPr>
          <w:i/>
          <w:sz w:val="22"/>
          <w:szCs w:val="22"/>
          <w:lang w:val="en-US"/>
        </w:rPr>
        <w:t>Examples for possible flexible slot formats in a dedicated NR sidelink carrier</w:t>
      </w:r>
    </w:p>
    <w:p w14:paraId="5D453F81" w14:textId="77777777" w:rsidR="005966B1" w:rsidRPr="000D3E61" w:rsidRDefault="005966B1" w:rsidP="00E836C0">
      <w:pPr>
        <w:jc w:val="center"/>
        <w:rPr>
          <w:i/>
          <w:sz w:val="22"/>
          <w:szCs w:val="22"/>
          <w:lang w:val="en-US"/>
        </w:rPr>
      </w:pPr>
    </w:p>
    <w:p w14:paraId="52083C37" w14:textId="516576A7" w:rsidR="00E836C0" w:rsidRPr="000D3E61" w:rsidRDefault="00E836C0" w:rsidP="00E836C0">
      <w:pPr>
        <w:jc w:val="both"/>
        <w:rPr>
          <w:sz w:val="22"/>
          <w:szCs w:val="22"/>
          <w:lang w:val="en-US"/>
        </w:rPr>
      </w:pPr>
      <w:r w:rsidRPr="000D3E61">
        <w:rPr>
          <w:sz w:val="22"/>
          <w:szCs w:val="22"/>
          <w:lang w:val="en-US"/>
        </w:rPr>
        <w:t xml:space="preserve">In Figure </w:t>
      </w:r>
      <w:r w:rsidR="007322C7">
        <w:rPr>
          <w:sz w:val="22"/>
          <w:szCs w:val="22"/>
          <w:lang w:val="en-US"/>
        </w:rPr>
        <w:t>7</w:t>
      </w:r>
      <w:r w:rsidRPr="000D3E61">
        <w:rPr>
          <w:sz w:val="22"/>
          <w:szCs w:val="22"/>
          <w:lang w:val="en-US"/>
        </w:rPr>
        <w:t xml:space="preserve">, options a) to d) depict four additional examples of possible sidelink slot configurations for a shared carrier, where two UEs, UE1 and UE2, are transmitting, for example, on two different time instances using the depicted configurations. These two UEs may be communicating with each other, i.e., forming either a bi-directional configuration, or to different UEs on a set of symbols dedicated for sidelink communication (as denoted by </w:t>
      </w:r>
      <w:r w:rsidRPr="000D3E61">
        <w:rPr>
          <w:i/>
          <w:sz w:val="22"/>
          <w:szCs w:val="22"/>
          <w:lang w:val="en-US"/>
        </w:rPr>
        <w:t>S</w:t>
      </w:r>
      <w:r w:rsidRPr="000D3E61">
        <w:rPr>
          <w:sz w:val="22"/>
          <w:szCs w:val="22"/>
          <w:lang w:val="en-US"/>
        </w:rPr>
        <w:t xml:space="preserve">). In the case of </w:t>
      </w:r>
      <w:r w:rsidR="002B5086" w:rsidRPr="00B70EDF">
        <w:rPr>
          <w:sz w:val="22"/>
          <w:szCs w:val="22"/>
          <w:lang w:val="en-US"/>
        </w:rPr>
        <w:t xml:space="preserve">unicast </w:t>
      </w:r>
      <w:r w:rsidRPr="000D3E61">
        <w:rPr>
          <w:sz w:val="22"/>
          <w:szCs w:val="22"/>
          <w:lang w:val="en-US"/>
        </w:rPr>
        <w:t xml:space="preserve">communications, two UEs are capable of operating in the same slot, especially when the symbols to be used by one UE are configured either by the other UE or by the gNB. </w:t>
      </w:r>
    </w:p>
    <w:p w14:paraId="20FAFC79" w14:textId="5D9323A6" w:rsidR="00E836C0" w:rsidRDefault="00E836C0" w:rsidP="00E836C0">
      <w:pPr>
        <w:jc w:val="both"/>
        <w:rPr>
          <w:sz w:val="22"/>
          <w:szCs w:val="22"/>
          <w:lang w:val="en-US"/>
        </w:rPr>
      </w:pPr>
      <w:r w:rsidRPr="000D3E61">
        <w:rPr>
          <w:sz w:val="22"/>
          <w:szCs w:val="22"/>
          <w:lang w:val="en-US"/>
        </w:rPr>
        <w:t xml:space="preserve">Flexible symbols in this case can be used to switch between transmission and reception between the UEs. Alternatively, the flexible symbols can also be overridden so that they can be used for sidelink communication if needed or configured by the group lead UE and/or the gNB. </w:t>
      </w:r>
    </w:p>
    <w:p w14:paraId="1958CC57" w14:textId="77777777" w:rsidR="00512401" w:rsidRPr="000D3E61" w:rsidRDefault="00512401" w:rsidP="00512401">
      <w:pPr>
        <w:jc w:val="both"/>
        <w:rPr>
          <w:sz w:val="22"/>
          <w:szCs w:val="22"/>
        </w:rPr>
      </w:pPr>
      <w:r w:rsidRPr="000D3E61">
        <w:rPr>
          <w:sz w:val="22"/>
          <w:szCs w:val="22"/>
          <w:lang w:val="en-US"/>
        </w:rPr>
        <w:t xml:space="preserve">For bi-directional communication, feedback information is one of the important features that need to be evaluated in this study item. For example, if UE1 is configuring a bi-directional communication with UE2, the selected slot configuration for UE2 can be used to convey sidelink feedback information. Since </w:t>
      </w:r>
      <w:r w:rsidRPr="000D3E61">
        <w:rPr>
          <w:sz w:val="22"/>
          <w:szCs w:val="22"/>
        </w:rPr>
        <w:t>other feedback information, including information regarding link adaptation, is still under discussion, it is important to study the possible number of feedback symbols to be used.</w:t>
      </w:r>
    </w:p>
    <w:p w14:paraId="7EA3F21B" w14:textId="530082E8" w:rsidR="00512401" w:rsidRDefault="00512401" w:rsidP="00512401">
      <w:pPr>
        <w:jc w:val="both"/>
        <w:rPr>
          <w:b/>
          <w:sz w:val="22"/>
          <w:szCs w:val="22"/>
        </w:rPr>
      </w:pPr>
      <w:r>
        <w:rPr>
          <w:b/>
          <w:sz w:val="22"/>
          <w:szCs w:val="22"/>
        </w:rPr>
        <w:t xml:space="preserve">Proposal </w:t>
      </w:r>
      <w:r w:rsidR="005966B1">
        <w:rPr>
          <w:b/>
          <w:sz w:val="22"/>
          <w:szCs w:val="22"/>
        </w:rPr>
        <w:t>8</w:t>
      </w:r>
      <w:r w:rsidRPr="00A370DD">
        <w:rPr>
          <w:b/>
          <w:sz w:val="22"/>
          <w:szCs w:val="22"/>
        </w:rPr>
        <w:t>: Study the mechanism in which sidelink feedback information can be conveyed using the NR flexible slot format for the NR sidelink physical structure.</w:t>
      </w:r>
    </w:p>
    <w:p w14:paraId="70CB7663" w14:textId="0C04CAF4" w:rsidR="00512401" w:rsidRPr="0040380E" w:rsidRDefault="00512401" w:rsidP="00E836C0">
      <w:pPr>
        <w:jc w:val="both"/>
        <w:rPr>
          <w:sz w:val="22"/>
          <w:szCs w:val="22"/>
        </w:rPr>
      </w:pPr>
    </w:p>
    <w:p w14:paraId="6B3FC5FE" w14:textId="1D393176" w:rsidR="00B70EDF" w:rsidRPr="000D3E61" w:rsidRDefault="00B70EDF" w:rsidP="00B70EDF">
      <w:pPr>
        <w:jc w:val="center"/>
        <w:rPr>
          <w:sz w:val="22"/>
          <w:szCs w:val="22"/>
          <w:lang w:val="en-US"/>
        </w:rPr>
      </w:pPr>
      <w:r>
        <w:rPr>
          <w:noProof/>
          <w:sz w:val="22"/>
          <w:szCs w:val="22"/>
          <w:lang w:val="en-US"/>
        </w:rPr>
        <w:lastRenderedPageBreak/>
        <w:drawing>
          <wp:inline distT="0" distB="0" distL="0" distR="0" wp14:anchorId="362B4AC5" wp14:editId="492209CD">
            <wp:extent cx="5351228" cy="2944463"/>
            <wp:effectExtent l="0" t="0" r="190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lexSlot2.png"/>
                    <pic:cNvPicPr/>
                  </pic:nvPicPr>
                  <pic:blipFill>
                    <a:blip r:embed="rId21">
                      <a:extLst>
                        <a:ext uri="{28A0092B-C50C-407E-A947-70E740481C1C}">
                          <a14:useLocalDpi xmlns:a14="http://schemas.microsoft.com/office/drawing/2010/main" val="0"/>
                        </a:ext>
                      </a:extLst>
                    </a:blip>
                    <a:stretch>
                      <a:fillRect/>
                    </a:stretch>
                  </pic:blipFill>
                  <pic:spPr>
                    <a:xfrm>
                      <a:off x="0" y="0"/>
                      <a:ext cx="5389328" cy="2965427"/>
                    </a:xfrm>
                    <a:prstGeom prst="rect">
                      <a:avLst/>
                    </a:prstGeom>
                  </pic:spPr>
                </pic:pic>
              </a:graphicData>
            </a:graphic>
          </wp:inline>
        </w:drawing>
      </w:r>
    </w:p>
    <w:p w14:paraId="412F8CC9" w14:textId="6268AE8B" w:rsidR="00E836C0" w:rsidRPr="000D3E61" w:rsidRDefault="00E836C0" w:rsidP="00E836C0">
      <w:pPr>
        <w:jc w:val="center"/>
        <w:rPr>
          <w:i/>
          <w:sz w:val="22"/>
          <w:szCs w:val="22"/>
          <w:lang w:val="en-US"/>
        </w:rPr>
      </w:pPr>
      <w:r w:rsidRPr="00B70EDF">
        <w:rPr>
          <w:b/>
          <w:i/>
          <w:sz w:val="22"/>
          <w:szCs w:val="22"/>
          <w:lang w:val="en-US"/>
        </w:rPr>
        <w:t xml:space="preserve">Figure </w:t>
      </w:r>
      <w:r w:rsidR="007322C7">
        <w:rPr>
          <w:b/>
          <w:i/>
          <w:sz w:val="22"/>
          <w:szCs w:val="22"/>
          <w:lang w:val="en-US"/>
        </w:rPr>
        <w:t>7</w:t>
      </w:r>
      <w:r w:rsidR="00B70EDF">
        <w:rPr>
          <w:b/>
          <w:i/>
          <w:sz w:val="22"/>
          <w:szCs w:val="22"/>
          <w:lang w:val="en-US"/>
        </w:rPr>
        <w:t xml:space="preserve">: </w:t>
      </w:r>
      <w:r w:rsidRPr="000D3E61">
        <w:rPr>
          <w:i/>
          <w:sz w:val="22"/>
          <w:szCs w:val="22"/>
          <w:lang w:val="en-US"/>
        </w:rPr>
        <w:t>Examples for Flexible Sidelink Slot Configurations for bidirectional communication</w:t>
      </w:r>
    </w:p>
    <w:p w14:paraId="7CF7E754" w14:textId="77777777" w:rsidR="00E836C0" w:rsidRPr="009419FC" w:rsidRDefault="00E836C0" w:rsidP="00741BC0">
      <w:pPr>
        <w:jc w:val="both"/>
        <w:rPr>
          <w:b/>
          <w:sz w:val="22"/>
          <w:szCs w:val="22"/>
        </w:rPr>
      </w:pPr>
    </w:p>
    <w:p w14:paraId="4D728EFB" w14:textId="77777777" w:rsidR="00741BC0" w:rsidRDefault="00741BC0" w:rsidP="00741BC0">
      <w:pPr>
        <w:pStyle w:val="Heading1"/>
        <w:rPr>
          <w:lang w:val="en-US"/>
        </w:rPr>
      </w:pPr>
      <w:bookmarkStart w:id="3" w:name="OLE_LINK13"/>
      <w:bookmarkStart w:id="4" w:name="OLE_LINK14"/>
      <w:bookmarkEnd w:id="1"/>
      <w:bookmarkEnd w:id="2"/>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11722F3D" w14:textId="0B6B7FF0" w:rsidR="00232972" w:rsidRDefault="00232972" w:rsidP="00232972">
      <w:pPr>
        <w:pStyle w:val="3GPPNormalText"/>
        <w:rPr>
          <w:b/>
        </w:rPr>
      </w:pPr>
      <w:r w:rsidRPr="00E6311E">
        <w:rPr>
          <w:b/>
        </w:rPr>
        <w:t>O</w:t>
      </w:r>
      <w:r>
        <w:rPr>
          <w:b/>
        </w:rPr>
        <w:t xml:space="preserve">bservation </w:t>
      </w:r>
      <w:r w:rsidR="007322C7">
        <w:rPr>
          <w:b/>
        </w:rPr>
        <w:t>1</w:t>
      </w:r>
      <w:r w:rsidRPr="00E6311E">
        <w:rPr>
          <w:b/>
        </w:rPr>
        <w:t xml:space="preserve">: </w:t>
      </w:r>
      <w:r>
        <w:rPr>
          <w:b/>
        </w:rPr>
        <w:t xml:space="preserve">The configuration of resource pools within a BWP can </w:t>
      </w:r>
      <w:r w:rsidR="006A70B4">
        <w:rPr>
          <w:b/>
        </w:rPr>
        <w:t xml:space="preserve">be </w:t>
      </w:r>
      <w:r>
        <w:rPr>
          <w:b/>
        </w:rPr>
        <w:t>provided via RRC configurations of the BWP, or by the gNB.</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3"/>
    <w:bookmarkEnd w:id="4"/>
    <w:p w14:paraId="43A33718" w14:textId="4F87C92D" w:rsidR="00762220" w:rsidRDefault="00762220" w:rsidP="00762220">
      <w:pPr>
        <w:jc w:val="both"/>
        <w:rPr>
          <w:b/>
          <w:sz w:val="22"/>
          <w:szCs w:val="22"/>
        </w:rPr>
      </w:pPr>
      <w:r w:rsidRPr="008F7F19">
        <w:rPr>
          <w:b/>
          <w:sz w:val="22"/>
          <w:szCs w:val="22"/>
        </w:rPr>
        <w:t>Proposal</w:t>
      </w:r>
      <w:r>
        <w:rPr>
          <w:b/>
          <w:sz w:val="22"/>
          <w:szCs w:val="22"/>
        </w:rPr>
        <w:t xml:space="preserve"> </w:t>
      </w:r>
      <w:r w:rsidR="007322C7">
        <w:rPr>
          <w:b/>
          <w:sz w:val="22"/>
          <w:szCs w:val="22"/>
        </w:rPr>
        <w:t>1</w:t>
      </w:r>
      <w:r w:rsidRPr="008F7F19">
        <w:rPr>
          <w:b/>
          <w:sz w:val="22"/>
          <w:szCs w:val="22"/>
        </w:rPr>
        <w:t>:</w:t>
      </w:r>
      <w:r>
        <w:rPr>
          <w:b/>
          <w:sz w:val="22"/>
          <w:szCs w:val="22"/>
        </w:rPr>
        <w:t xml:space="preserve"> We propose to study the configuration of resource pools based on different defined criteria.</w:t>
      </w:r>
    </w:p>
    <w:p w14:paraId="678579C5" w14:textId="3984DEBB" w:rsidR="00762220" w:rsidRPr="00D13CFB" w:rsidRDefault="00762220" w:rsidP="00762220">
      <w:pPr>
        <w:jc w:val="both"/>
        <w:rPr>
          <w:b/>
          <w:sz w:val="22"/>
          <w:szCs w:val="22"/>
        </w:rPr>
      </w:pPr>
      <w:r w:rsidRPr="008F7F19">
        <w:rPr>
          <w:b/>
          <w:sz w:val="22"/>
          <w:szCs w:val="22"/>
        </w:rPr>
        <w:t>Proposal</w:t>
      </w:r>
      <w:r>
        <w:rPr>
          <w:b/>
          <w:sz w:val="22"/>
          <w:szCs w:val="22"/>
        </w:rPr>
        <w:t xml:space="preserve"> </w:t>
      </w:r>
      <w:r w:rsidR="007322C7">
        <w:rPr>
          <w:b/>
          <w:sz w:val="22"/>
          <w:szCs w:val="22"/>
        </w:rPr>
        <w:t>2</w:t>
      </w:r>
      <w:r w:rsidRPr="008F7F19">
        <w:rPr>
          <w:b/>
          <w:sz w:val="22"/>
          <w:szCs w:val="22"/>
        </w:rPr>
        <w:t>:</w:t>
      </w:r>
      <w:r>
        <w:rPr>
          <w:b/>
          <w:sz w:val="22"/>
          <w:szCs w:val="22"/>
        </w:rPr>
        <w:t xml:space="preserve"> We propose to study the different designs of resource pools defined in a BWP, based on the different segregation criteria such as communication types, traffic types, operation modes, </w:t>
      </w:r>
      <w:proofErr w:type="spellStart"/>
      <w:r>
        <w:rPr>
          <w:b/>
          <w:sz w:val="22"/>
          <w:szCs w:val="22"/>
        </w:rPr>
        <w:t>QoS</w:t>
      </w:r>
      <w:proofErr w:type="spellEnd"/>
      <w:r>
        <w:rPr>
          <w:b/>
          <w:sz w:val="22"/>
          <w:szCs w:val="22"/>
        </w:rPr>
        <w:t xml:space="preserve"> requirements and UE location.</w:t>
      </w:r>
    </w:p>
    <w:p w14:paraId="3DE4F34D" w14:textId="25043632" w:rsidR="007322C7" w:rsidRDefault="007322C7" w:rsidP="007322C7">
      <w:pPr>
        <w:jc w:val="both"/>
        <w:rPr>
          <w:b/>
          <w:sz w:val="22"/>
          <w:szCs w:val="22"/>
          <w:lang w:val="en-US"/>
        </w:rPr>
      </w:pPr>
      <w:r>
        <w:rPr>
          <w:b/>
          <w:sz w:val="22"/>
          <w:szCs w:val="22"/>
          <w:lang w:val="en-US"/>
        </w:rPr>
        <w:t>Proposal 3</w:t>
      </w:r>
      <w:r w:rsidRPr="005454B7">
        <w:rPr>
          <w:b/>
          <w:sz w:val="22"/>
          <w:szCs w:val="22"/>
          <w:lang w:val="en-US"/>
        </w:rPr>
        <w:t xml:space="preserve">: </w:t>
      </w:r>
      <w:r>
        <w:rPr>
          <w:b/>
          <w:sz w:val="22"/>
          <w:szCs w:val="22"/>
          <w:lang w:val="en-US"/>
        </w:rPr>
        <w:t xml:space="preserve">We propose to study further the configuration of a common control channel, which is either </w:t>
      </w:r>
      <w:proofErr w:type="spellStart"/>
      <w:r>
        <w:rPr>
          <w:b/>
          <w:sz w:val="22"/>
          <w:szCs w:val="22"/>
          <w:lang w:val="en-US"/>
        </w:rPr>
        <w:t>FDMed</w:t>
      </w:r>
      <w:proofErr w:type="spellEnd"/>
      <w:r>
        <w:rPr>
          <w:b/>
          <w:sz w:val="22"/>
          <w:szCs w:val="22"/>
          <w:lang w:val="en-US"/>
        </w:rPr>
        <w:t xml:space="preserve"> with the resource pool or </w:t>
      </w:r>
      <w:proofErr w:type="spellStart"/>
      <w:r>
        <w:rPr>
          <w:b/>
          <w:sz w:val="22"/>
          <w:szCs w:val="22"/>
          <w:lang w:val="en-US"/>
        </w:rPr>
        <w:t>TDMed</w:t>
      </w:r>
      <w:proofErr w:type="spellEnd"/>
      <w:r>
        <w:rPr>
          <w:b/>
          <w:sz w:val="22"/>
          <w:szCs w:val="22"/>
          <w:lang w:val="en-US"/>
        </w:rPr>
        <w:t xml:space="preserve"> with the PSCCH in the resource pool.</w:t>
      </w:r>
    </w:p>
    <w:p w14:paraId="5F009154" w14:textId="241C012F" w:rsidR="00762220" w:rsidRDefault="00762220" w:rsidP="00762220">
      <w:pPr>
        <w:jc w:val="both"/>
        <w:rPr>
          <w:b/>
          <w:sz w:val="22"/>
          <w:szCs w:val="22"/>
        </w:rPr>
      </w:pPr>
      <w:r>
        <w:rPr>
          <w:b/>
          <w:sz w:val="22"/>
          <w:szCs w:val="22"/>
        </w:rPr>
        <w:t xml:space="preserve">Proposal </w:t>
      </w:r>
      <w:r w:rsidR="007322C7">
        <w:rPr>
          <w:b/>
          <w:sz w:val="22"/>
          <w:szCs w:val="22"/>
        </w:rPr>
        <w:t>4</w:t>
      </w:r>
      <w:r>
        <w:rPr>
          <w:b/>
          <w:sz w:val="22"/>
          <w:szCs w:val="22"/>
        </w:rPr>
        <w:t>: Study further the impact of collisions in resource allocation between Mode 1 and Mode 2 UEs.</w:t>
      </w:r>
    </w:p>
    <w:p w14:paraId="33D42872" w14:textId="556D9CF6" w:rsidR="00762220" w:rsidRDefault="00762220" w:rsidP="00762220">
      <w:pPr>
        <w:jc w:val="both"/>
        <w:rPr>
          <w:b/>
          <w:sz w:val="22"/>
          <w:szCs w:val="22"/>
        </w:rPr>
      </w:pPr>
      <w:r>
        <w:rPr>
          <w:b/>
          <w:sz w:val="22"/>
          <w:szCs w:val="22"/>
        </w:rPr>
        <w:t xml:space="preserve">Proposal </w:t>
      </w:r>
      <w:r w:rsidR="007322C7">
        <w:rPr>
          <w:b/>
          <w:sz w:val="22"/>
          <w:szCs w:val="22"/>
        </w:rPr>
        <w:t>5</w:t>
      </w:r>
      <w:r>
        <w:rPr>
          <w:b/>
          <w:sz w:val="22"/>
          <w:szCs w:val="22"/>
        </w:rPr>
        <w:t>: We suggest that the in- and out-of-coverage dual control design be the baseline for further study.</w:t>
      </w:r>
    </w:p>
    <w:p w14:paraId="6D206A96" w14:textId="307A40BC" w:rsidR="00762220" w:rsidRPr="000D3E61" w:rsidRDefault="00762220" w:rsidP="00762220">
      <w:pPr>
        <w:jc w:val="both"/>
        <w:rPr>
          <w:b/>
          <w:sz w:val="22"/>
          <w:szCs w:val="22"/>
        </w:rPr>
      </w:pPr>
      <w:r>
        <w:rPr>
          <w:b/>
          <w:sz w:val="22"/>
          <w:szCs w:val="22"/>
        </w:rPr>
        <w:t xml:space="preserve">Proposal </w:t>
      </w:r>
      <w:r w:rsidR="005966B1">
        <w:rPr>
          <w:b/>
          <w:sz w:val="22"/>
          <w:szCs w:val="22"/>
        </w:rPr>
        <w:t>6</w:t>
      </w:r>
      <w:r w:rsidRPr="000D3E61">
        <w:rPr>
          <w:b/>
          <w:sz w:val="22"/>
          <w:szCs w:val="22"/>
        </w:rPr>
        <w:t>: Adopt the NR flexible slot format for NR sidelink physical structure in a dedicated NR sidelink carrier.</w:t>
      </w:r>
    </w:p>
    <w:p w14:paraId="0FA60025" w14:textId="08AEB110" w:rsidR="00762220" w:rsidRPr="000D3E61" w:rsidRDefault="00762220" w:rsidP="00762220">
      <w:pPr>
        <w:rPr>
          <w:b/>
          <w:sz w:val="22"/>
          <w:szCs w:val="22"/>
        </w:rPr>
      </w:pPr>
      <w:r w:rsidRPr="000D3E61">
        <w:rPr>
          <w:b/>
          <w:sz w:val="22"/>
          <w:szCs w:val="22"/>
        </w:rPr>
        <w:t xml:space="preserve">Proposal </w:t>
      </w:r>
      <w:r w:rsidR="005966B1">
        <w:rPr>
          <w:b/>
          <w:sz w:val="22"/>
          <w:szCs w:val="22"/>
        </w:rPr>
        <w:t>7</w:t>
      </w:r>
      <w:r w:rsidRPr="000D3E61">
        <w:rPr>
          <w:b/>
          <w:sz w:val="22"/>
          <w:szCs w:val="22"/>
        </w:rPr>
        <w:t>: Study dedicated slot format indication for OFDM symbols/slots in a dedicated sidelink carrier and related flexible slot formats.</w:t>
      </w:r>
    </w:p>
    <w:p w14:paraId="3C4E9E0F" w14:textId="78B80FC0" w:rsidR="00762220" w:rsidRDefault="00762220" w:rsidP="00762220">
      <w:pPr>
        <w:jc w:val="both"/>
        <w:rPr>
          <w:b/>
          <w:sz w:val="22"/>
          <w:szCs w:val="22"/>
        </w:rPr>
      </w:pPr>
      <w:r>
        <w:rPr>
          <w:b/>
          <w:sz w:val="22"/>
          <w:szCs w:val="22"/>
        </w:rPr>
        <w:t xml:space="preserve">Proposal </w:t>
      </w:r>
      <w:r w:rsidR="005966B1">
        <w:rPr>
          <w:b/>
          <w:sz w:val="22"/>
          <w:szCs w:val="22"/>
        </w:rPr>
        <w:t>8</w:t>
      </w:r>
      <w:r w:rsidRPr="00A370DD">
        <w:rPr>
          <w:b/>
          <w:sz w:val="22"/>
          <w:szCs w:val="22"/>
        </w:rPr>
        <w:t>: Study the mechanism in which sidelink feedback information can be conveyed using the NR flexible slot format for the NR sidelink physical structure.</w:t>
      </w:r>
    </w:p>
    <w:p w14:paraId="0758071C" w14:textId="77777777" w:rsidR="00741BC0" w:rsidRPr="007564C3" w:rsidRDefault="00741BC0" w:rsidP="00741BC0">
      <w:pPr>
        <w:pStyle w:val="Heading1"/>
        <w:rPr>
          <w:rFonts w:cs="Arial"/>
        </w:rPr>
      </w:pPr>
      <w:r w:rsidRPr="00707A9A">
        <w:rPr>
          <w:lang w:val="en-US"/>
        </w:rPr>
        <w:lastRenderedPageBreak/>
        <w:t>References</w:t>
      </w:r>
    </w:p>
    <w:p w14:paraId="571573DE" w14:textId="77777777" w:rsidR="00741BC0" w:rsidRPr="00B93C09" w:rsidRDefault="00741BC0" w:rsidP="00741BC0">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p>
    <w:p w14:paraId="5914E1E4" w14:textId="44BCB8FA" w:rsidR="005966B1" w:rsidRDefault="005966B1" w:rsidP="005966B1">
      <w:pPr>
        <w:widowControl w:val="0"/>
        <w:numPr>
          <w:ilvl w:val="0"/>
          <w:numId w:val="2"/>
        </w:numPr>
        <w:overflowPunct/>
        <w:autoSpaceDE/>
        <w:adjustRightInd/>
        <w:spacing w:after="120"/>
        <w:jc w:val="both"/>
        <w:textAlignment w:val="auto"/>
        <w:rPr>
          <w:iCs/>
          <w:lang w:val="en-US"/>
        </w:rPr>
      </w:pPr>
      <w:r w:rsidRPr="00326891">
        <w:rPr>
          <w:iCs/>
          <w:lang w:val="en-US"/>
        </w:rPr>
        <w:t>Draf</w:t>
      </w:r>
      <w:r>
        <w:rPr>
          <w:iCs/>
          <w:lang w:val="en-US"/>
        </w:rPr>
        <w:t>t Report of 3GPP TSG RAN WG1 #AH_1901</w:t>
      </w:r>
      <w:r w:rsidRPr="00326891">
        <w:rPr>
          <w:iCs/>
          <w:lang w:val="en-US"/>
        </w:rPr>
        <w:t xml:space="preserve"> v0.1.0</w:t>
      </w:r>
      <w:r>
        <w:rPr>
          <w:iCs/>
          <w:lang w:val="en-US"/>
        </w:rPr>
        <w:t xml:space="preserve">, MCC Support, 3GPP RAN1#96, </w:t>
      </w:r>
      <w:r w:rsidR="001406C7">
        <w:rPr>
          <w:iCs/>
          <w:lang w:val="en-US"/>
        </w:rPr>
        <w:t>February-</w:t>
      </w:r>
      <w:r>
        <w:rPr>
          <w:iCs/>
          <w:lang w:val="en-US"/>
        </w:rPr>
        <w:t>March 2019.</w:t>
      </w:r>
    </w:p>
    <w:p w14:paraId="5B27F047" w14:textId="1EF2B283" w:rsidR="005966B1" w:rsidRPr="0040380E" w:rsidRDefault="003F5BD0" w:rsidP="003F5BD0">
      <w:pPr>
        <w:widowControl w:val="0"/>
        <w:numPr>
          <w:ilvl w:val="0"/>
          <w:numId w:val="2"/>
        </w:numPr>
        <w:overflowPunct/>
        <w:autoSpaceDE/>
        <w:adjustRightInd/>
        <w:spacing w:after="120"/>
        <w:jc w:val="both"/>
        <w:textAlignment w:val="auto"/>
        <w:rPr>
          <w:rFonts w:eastAsia="Batang"/>
          <w:lang w:val="en-US" w:eastAsia="de-DE"/>
        </w:rPr>
      </w:pPr>
      <w:r w:rsidRPr="003F5BD0">
        <w:rPr>
          <w:iCs/>
          <w:lang w:val="en-US"/>
        </w:rPr>
        <w:t>R1-1901843</w:t>
      </w:r>
      <w:r w:rsidR="005966B1" w:rsidRPr="00DE703C">
        <w:rPr>
          <w:iCs/>
          <w:lang w:val="en-US"/>
        </w:rPr>
        <w:t>, “</w:t>
      </w:r>
      <w:r w:rsidR="005966B1" w:rsidRPr="005142BB">
        <w:rPr>
          <w:iCs/>
          <w:lang w:val="en-US"/>
        </w:rPr>
        <w:t>Physical Layer Procedures for Unicast and Groupcast</w:t>
      </w:r>
      <w:r w:rsidR="005966B1" w:rsidRPr="00DE703C">
        <w:rPr>
          <w:iCs/>
          <w:lang w:val="en-US"/>
        </w:rPr>
        <w:t xml:space="preserve">”, Fraunhofer HHI, Fraunhofer IIS, 3GPP </w:t>
      </w:r>
      <w:r w:rsidR="005966B1">
        <w:rPr>
          <w:iCs/>
          <w:lang w:val="en-US"/>
        </w:rPr>
        <w:t xml:space="preserve">RAN1#96, </w:t>
      </w:r>
      <w:r w:rsidR="001406C7">
        <w:rPr>
          <w:iCs/>
          <w:lang w:val="en-US"/>
        </w:rPr>
        <w:t>February-</w:t>
      </w:r>
      <w:r w:rsidR="005966B1">
        <w:rPr>
          <w:iCs/>
          <w:lang w:val="en-US"/>
        </w:rPr>
        <w:t>March 2019.</w:t>
      </w:r>
    </w:p>
    <w:p w14:paraId="0542A43E" w14:textId="04C8A90C" w:rsidR="005966B1" w:rsidRDefault="005966B1" w:rsidP="005966B1">
      <w:pPr>
        <w:widowControl w:val="0"/>
        <w:numPr>
          <w:ilvl w:val="0"/>
          <w:numId w:val="2"/>
        </w:numPr>
        <w:overflowPunct/>
        <w:autoSpaceDE/>
        <w:adjustRightInd/>
        <w:spacing w:after="120"/>
        <w:jc w:val="both"/>
        <w:textAlignment w:val="auto"/>
        <w:rPr>
          <w:iCs/>
          <w:lang w:val="en-US"/>
        </w:rPr>
      </w:pPr>
      <w:r w:rsidRPr="00495FD4">
        <w:rPr>
          <w:iCs/>
          <w:lang w:val="en-US"/>
        </w:rPr>
        <w:t>R1-19</w:t>
      </w:r>
      <w:r w:rsidR="00D83C1C" w:rsidRPr="00E47BD9">
        <w:rPr>
          <w:iCs/>
          <w:lang w:val="en-US"/>
        </w:rPr>
        <w:t>02104</w:t>
      </w:r>
      <w:r w:rsidRPr="00DE703C">
        <w:rPr>
          <w:iCs/>
          <w:lang w:val="en-US"/>
        </w:rPr>
        <w:t>, “</w:t>
      </w:r>
      <w:proofErr w:type="spellStart"/>
      <w:r w:rsidRPr="006A691E">
        <w:rPr>
          <w:iCs/>
          <w:lang w:val="en-US"/>
        </w:rPr>
        <w:t>QoS</w:t>
      </w:r>
      <w:proofErr w:type="spellEnd"/>
      <w:r w:rsidRPr="006A691E">
        <w:rPr>
          <w:iCs/>
          <w:lang w:val="en-US"/>
        </w:rPr>
        <w:t xml:space="preserve"> Management for NR V2X</w:t>
      </w:r>
      <w:r w:rsidRPr="00DE703C">
        <w:rPr>
          <w:iCs/>
          <w:lang w:val="en-US"/>
        </w:rPr>
        <w:t xml:space="preserve">”, Fraunhofer HHI, Fraunhofer IIS, 3GPP </w:t>
      </w:r>
      <w:r>
        <w:rPr>
          <w:iCs/>
          <w:lang w:val="en-US"/>
        </w:rPr>
        <w:t xml:space="preserve">RAN1#96, </w:t>
      </w:r>
      <w:r w:rsidR="001406C7">
        <w:rPr>
          <w:iCs/>
          <w:lang w:val="en-US"/>
        </w:rPr>
        <w:t>February-</w:t>
      </w:r>
      <w:r>
        <w:rPr>
          <w:iCs/>
          <w:lang w:val="en-US"/>
        </w:rPr>
        <w:t>March 2019.</w:t>
      </w:r>
    </w:p>
    <w:p w14:paraId="4A8EF9A8" w14:textId="17782243" w:rsidR="005966B1" w:rsidRPr="005142BB" w:rsidRDefault="003F5BD0" w:rsidP="003F5BD0">
      <w:pPr>
        <w:widowControl w:val="0"/>
        <w:numPr>
          <w:ilvl w:val="0"/>
          <w:numId w:val="2"/>
        </w:numPr>
        <w:overflowPunct/>
        <w:autoSpaceDE/>
        <w:adjustRightInd/>
        <w:spacing w:after="120"/>
        <w:jc w:val="both"/>
        <w:textAlignment w:val="auto"/>
        <w:rPr>
          <w:rFonts w:eastAsia="Batang"/>
          <w:lang w:val="en-US" w:eastAsia="de-DE"/>
        </w:rPr>
      </w:pPr>
      <w:r w:rsidRPr="003F5BD0">
        <w:rPr>
          <w:iCs/>
          <w:lang w:val="en-US"/>
        </w:rPr>
        <w:t>R1-1901844</w:t>
      </w:r>
      <w:r w:rsidR="005966B1" w:rsidRPr="003F5BD0">
        <w:rPr>
          <w:iCs/>
          <w:lang w:val="en-US"/>
        </w:rPr>
        <w:t>,</w:t>
      </w:r>
      <w:r w:rsidR="005966B1" w:rsidRPr="00DE703C">
        <w:rPr>
          <w:iCs/>
          <w:lang w:val="en-US"/>
        </w:rPr>
        <w:t xml:space="preserve"> “</w:t>
      </w:r>
      <w:r w:rsidR="005966B1" w:rsidRPr="008C5BCC">
        <w:rPr>
          <w:iCs/>
          <w:lang w:val="en-US"/>
        </w:rPr>
        <w:t>Evaluation of NR V2X Mode 2 Resource Allocation</w:t>
      </w:r>
      <w:r w:rsidR="005966B1" w:rsidRPr="00DE703C">
        <w:rPr>
          <w:iCs/>
          <w:lang w:val="en-US"/>
        </w:rPr>
        <w:t xml:space="preserve">”, Fraunhofer HHI, Fraunhofer IIS, 3GPP </w:t>
      </w:r>
      <w:r w:rsidR="005966B1">
        <w:rPr>
          <w:iCs/>
          <w:lang w:val="en-US"/>
        </w:rPr>
        <w:t xml:space="preserve">RAN1#96, </w:t>
      </w:r>
      <w:r w:rsidR="001406C7">
        <w:rPr>
          <w:iCs/>
          <w:lang w:val="en-US"/>
        </w:rPr>
        <w:t>February-</w:t>
      </w:r>
      <w:r w:rsidR="005966B1">
        <w:rPr>
          <w:iCs/>
          <w:lang w:val="en-US"/>
        </w:rPr>
        <w:t>March 2019.</w:t>
      </w:r>
    </w:p>
    <w:p w14:paraId="3E23BB14" w14:textId="37B2A76D" w:rsidR="006A691E" w:rsidRPr="006A691E" w:rsidRDefault="003F5BD0">
      <w:pPr>
        <w:widowControl w:val="0"/>
        <w:numPr>
          <w:ilvl w:val="0"/>
          <w:numId w:val="2"/>
        </w:numPr>
        <w:overflowPunct/>
        <w:autoSpaceDE/>
        <w:adjustRightInd/>
        <w:spacing w:after="120"/>
        <w:jc w:val="both"/>
        <w:textAlignment w:val="auto"/>
        <w:rPr>
          <w:iCs/>
          <w:lang w:val="en-US"/>
        </w:rPr>
      </w:pPr>
      <w:r w:rsidRPr="003F5BD0">
        <w:rPr>
          <w:iCs/>
          <w:lang w:val="en-US"/>
        </w:rPr>
        <w:t>R1-1901845</w:t>
      </w:r>
      <w:r w:rsidR="005966B1" w:rsidRPr="003F5BD0">
        <w:rPr>
          <w:iCs/>
          <w:lang w:val="en-US"/>
        </w:rPr>
        <w:t>,</w:t>
      </w:r>
      <w:r w:rsidR="005966B1" w:rsidRPr="005966B1">
        <w:rPr>
          <w:iCs/>
          <w:lang w:val="en-US"/>
        </w:rPr>
        <w:t xml:space="preserve"> “NR V2X </w:t>
      </w:r>
      <w:proofErr w:type="spellStart"/>
      <w:r w:rsidR="005966B1" w:rsidRPr="005966B1">
        <w:rPr>
          <w:iCs/>
          <w:lang w:val="en-US"/>
        </w:rPr>
        <w:t>Uu</w:t>
      </w:r>
      <w:proofErr w:type="spellEnd"/>
      <w:r w:rsidR="005966B1" w:rsidRPr="005966B1">
        <w:rPr>
          <w:iCs/>
          <w:lang w:val="en-US"/>
        </w:rPr>
        <w:t xml:space="preserve">-based Resource Allocation”, Fraunhofer HHI, Fraunhofer IIS, 3GPP RAN1#96, </w:t>
      </w:r>
      <w:r w:rsidR="001406C7">
        <w:rPr>
          <w:iCs/>
          <w:lang w:val="en-US"/>
        </w:rPr>
        <w:t>February-</w:t>
      </w:r>
      <w:bookmarkStart w:id="5" w:name="_GoBack"/>
      <w:bookmarkEnd w:id="5"/>
      <w:r w:rsidR="005966B1" w:rsidRPr="005966B1">
        <w:rPr>
          <w:iCs/>
          <w:lang w:val="en-US"/>
        </w:rPr>
        <w:t>March 2019.</w:t>
      </w:r>
      <w:bookmarkEnd w:id="0"/>
    </w:p>
    <w:sectPr w:rsidR="006A691E" w:rsidRPr="006A691E"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F7A0E4" w16cid:durableId="1FDF0ACC"/>
  <w16cid:commentId w16cid:paraId="4BB6AFCF" w16cid:durableId="1FDEF668"/>
  <w16cid:commentId w16cid:paraId="70481A2C" w16cid:durableId="1FDEF937"/>
  <w16cid:commentId w16cid:paraId="42A687F8" w16cid:durableId="1FDF0ACF"/>
  <w16cid:commentId w16cid:paraId="3A8367C6" w16cid:durableId="1FDEF669"/>
  <w16cid:commentId w16cid:paraId="0835D29A" w16cid:durableId="1FDEF79B"/>
  <w16cid:commentId w16cid:paraId="5E30ED05" w16cid:durableId="1FDEF66A"/>
  <w16cid:commentId w16cid:paraId="4826D6D0" w16cid:durableId="1FDF0AD3"/>
  <w16cid:commentId w16cid:paraId="4DF1A32B" w16cid:durableId="1FDF0D9F"/>
  <w16cid:commentId w16cid:paraId="1601CDB5" w16cid:durableId="1FDEF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4B4EF" w14:textId="77777777" w:rsidR="009B1A49" w:rsidRDefault="009B1A49">
      <w:r>
        <w:separator/>
      </w:r>
    </w:p>
  </w:endnote>
  <w:endnote w:type="continuationSeparator" w:id="0">
    <w:p w14:paraId="0023F89A" w14:textId="77777777" w:rsidR="009B1A49" w:rsidRDefault="009B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68022654"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406C7">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406C7">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8E271" w14:textId="77777777" w:rsidR="009B1A49" w:rsidRDefault="009B1A49">
      <w:r>
        <w:separator/>
      </w:r>
    </w:p>
  </w:footnote>
  <w:footnote w:type="continuationSeparator" w:id="0">
    <w:p w14:paraId="1B72F863" w14:textId="77777777" w:rsidR="009B1A49" w:rsidRDefault="009B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7D4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7"/>
  </w:num>
  <w:num w:numId="9">
    <w:abstractNumId w:val="11"/>
  </w:num>
  <w:num w:numId="10">
    <w:abstractNumId w:val="9"/>
  </w:num>
  <w:num w:numId="11">
    <w:abstractNumId w:val="26"/>
  </w:num>
  <w:num w:numId="12">
    <w:abstractNumId w:val="29"/>
  </w:num>
  <w:num w:numId="1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21"/>
  </w:num>
  <w:num w:numId="17">
    <w:abstractNumId w:val="20"/>
  </w:num>
  <w:num w:numId="18">
    <w:abstractNumId w:val="12"/>
  </w:num>
  <w:num w:numId="19">
    <w:abstractNumId w:val="33"/>
  </w:num>
  <w:num w:numId="20">
    <w:abstractNumId w:val="7"/>
  </w:num>
  <w:num w:numId="21">
    <w:abstractNumId w:val="24"/>
  </w:num>
  <w:num w:numId="22">
    <w:abstractNumId w:val="6"/>
  </w:num>
  <w:num w:numId="23">
    <w:abstractNumId w:val="19"/>
  </w:num>
  <w:num w:numId="24">
    <w:abstractNumId w:val="22"/>
  </w:num>
  <w:num w:numId="25">
    <w:abstractNumId w:val="4"/>
  </w:num>
  <w:num w:numId="26">
    <w:abstractNumId w:val="10"/>
  </w:num>
  <w:num w:numId="27">
    <w:abstractNumId w:val="25"/>
  </w:num>
  <w:num w:numId="28">
    <w:abstractNumId w:val="15"/>
  </w:num>
  <w:num w:numId="29">
    <w:abstractNumId w:val="32"/>
  </w:num>
  <w:num w:numId="30">
    <w:abstractNumId w:val="34"/>
  </w:num>
  <w:num w:numId="31">
    <w:abstractNumId w:val="16"/>
  </w:num>
  <w:num w:numId="32">
    <w:abstractNumId w:val="5"/>
  </w:num>
  <w:num w:numId="33">
    <w:abstractNumId w:val="8"/>
  </w:num>
  <w:num w:numId="34">
    <w:abstractNumId w:val="2"/>
  </w:num>
  <w:num w:numId="35">
    <w:abstractNumId w:val="18"/>
  </w:num>
  <w:num w:numId="36">
    <w:abstractNumId w:val="30"/>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0EEA5F35-05FC-439B-9422-7BAED7490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350AD3-3ED2-4314-AFEF-1F4C6155617C}">
  <ds:schemaRefs>
    <ds:schemaRef ds:uri="http://schemas.openxmlformats.org/officeDocument/2006/bibliography"/>
  </ds:schemaRefs>
</ds:datastoreItem>
</file>

<file path=customXml/itemProps6.xml><?xml version="1.0" encoding="utf-8"?>
<ds:datastoreItem xmlns:ds="http://schemas.openxmlformats.org/officeDocument/2006/customXml" ds:itemID="{292B9C1E-65F6-41A2-8141-FEEE25BA2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2520</Words>
  <Characters>14365</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16852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2019-02-14T13:32:00Z</dcterms:created>
  <dcterms:modified xsi:type="dcterms:W3CDTF">2019-02-15T10:23:00Z</dcterms:modified>
</cp:coreProperties>
</file>