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DD1F42A" w:rsidR="00584ABE" w:rsidRPr="00C536F2" w:rsidRDefault="00197BC4" w:rsidP="005923F4">
      <w:pPr>
        <w:pStyle w:val="3GPPHeader"/>
        <w:spacing w:after="60"/>
        <w:rPr>
          <w:rFonts w:ascii="Arial" w:hAnsi="Arial" w:cs="Arial"/>
        </w:rPr>
      </w:pPr>
      <w:bookmarkStart w:id="0" w:name="_Ref462817227"/>
      <w:bookmarkStart w:id="1" w:name="_GoBack"/>
      <w:bookmarkEnd w:id="1"/>
      <w:r>
        <w:t>3GPP TSG-RAN WG1 Meeting #95</w:t>
      </w:r>
      <w:r w:rsidR="00B548DA" w:rsidRPr="00C536F2">
        <w:rPr>
          <w:rFonts w:ascii="Arial" w:hAnsi="Arial" w:cs="Arial"/>
        </w:rPr>
        <w:tab/>
      </w:r>
      <w:r w:rsidR="00783800">
        <w:rPr>
          <w:rFonts w:ascii="Arial" w:hAnsi="Arial" w:cs="Arial"/>
        </w:rPr>
        <w:t>R1</w:t>
      </w:r>
      <w:r w:rsidR="008E1D88">
        <w:rPr>
          <w:rFonts w:ascii="Arial" w:hAnsi="Arial" w:cs="Arial"/>
        </w:rPr>
        <w:t>-</w:t>
      </w:r>
      <w:r w:rsidR="00F40C33">
        <w:rPr>
          <w:rFonts w:ascii="Arial" w:hAnsi="Arial" w:cs="Arial"/>
        </w:rPr>
        <w:t>18</w:t>
      </w:r>
      <w:r>
        <w:rPr>
          <w:rFonts w:ascii="Arial" w:hAnsi="Arial" w:cs="Arial"/>
        </w:rPr>
        <w:t>1</w:t>
      </w:r>
      <w:r w:rsidR="00A35130">
        <w:rPr>
          <w:rFonts w:ascii="Arial" w:hAnsi="Arial" w:cs="Arial"/>
        </w:rPr>
        <w:t>3099</w:t>
      </w:r>
      <w:r w:rsidR="005A147F" w:rsidDel="005A147F">
        <w:rPr>
          <w:rFonts w:ascii="Arial" w:hAnsi="Arial" w:cs="Arial"/>
        </w:rPr>
        <w:t xml:space="preserve"> </w:t>
      </w:r>
    </w:p>
    <w:p w14:paraId="7A9879CD" w14:textId="2201D67A" w:rsidR="00584ABE" w:rsidRPr="007A3FE1" w:rsidRDefault="00197BC4" w:rsidP="005923F4">
      <w:pPr>
        <w:pStyle w:val="3GPPHeader"/>
        <w:spacing w:after="60"/>
        <w:rPr>
          <w:rFonts w:ascii="Arial" w:hAnsi="Arial" w:cs="Arial"/>
          <w:b w:val="0"/>
          <w:noProof/>
        </w:rPr>
      </w:pPr>
      <w:r>
        <w:t>Spokane, USA</w:t>
      </w:r>
      <w:r w:rsidR="00F66DDF">
        <w:t xml:space="preserve">, </w:t>
      </w:r>
      <w:r>
        <w:t>Nov 12</w:t>
      </w:r>
      <w:r w:rsidR="00BA52AA" w:rsidRPr="00BA52AA">
        <w:rPr>
          <w:vertAlign w:val="superscript"/>
        </w:rPr>
        <w:t>th</w:t>
      </w:r>
      <w:r>
        <w:t xml:space="preserve"> – 16</w:t>
      </w:r>
      <w:r w:rsidR="00BA52AA" w:rsidRPr="00BA52AA">
        <w:rPr>
          <w:vertAlign w:val="superscript"/>
        </w:rPr>
        <w:t>th</w:t>
      </w:r>
      <w:r w:rsidR="00BA52AA">
        <w:t>, 2018</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3F6BB532"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F66DDF">
        <w:rPr>
          <w:rFonts w:ascii="Arial" w:hAnsi="Arial" w:cs="Arial"/>
          <w:sz w:val="22"/>
        </w:rPr>
        <w:t>2.2.2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4027BC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A52AA">
        <w:rPr>
          <w:rFonts w:ascii="Arial" w:hAnsi="Arial" w:cs="Arial"/>
          <w:sz w:val="22"/>
        </w:rPr>
        <w:t>Wideband operation in NR unlicensed</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3A1265A4" w14:textId="1589CDA9" w:rsidR="00327044" w:rsidRDefault="00EA3284"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w:t>
      </w:r>
      <w:r w:rsidR="00197BC4">
        <w:rPr>
          <w:rFonts w:ascii="Times New Roman" w:hAnsi="Times New Roman" w:cs="Times New Roman"/>
          <w:b w:val="0"/>
          <w:bCs w:val="0"/>
          <w:sz w:val="20"/>
          <w:szCs w:val="20"/>
          <w:lang w:eastAsia="en-US"/>
        </w:rPr>
        <w:t xml:space="preserve"> RAN1#94bis</w:t>
      </w:r>
      <w:r w:rsidR="00327044">
        <w:rPr>
          <w:rFonts w:ascii="Times New Roman" w:hAnsi="Times New Roman" w:cs="Times New Roman"/>
          <w:b w:val="0"/>
          <w:bCs w:val="0"/>
          <w:sz w:val="20"/>
          <w:szCs w:val="20"/>
          <w:lang w:eastAsia="en-US"/>
        </w:rPr>
        <w:t>, the following agreements have been made related to wideband operation for NR-U</w:t>
      </w:r>
      <w:r w:rsidR="001F718F">
        <w:rPr>
          <w:rFonts w:ascii="Times New Roman" w:hAnsi="Times New Roman" w:cs="Times New Roman"/>
          <w:b w:val="0"/>
          <w:bCs w:val="0"/>
          <w:sz w:val="20"/>
          <w:szCs w:val="20"/>
          <w:lang w:eastAsia="en-US"/>
        </w:rPr>
        <w:t>.</w:t>
      </w:r>
    </w:p>
    <w:p w14:paraId="421CCF55" w14:textId="77777777" w:rsidR="00327044" w:rsidRPr="00327044" w:rsidRDefault="00327044" w:rsidP="00327044">
      <w:pPr>
        <w:spacing w:after="0" w:line="240" w:lineRule="auto"/>
        <w:ind w:left="720" w:hanging="720"/>
        <w:rPr>
          <w:rFonts w:ascii="Times" w:eastAsia="Batang" w:hAnsi="Times" w:cs="Times New Roman"/>
          <w:sz w:val="20"/>
          <w:szCs w:val="24"/>
          <w:lang w:eastAsia="en-US"/>
        </w:rPr>
      </w:pPr>
      <w:r w:rsidRPr="00327044">
        <w:rPr>
          <w:rFonts w:ascii="Times" w:eastAsia="Batang" w:hAnsi="Times" w:cs="Times New Roman"/>
          <w:sz w:val="20"/>
          <w:szCs w:val="24"/>
          <w:highlight w:val="green"/>
          <w:lang w:eastAsia="en-US"/>
        </w:rPr>
        <w:t>Agreement:</w:t>
      </w:r>
    </w:p>
    <w:p w14:paraId="22AB3CB8" w14:textId="77777777" w:rsidR="00197BC4" w:rsidRPr="00197BC4" w:rsidRDefault="00197BC4" w:rsidP="00197BC4">
      <w:pPr>
        <w:numPr>
          <w:ilvl w:val="0"/>
          <w:numId w:val="46"/>
        </w:numPr>
        <w:spacing w:after="0" w:line="240" w:lineRule="auto"/>
        <w:rPr>
          <w:rFonts w:ascii="Times" w:eastAsia="Batang" w:hAnsi="Times" w:cs="Times New Roman"/>
          <w:sz w:val="20"/>
          <w:szCs w:val="24"/>
          <w:lang w:eastAsia="x-none"/>
        </w:rPr>
      </w:pPr>
      <w:r w:rsidRPr="00197BC4">
        <w:rPr>
          <w:rFonts w:ascii="Times" w:eastAsia="Batang" w:hAnsi="Times" w:cs="Times New Roman"/>
          <w:sz w:val="20"/>
          <w:szCs w:val="24"/>
          <w:lang w:eastAsia="x-none"/>
        </w:rPr>
        <w:t>NR-U should support that a serving cell can be configured with bandwidth larger than 20 MHz.</w:t>
      </w:r>
    </w:p>
    <w:p w14:paraId="1E4512FF" w14:textId="77777777" w:rsidR="00197BC4" w:rsidRPr="00197BC4" w:rsidRDefault="00197BC4" w:rsidP="00197BC4">
      <w:pPr>
        <w:numPr>
          <w:ilvl w:val="1"/>
          <w:numId w:val="46"/>
        </w:numPr>
        <w:spacing w:after="0" w:line="240" w:lineRule="auto"/>
        <w:rPr>
          <w:rFonts w:ascii="Times" w:eastAsia="Batang" w:hAnsi="Times" w:cs="Times New Roman"/>
          <w:sz w:val="20"/>
          <w:szCs w:val="24"/>
          <w:lang w:eastAsia="x-none"/>
        </w:rPr>
      </w:pPr>
      <w:r w:rsidRPr="00197BC4">
        <w:rPr>
          <w:rFonts w:ascii="Times" w:eastAsia="Batang" w:hAnsi="Times" w:cs="Times New Roman"/>
          <w:sz w:val="20"/>
          <w:szCs w:val="24"/>
          <w:lang w:eastAsia="x-none"/>
        </w:rPr>
        <w:t>For DL operation, the following options for BWP-based operation within a carrier with bandwidth larger than 20 MHz can be considered.</w:t>
      </w:r>
    </w:p>
    <w:p w14:paraId="5AF6844C" w14:textId="77777777" w:rsidR="00197BC4" w:rsidRPr="00197BC4" w:rsidRDefault="00197BC4" w:rsidP="00197BC4">
      <w:pPr>
        <w:numPr>
          <w:ilvl w:val="2"/>
          <w:numId w:val="46"/>
        </w:numPr>
        <w:spacing w:after="0" w:line="240" w:lineRule="auto"/>
        <w:rPr>
          <w:rFonts w:ascii="Times" w:eastAsia="Batang" w:hAnsi="Times" w:cs="Times New Roman"/>
          <w:sz w:val="20"/>
          <w:szCs w:val="24"/>
          <w:lang w:eastAsia="x-none"/>
        </w:rPr>
      </w:pPr>
      <w:r w:rsidRPr="00197BC4">
        <w:rPr>
          <w:rFonts w:ascii="Times" w:eastAsia="Batang" w:hAnsi="Times" w:cs="Times New Roman"/>
          <w:sz w:val="20"/>
          <w:szCs w:val="24"/>
          <w:lang w:eastAsia="x-none"/>
        </w:rPr>
        <w:t>Option 1a: Multiple BWPs configured, multiple BWPs activated, transmission of PDSCH on one or more BWPs</w:t>
      </w:r>
    </w:p>
    <w:p w14:paraId="3E3E3246" w14:textId="77777777" w:rsidR="00197BC4" w:rsidRPr="00197BC4" w:rsidRDefault="00197BC4" w:rsidP="00197BC4">
      <w:pPr>
        <w:numPr>
          <w:ilvl w:val="2"/>
          <w:numId w:val="46"/>
        </w:numPr>
        <w:spacing w:after="0" w:line="240" w:lineRule="auto"/>
        <w:rPr>
          <w:rFonts w:ascii="Times" w:eastAsia="Batang" w:hAnsi="Times" w:cs="Times New Roman"/>
          <w:sz w:val="20"/>
          <w:szCs w:val="24"/>
          <w:lang w:eastAsia="x-none"/>
        </w:rPr>
      </w:pPr>
      <w:r w:rsidRPr="00197BC4">
        <w:rPr>
          <w:rFonts w:ascii="Times" w:eastAsia="Batang" w:hAnsi="Times" w:cs="Times New Roman"/>
          <w:sz w:val="20"/>
          <w:szCs w:val="24"/>
          <w:lang w:eastAsia="x-none"/>
        </w:rPr>
        <w:t>Option 1b: Multiple BWPs configured, multiple BWPs activated, transmission of PDSCH on single BWP</w:t>
      </w:r>
    </w:p>
    <w:p w14:paraId="731B7906" w14:textId="77777777" w:rsidR="00197BC4" w:rsidRPr="00197BC4" w:rsidRDefault="00197BC4" w:rsidP="00197BC4">
      <w:pPr>
        <w:numPr>
          <w:ilvl w:val="2"/>
          <w:numId w:val="46"/>
        </w:numPr>
        <w:spacing w:after="0" w:line="240" w:lineRule="auto"/>
        <w:rPr>
          <w:rFonts w:ascii="Times" w:eastAsia="Batang" w:hAnsi="Times" w:cs="Times New Roman"/>
          <w:sz w:val="20"/>
          <w:szCs w:val="24"/>
          <w:lang w:eastAsia="x-none"/>
        </w:rPr>
      </w:pPr>
      <w:r w:rsidRPr="00197BC4">
        <w:rPr>
          <w:rFonts w:ascii="Times" w:eastAsia="Batang" w:hAnsi="Times" w:cs="Times New Roman"/>
          <w:sz w:val="20"/>
          <w:szCs w:val="24"/>
          <w:lang w:eastAsia="x-none"/>
        </w:rPr>
        <w:t>Option 2: Multiple BWPs can be configured, single BWP activated, gNB transmits PDSCH on a single BWP if CCA is successful at gNB for the whole BWP</w:t>
      </w:r>
    </w:p>
    <w:p w14:paraId="7FFED3F6" w14:textId="77777777" w:rsidR="00197BC4" w:rsidRPr="00197BC4" w:rsidRDefault="00197BC4" w:rsidP="00197BC4">
      <w:pPr>
        <w:numPr>
          <w:ilvl w:val="2"/>
          <w:numId w:val="46"/>
        </w:numPr>
        <w:spacing w:after="0" w:line="240" w:lineRule="auto"/>
        <w:rPr>
          <w:rFonts w:ascii="Times" w:eastAsia="Batang" w:hAnsi="Times" w:cs="Times New Roman"/>
          <w:sz w:val="20"/>
          <w:szCs w:val="24"/>
          <w:lang w:eastAsia="x-none"/>
        </w:rPr>
      </w:pPr>
      <w:r w:rsidRPr="00197BC4">
        <w:rPr>
          <w:rFonts w:ascii="Times" w:eastAsia="Batang" w:hAnsi="Times" w:cs="Times New Roman"/>
          <w:sz w:val="20"/>
          <w:szCs w:val="24"/>
          <w:lang w:eastAsia="x-none"/>
        </w:rPr>
        <w:t>Option 3: Multiple BWPs can be configured, single BWP activated, gNB transmits PDSCH on parts or whole of single BWP where CCA is successful at gNB</w:t>
      </w:r>
    </w:p>
    <w:p w14:paraId="6E167D13" w14:textId="77777777" w:rsidR="00197BC4" w:rsidRPr="00197BC4" w:rsidRDefault="00197BC4" w:rsidP="00197BC4">
      <w:pPr>
        <w:numPr>
          <w:ilvl w:val="1"/>
          <w:numId w:val="46"/>
        </w:numPr>
        <w:spacing w:after="0" w:line="240" w:lineRule="auto"/>
        <w:rPr>
          <w:rFonts w:ascii="Times" w:eastAsia="Batang" w:hAnsi="Times" w:cs="Times New Roman"/>
          <w:sz w:val="20"/>
          <w:szCs w:val="24"/>
          <w:lang w:eastAsia="x-none"/>
        </w:rPr>
      </w:pPr>
      <w:r w:rsidRPr="00197BC4">
        <w:rPr>
          <w:rFonts w:ascii="Times" w:eastAsia="Batang" w:hAnsi="Times" w:cs="Times New Roman"/>
          <w:sz w:val="20"/>
          <w:szCs w:val="24"/>
          <w:lang w:eastAsia="x-none"/>
        </w:rPr>
        <w:t>Note: CCA is declared to be successful or not in multiples of 20 MHz.</w:t>
      </w:r>
    </w:p>
    <w:p w14:paraId="6FC933B7" w14:textId="77777777" w:rsidR="00197BC4" w:rsidRPr="00197BC4" w:rsidRDefault="00197BC4" w:rsidP="00197BC4">
      <w:pPr>
        <w:numPr>
          <w:ilvl w:val="1"/>
          <w:numId w:val="46"/>
        </w:numPr>
        <w:spacing w:after="0" w:line="240" w:lineRule="auto"/>
        <w:rPr>
          <w:rFonts w:ascii="Times" w:eastAsia="Batang" w:hAnsi="Times" w:cs="Times New Roman"/>
          <w:sz w:val="20"/>
          <w:szCs w:val="24"/>
          <w:lang w:eastAsia="x-none"/>
        </w:rPr>
      </w:pPr>
      <w:r w:rsidRPr="00197BC4">
        <w:rPr>
          <w:rFonts w:ascii="Times" w:eastAsia="Batang" w:hAnsi="Times" w:cs="Times New Roman"/>
          <w:sz w:val="20"/>
          <w:szCs w:val="24"/>
          <w:lang w:eastAsia="x-none"/>
        </w:rPr>
        <w:t>FFS for UL operation including some or all of above options can be applied</w:t>
      </w:r>
    </w:p>
    <w:p w14:paraId="14D1F064" w14:textId="77777777" w:rsidR="00197BC4" w:rsidRPr="00197BC4" w:rsidRDefault="00197BC4" w:rsidP="00197BC4">
      <w:pPr>
        <w:numPr>
          <w:ilvl w:val="0"/>
          <w:numId w:val="46"/>
        </w:numPr>
        <w:spacing w:after="0" w:line="240" w:lineRule="auto"/>
        <w:rPr>
          <w:rFonts w:ascii="Times" w:eastAsia="Batang" w:hAnsi="Times" w:cs="Times New Roman"/>
          <w:sz w:val="20"/>
          <w:szCs w:val="24"/>
          <w:lang w:eastAsia="x-none"/>
        </w:rPr>
      </w:pPr>
      <w:r w:rsidRPr="00197BC4">
        <w:rPr>
          <w:rFonts w:ascii="Times" w:eastAsia="Batang" w:hAnsi="Times" w:cs="Times New Roman"/>
          <w:sz w:val="20"/>
          <w:szCs w:val="24"/>
          <w:lang w:eastAsia="x-none"/>
        </w:rPr>
        <w:t>Note: Capture the following in TR only after further discussion for down-selecting from the options in RAN1#95.</w:t>
      </w:r>
    </w:p>
    <w:p w14:paraId="6DDE2194" w14:textId="77777777" w:rsidR="00A35130" w:rsidRDefault="00A35130" w:rsidP="001F718F">
      <w:pPr>
        <w:pStyle w:val="Proposal"/>
        <w:numPr>
          <w:ilvl w:val="0"/>
          <w:numId w:val="0"/>
        </w:numPr>
        <w:rPr>
          <w:rFonts w:ascii="Times New Roman" w:hAnsi="Times New Roman" w:cs="Times New Roman"/>
          <w:b w:val="0"/>
          <w:bCs w:val="0"/>
          <w:sz w:val="20"/>
          <w:szCs w:val="20"/>
          <w:lang w:eastAsia="en-US"/>
        </w:rPr>
      </w:pPr>
    </w:p>
    <w:p w14:paraId="3B13F3CF" w14:textId="446F0EAE" w:rsidR="00275CAD" w:rsidRDefault="00327044"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 this contribution, we</w:t>
      </w:r>
      <w:r w:rsidR="00197BC4">
        <w:rPr>
          <w:rFonts w:ascii="Times New Roman" w:hAnsi="Times New Roman" w:cs="Times New Roman"/>
          <w:b w:val="0"/>
          <w:bCs w:val="0"/>
          <w:sz w:val="20"/>
          <w:szCs w:val="20"/>
          <w:lang w:eastAsia="en-US"/>
        </w:rPr>
        <w:t xml:space="preserve"> provide our views on these options</w:t>
      </w:r>
      <w:r>
        <w:rPr>
          <w:rFonts w:ascii="Times New Roman" w:hAnsi="Times New Roman" w:cs="Times New Roman"/>
          <w:b w:val="0"/>
          <w:bCs w:val="0"/>
          <w:sz w:val="20"/>
          <w:szCs w:val="20"/>
          <w:lang w:eastAsia="en-US"/>
        </w:rPr>
        <w:t>.</w:t>
      </w:r>
      <w:r w:rsidR="001F718F">
        <w:rPr>
          <w:rFonts w:ascii="Times New Roman" w:hAnsi="Times New Roman" w:cs="Times New Roman"/>
          <w:b w:val="0"/>
          <w:bCs w:val="0"/>
          <w:sz w:val="20"/>
          <w:szCs w:val="20"/>
          <w:lang w:eastAsia="en-US"/>
        </w:rPr>
        <w:t xml:space="preserve"> </w:t>
      </w:r>
      <w:r w:rsidR="00C81698">
        <w:rPr>
          <w:rFonts w:ascii="Times New Roman" w:hAnsi="Times New Roman" w:cs="Times New Roman"/>
          <w:b w:val="0"/>
          <w:bCs w:val="0"/>
          <w:sz w:val="20"/>
          <w:szCs w:val="20"/>
          <w:lang w:eastAsia="en-US"/>
        </w:rPr>
        <w:t xml:space="preserve"> </w:t>
      </w:r>
      <w:bookmarkStart w:id="2" w:name="_Ref462918989"/>
    </w:p>
    <w:p w14:paraId="7392FC4E" w14:textId="77777777" w:rsidR="00A35130" w:rsidRPr="00633833" w:rsidRDefault="00A35130" w:rsidP="001F718F">
      <w:pPr>
        <w:pStyle w:val="Proposal"/>
        <w:numPr>
          <w:ilvl w:val="0"/>
          <w:numId w:val="0"/>
        </w:numPr>
        <w:rPr>
          <w:rFonts w:ascii="Times New Roman" w:hAnsi="Times New Roman" w:cs="Times New Roman"/>
          <w:sz w:val="20"/>
          <w:szCs w:val="20"/>
          <w:lang w:eastAsia="en-US"/>
        </w:rPr>
      </w:pP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EA1E5C9" w14:textId="5F17AF6A" w:rsidR="00D54AF4" w:rsidRPr="00D54AF4" w:rsidRDefault="00D54AF4" w:rsidP="00D54AF4">
      <w:pPr>
        <w:pStyle w:val="text"/>
        <w:rPr>
          <w:rFonts w:ascii="Times New Roman" w:eastAsiaTheme="minorEastAsia" w:hAnsi="Times New Roman"/>
          <w:sz w:val="20"/>
          <w:lang w:eastAsia="en-US"/>
        </w:rPr>
      </w:pPr>
      <w:r w:rsidRPr="00D54AF4">
        <w:rPr>
          <w:rFonts w:ascii="Times New Roman" w:eastAsiaTheme="minorEastAsia" w:hAnsi="Times New Roman"/>
          <w:sz w:val="20"/>
          <w:lang w:eastAsia="en-US"/>
        </w:rPr>
        <w:t xml:space="preserve">We compared the options listed in the introduction from the following 3 aspects: spectrum utilization, spec impact, RAN4 impact. </w:t>
      </w:r>
    </w:p>
    <w:p w14:paraId="3C91350A" w14:textId="77777777" w:rsidR="00F557B4" w:rsidRDefault="00F557B4" w:rsidP="00F557B4">
      <w:pPr>
        <w:pStyle w:val="Heading4"/>
        <w:numPr>
          <w:ilvl w:val="0"/>
          <w:numId w:val="0"/>
        </w:numPr>
        <w:ind w:left="864" w:right="569" w:hanging="864"/>
      </w:pPr>
      <w:r>
        <w:t>2.1 Spectrum utilization</w:t>
      </w:r>
    </w:p>
    <w:p w14:paraId="3A293880" w14:textId="6B049BD8" w:rsidR="00F557B4" w:rsidRDefault="00F557B4" w:rsidP="00A35130">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comparison among options, let </w:t>
      </w:r>
      <w:r w:rsidRPr="00F557B4">
        <w:rPr>
          <w:rFonts w:ascii="Times New Roman" w:hAnsi="Times New Roman" w:cs="Times New Roman"/>
          <w:sz w:val="20"/>
          <w:szCs w:val="20"/>
          <w:lang w:eastAsia="en-US"/>
        </w:rPr>
        <w:t>us consider an example of wideband carrier with bandwidth of 80MHz, and the maximum number of UE-specific configured BWPs is 4 (as in Rel-15).</w:t>
      </w:r>
      <w:r>
        <w:rPr>
          <w:rFonts w:ascii="Times New Roman" w:hAnsi="Times New Roman" w:cs="Times New Roman"/>
          <w:sz w:val="20"/>
          <w:szCs w:val="20"/>
          <w:lang w:eastAsia="en-US"/>
        </w:rPr>
        <w:t xml:space="preserve"> </w:t>
      </w:r>
    </w:p>
    <w:p w14:paraId="55BADC45" w14:textId="3ADB00FB" w:rsidR="00F557B4" w:rsidRDefault="00F557B4" w:rsidP="00A35130">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Option 1a, one reasonable BWP configuration would be to configure one BWP as one 20MHz LBT unit, as shown in the following Fig.1. </w:t>
      </w:r>
    </w:p>
    <w:p w14:paraId="2ADB8EF4" w14:textId="3D31D054" w:rsidR="00F557B4" w:rsidRDefault="00A35130" w:rsidP="00A35130">
      <w:pPr>
        <w:jc w:val="center"/>
      </w:pPr>
      <w:r>
        <w:object w:dxaOrig="5169" w:dyaOrig="1166" w14:anchorId="7C3CA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5pt;height:58.15pt" o:ole="">
            <v:imagedata r:id="rId13" o:title=""/>
          </v:shape>
          <o:OLEObject Type="Embed" ProgID="Visio.Drawing.15" ShapeID="_x0000_i1025" DrawAspect="Content" ObjectID="_1602684773" r:id="rId14"/>
        </w:object>
      </w:r>
    </w:p>
    <w:p w14:paraId="7DAEDD22" w14:textId="221FA8BB" w:rsidR="00F557B4" w:rsidRDefault="00F557B4" w:rsidP="00A35130">
      <w:pPr>
        <w:jc w:val="center"/>
        <w:rPr>
          <w:rFonts w:ascii="Times New Roman" w:hAnsi="Times New Roman" w:cs="Times New Roman"/>
          <w:sz w:val="20"/>
          <w:szCs w:val="20"/>
        </w:rPr>
      </w:pPr>
      <w:r w:rsidRPr="00A35130">
        <w:rPr>
          <w:rFonts w:ascii="Times New Roman" w:hAnsi="Times New Roman" w:cs="Times New Roman"/>
          <w:sz w:val="20"/>
          <w:szCs w:val="20"/>
          <w:lang w:eastAsia="ja-JP"/>
        </w:rPr>
        <w:t xml:space="preserve">Fig. 1 </w:t>
      </w:r>
      <w:r w:rsidR="00F968DC">
        <w:rPr>
          <w:rFonts w:ascii="Times New Roman" w:hAnsi="Times New Roman" w:cs="Times New Roman"/>
          <w:sz w:val="20"/>
          <w:szCs w:val="20"/>
        </w:rPr>
        <w:t xml:space="preserve">Example </w:t>
      </w:r>
      <w:r w:rsidRPr="00A35130">
        <w:rPr>
          <w:rFonts w:ascii="Times New Roman" w:hAnsi="Times New Roman" w:cs="Times New Roman"/>
          <w:sz w:val="20"/>
          <w:szCs w:val="20"/>
          <w:lang w:eastAsia="ja-JP"/>
        </w:rPr>
        <w:t>BWP configurations for Option 1a</w:t>
      </w:r>
    </w:p>
    <w:p w14:paraId="60108E3A" w14:textId="038C498A" w:rsidR="00F557B4" w:rsidRDefault="000F5C00" w:rsidP="00A35130">
      <w:pPr>
        <w:rPr>
          <w:rFonts w:ascii="Times New Roman" w:hAnsi="Times New Roman" w:cs="Times New Roman"/>
          <w:sz w:val="20"/>
          <w:szCs w:val="20"/>
          <w:lang w:eastAsia="en-US"/>
        </w:rPr>
      </w:pPr>
      <w:r>
        <w:rPr>
          <w:rFonts w:ascii="Times New Roman" w:hAnsi="Times New Roman" w:cs="Times New Roman"/>
          <w:sz w:val="20"/>
          <w:szCs w:val="20"/>
        </w:rPr>
        <w:t>In Fig.1. Option 1a would activate all four BWPs for the UE, meaning that UE can receive PDCCH on any one of the BWPs. Since PDCCH in one BWP can schedule data cross one or multiple BWPs</w:t>
      </w:r>
      <w:r>
        <w:rPr>
          <w:rFonts w:ascii="Times New Roman" w:hAnsi="Times New Roman" w:cs="Times New Roman"/>
          <w:sz w:val="20"/>
          <w:szCs w:val="20"/>
          <w:lang w:eastAsia="en-US"/>
        </w:rPr>
        <w:t>, the transmission can be flexible enough to match the LBT outcome of the gNB dynamically. If either one BWP or any combination of the four BWPs clear the LBT, the combination of cleared BWPs can be used for data transmission. Therefore, Option 1a can achieve the highest spectrum utilization.</w:t>
      </w:r>
    </w:p>
    <w:p w14:paraId="37EDE902" w14:textId="4D441248" w:rsidR="000F5C00" w:rsidRDefault="000F5C00" w:rsidP="00A35130">
      <w:pPr>
        <w:rPr>
          <w:rFonts w:ascii="Times New Roman" w:hAnsi="Times New Roman" w:cs="Times New Roman"/>
          <w:sz w:val="20"/>
          <w:szCs w:val="20"/>
          <w:lang w:eastAsia="en-US"/>
        </w:rPr>
      </w:pPr>
      <w:r>
        <w:rPr>
          <w:rFonts w:ascii="Times New Roman" w:hAnsi="Times New Roman" w:cs="Times New Roman"/>
          <w:sz w:val="20"/>
          <w:szCs w:val="20"/>
          <w:lang w:eastAsia="en-US"/>
        </w:rPr>
        <w:t>By contrast, Option 1b only allows the transmission of PDSCH on a single BWP, although UE can monitor multiple active BWPs for PDCCH and multiple BWPs may pass LBT. Within the constr</w:t>
      </w:r>
      <w:r w:rsidR="004B2BC9">
        <w:rPr>
          <w:rFonts w:ascii="Times New Roman" w:hAnsi="Times New Roman" w:cs="Times New Roman"/>
          <w:sz w:val="20"/>
          <w:szCs w:val="20"/>
          <w:lang w:eastAsia="en-US"/>
        </w:rPr>
        <w:t xml:space="preserve">aint of </w:t>
      </w:r>
      <w:r w:rsidR="00857C84">
        <w:rPr>
          <w:rFonts w:ascii="Times New Roman" w:hAnsi="Times New Roman" w:cs="Times New Roman"/>
          <w:sz w:val="20"/>
          <w:szCs w:val="20"/>
          <w:lang w:eastAsia="en-US"/>
        </w:rPr>
        <w:t xml:space="preserve">at </w:t>
      </w:r>
      <w:r w:rsidR="004B2BC9">
        <w:rPr>
          <w:rFonts w:ascii="Times New Roman" w:hAnsi="Times New Roman" w:cs="Times New Roman"/>
          <w:sz w:val="20"/>
          <w:szCs w:val="20"/>
          <w:lang w:eastAsia="en-US"/>
        </w:rPr>
        <w:t>most four configured/</w:t>
      </w:r>
      <w:r>
        <w:rPr>
          <w:rFonts w:ascii="Times New Roman" w:hAnsi="Times New Roman" w:cs="Times New Roman"/>
          <w:sz w:val="20"/>
          <w:szCs w:val="20"/>
          <w:lang w:eastAsia="en-US"/>
        </w:rPr>
        <w:t>activated BWPs, one reasonable BWP configuration is given in Fig.2.</w:t>
      </w:r>
    </w:p>
    <w:p w14:paraId="2F7CEFA6" w14:textId="1A23F411" w:rsidR="000F5C00" w:rsidRDefault="00137194" w:rsidP="00137194">
      <w:pPr>
        <w:jc w:val="center"/>
      </w:pPr>
      <w:r>
        <w:object w:dxaOrig="5032" w:dyaOrig="2538" w14:anchorId="01B50F98">
          <v:shape id="_x0000_i1026" type="#_x0000_t75" style="width:251.75pt;height:126.85pt" o:ole="">
            <v:imagedata r:id="rId15" o:title=""/>
          </v:shape>
          <o:OLEObject Type="Embed" ProgID="Visio.Drawing.15" ShapeID="_x0000_i1026" DrawAspect="Content" ObjectID="_1602684774" r:id="rId16"/>
        </w:object>
      </w:r>
    </w:p>
    <w:p w14:paraId="6DCC62F7" w14:textId="42648B86" w:rsidR="000F5C00" w:rsidRPr="00F968DC" w:rsidRDefault="000F5C00" w:rsidP="00137194">
      <w:pPr>
        <w:jc w:val="center"/>
        <w:rPr>
          <w:rFonts w:ascii="Times New Roman" w:hAnsi="Times New Roman" w:cs="Times New Roman"/>
          <w:sz w:val="20"/>
          <w:szCs w:val="20"/>
        </w:rPr>
      </w:pPr>
      <w:r w:rsidRPr="00137194">
        <w:rPr>
          <w:rFonts w:ascii="Times New Roman" w:hAnsi="Times New Roman" w:cs="Times New Roman"/>
          <w:sz w:val="20"/>
          <w:szCs w:val="20"/>
          <w:lang w:eastAsia="ja-JP"/>
        </w:rPr>
        <w:t xml:space="preserve">Fig.2. </w:t>
      </w:r>
      <w:r w:rsidR="00F968DC">
        <w:rPr>
          <w:rFonts w:ascii="Times New Roman" w:hAnsi="Times New Roman" w:cs="Times New Roman"/>
          <w:sz w:val="20"/>
          <w:szCs w:val="20"/>
        </w:rPr>
        <w:t>Example of BWP configurations for Option 1b</w:t>
      </w:r>
    </w:p>
    <w:p w14:paraId="3989E4B0" w14:textId="1EBC742C" w:rsidR="00DC552C" w:rsidRDefault="009E407B" w:rsidP="00A35130">
      <w:pPr>
        <w:rPr>
          <w:rFonts w:ascii="Times New Roman" w:hAnsi="Times New Roman" w:cs="Times New Roman"/>
          <w:sz w:val="20"/>
          <w:szCs w:val="20"/>
        </w:rPr>
      </w:pPr>
      <w:r>
        <w:rPr>
          <w:rFonts w:ascii="Times New Roman" w:hAnsi="Times New Roman" w:cs="Times New Roman"/>
          <w:sz w:val="20"/>
          <w:szCs w:val="20"/>
        </w:rPr>
        <w:t xml:space="preserve">As shown in Fig.2, the PDSCH transmission can only occur in one of the four BWPs. Comparing to Option 1a, there would be compromise in terms of the spectrum utilization. For example, if only the left-most 20MHz fails the LBT and the rest of 60 MHz are free, still, maximum </w:t>
      </w:r>
      <w:r w:rsidR="004850E5">
        <w:rPr>
          <w:rFonts w:ascii="Times New Roman" w:hAnsi="Times New Roman" w:cs="Times New Roman"/>
          <w:sz w:val="20"/>
          <w:szCs w:val="20"/>
        </w:rPr>
        <w:t xml:space="preserve">contiguous </w:t>
      </w:r>
      <w:r>
        <w:rPr>
          <w:rFonts w:ascii="Times New Roman" w:hAnsi="Times New Roman" w:cs="Times New Roman"/>
          <w:sz w:val="20"/>
          <w:szCs w:val="20"/>
        </w:rPr>
        <w:t xml:space="preserve">40MHz can be used (i.e. BWP#3 is used). In order to cover </w:t>
      </w:r>
      <w:r w:rsidR="00DC552C">
        <w:rPr>
          <w:rFonts w:ascii="Times New Roman" w:hAnsi="Times New Roman" w:cs="Times New Roman"/>
          <w:sz w:val="20"/>
          <w:szCs w:val="20"/>
        </w:rPr>
        <w:t xml:space="preserve">more LBT outcome possibilities, more BWP configurations than 4 need to be supported. Another difference when comparing Options 1a and 1b is that non-contiguous spectrum usage is possible in Option 1a, which further improves the spectrum utilization. </w:t>
      </w:r>
    </w:p>
    <w:p w14:paraId="557446B5" w14:textId="2768094B" w:rsidR="00F557B4" w:rsidRDefault="00DC552C" w:rsidP="00A35130">
      <w:pPr>
        <w:rPr>
          <w:rFonts w:ascii="Times New Roman" w:hAnsi="Times New Roman" w:cs="Times New Roman"/>
          <w:sz w:val="20"/>
          <w:szCs w:val="20"/>
        </w:rPr>
      </w:pPr>
      <w:r>
        <w:rPr>
          <w:rFonts w:ascii="Times New Roman" w:hAnsi="Times New Roman" w:cs="Times New Roman"/>
          <w:sz w:val="20"/>
          <w:szCs w:val="20"/>
        </w:rPr>
        <w:t xml:space="preserve">For Option 2, the similar BWP configuration as given in </w:t>
      </w:r>
      <w:r w:rsidR="00A032E4">
        <w:rPr>
          <w:rFonts w:ascii="Times New Roman" w:hAnsi="Times New Roman" w:cs="Times New Roman"/>
          <w:sz w:val="20"/>
          <w:szCs w:val="20"/>
        </w:rPr>
        <w:t>option 1b (</w:t>
      </w:r>
      <w:r>
        <w:rPr>
          <w:rFonts w:ascii="Times New Roman" w:hAnsi="Times New Roman" w:cs="Times New Roman"/>
          <w:sz w:val="20"/>
          <w:szCs w:val="20"/>
        </w:rPr>
        <w:t>Fig.2</w:t>
      </w:r>
      <w:r w:rsidR="00A032E4">
        <w:rPr>
          <w:rFonts w:ascii="Times New Roman" w:hAnsi="Times New Roman" w:cs="Times New Roman"/>
          <w:sz w:val="20"/>
          <w:szCs w:val="20"/>
        </w:rPr>
        <w:t>)</w:t>
      </w:r>
      <w:r>
        <w:rPr>
          <w:rFonts w:ascii="Times New Roman" w:hAnsi="Times New Roman" w:cs="Times New Roman"/>
          <w:sz w:val="20"/>
          <w:szCs w:val="20"/>
        </w:rPr>
        <w:t xml:space="preserve"> can also be used. However, the difference from Option 1b is that only one of these BWPs can be activated, meaning that UE monitors PDCCH only in one BWP. For example,</w:t>
      </w:r>
      <w:r w:rsidR="00B37BC2">
        <w:rPr>
          <w:rFonts w:ascii="Times New Roman" w:hAnsi="Times New Roman" w:cs="Times New Roman"/>
          <w:sz w:val="20"/>
          <w:szCs w:val="20"/>
        </w:rPr>
        <w:t xml:space="preserve"> consider the case where</w:t>
      </w:r>
      <w:r>
        <w:rPr>
          <w:rFonts w:ascii="Times New Roman" w:hAnsi="Times New Roman" w:cs="Times New Roman"/>
          <w:sz w:val="20"/>
          <w:szCs w:val="20"/>
        </w:rPr>
        <w:t xml:space="preserve"> the UE is currently activated with BWP#1, but whole wideband carrier is clear from LBT from gNB side. gNB has to send BWP switching command in BWP#1</w:t>
      </w:r>
      <w:r w:rsidR="00B37BC2">
        <w:rPr>
          <w:rFonts w:ascii="Times New Roman" w:hAnsi="Times New Roman" w:cs="Times New Roman"/>
          <w:sz w:val="20"/>
          <w:szCs w:val="20"/>
        </w:rPr>
        <w:t>,</w:t>
      </w:r>
      <w:r>
        <w:rPr>
          <w:rFonts w:ascii="Times New Roman" w:hAnsi="Times New Roman" w:cs="Times New Roman"/>
          <w:sz w:val="20"/>
          <w:szCs w:val="20"/>
        </w:rPr>
        <w:t xml:space="preserve"> and the BWP#4 can only be used after UE’s active BWP is switched to BWP#4</w:t>
      </w:r>
      <w:r w:rsidR="00B37BC2">
        <w:rPr>
          <w:rFonts w:ascii="Times New Roman" w:hAnsi="Times New Roman" w:cs="Times New Roman"/>
          <w:sz w:val="20"/>
          <w:szCs w:val="20"/>
        </w:rPr>
        <w:t>. This introduces scheduling delay (in Rel-15, the minimum BWP switching delay is 660us)</w:t>
      </w:r>
      <w:r w:rsidR="003E21B4">
        <w:rPr>
          <w:rFonts w:ascii="Times New Roman" w:hAnsi="Times New Roman" w:cs="Times New Roman"/>
          <w:sz w:val="20"/>
          <w:szCs w:val="20"/>
        </w:rPr>
        <w:t xml:space="preserve">, resulting in loss of spectrum utilization. To overcome the BWP switching delay, the UE can be always activated with BWP#4 (widest BWP). In such case, </w:t>
      </w:r>
      <w:r w:rsidR="003E21B4">
        <w:rPr>
          <w:rFonts w:ascii="Times New Roman" w:hAnsi="Times New Roman" w:cs="Times New Roman"/>
          <w:sz w:val="20"/>
          <w:szCs w:val="20"/>
          <w:lang w:eastAsia="en-US"/>
        </w:rPr>
        <w:t>although the possibility for UE to receive PDCCH increases due to the wide bandwidth of BWP, gNB cannot use the channel to transmit even if part of the wideband carrier is free from LBT.</w:t>
      </w:r>
      <w:r w:rsidR="00A032E4">
        <w:rPr>
          <w:rFonts w:ascii="Times New Roman" w:hAnsi="Times New Roman" w:cs="Times New Roman"/>
          <w:sz w:val="20"/>
          <w:szCs w:val="20"/>
          <w:lang w:eastAsia="en-US"/>
        </w:rPr>
        <w:t xml:space="preserve"> What RF modelling and </w:t>
      </w:r>
      <w:r w:rsidR="00772C01">
        <w:rPr>
          <w:rFonts w:ascii="Times New Roman" w:hAnsi="Times New Roman" w:cs="Times New Roman"/>
          <w:sz w:val="20"/>
          <w:szCs w:val="20"/>
          <w:lang w:eastAsia="en-US"/>
        </w:rPr>
        <w:t xml:space="preserve">what </w:t>
      </w:r>
      <w:r w:rsidR="00A032E4">
        <w:rPr>
          <w:rFonts w:ascii="Times New Roman" w:hAnsi="Times New Roman" w:cs="Times New Roman"/>
          <w:sz w:val="20"/>
          <w:szCs w:val="20"/>
          <w:lang w:eastAsia="en-US"/>
        </w:rPr>
        <w:t xml:space="preserve">switching delay should be discussed in RAN4. </w:t>
      </w:r>
      <w:r w:rsidR="003E21B4">
        <w:rPr>
          <w:rFonts w:ascii="Times New Roman" w:hAnsi="Times New Roman" w:cs="Times New Roman"/>
          <w:sz w:val="20"/>
          <w:szCs w:val="20"/>
          <w:lang w:eastAsia="en-US"/>
        </w:rPr>
        <w:t xml:space="preserve"> </w:t>
      </w:r>
      <w:r w:rsidR="003E21B4">
        <w:rPr>
          <w:rFonts w:ascii="Times New Roman" w:hAnsi="Times New Roman" w:cs="Times New Roman"/>
          <w:sz w:val="20"/>
          <w:szCs w:val="20"/>
        </w:rPr>
        <w:t xml:space="preserve"> </w:t>
      </w:r>
    </w:p>
    <w:p w14:paraId="56C33FD9" w14:textId="77777777" w:rsidR="003E21B4" w:rsidRDefault="003E21B4" w:rsidP="003E21B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far as Option 3 is concerned, it can achieve the same spectrum utilization as Option 1a, with the condition that the whole wideband carrier is configured and activated as UE’s BWP. Since gNB can transmit PDCCH and PDSCH on parts or whole BWP where LBT is successful at gNB, the same effect of Option 1a can be achieved.  </w:t>
      </w:r>
    </w:p>
    <w:p w14:paraId="1B7552AF" w14:textId="77777777" w:rsidR="003E21B4" w:rsidRDefault="003E21B4" w:rsidP="003E21B4">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 1: From spectrum utilization point of view, Option 1a = Option 3 &gt; Option 1b &gt; Option 2.</w:t>
      </w:r>
    </w:p>
    <w:p w14:paraId="39EEE584" w14:textId="7F577B3B" w:rsidR="00F557B4" w:rsidRDefault="00F557B4" w:rsidP="00A35130">
      <w:pPr>
        <w:rPr>
          <w:rFonts w:ascii="Times New Roman" w:hAnsi="Times New Roman" w:cs="Times New Roman"/>
          <w:sz w:val="20"/>
          <w:szCs w:val="20"/>
        </w:rPr>
      </w:pPr>
    </w:p>
    <w:p w14:paraId="5A1F82BD" w14:textId="77777777" w:rsidR="00F557B4" w:rsidRPr="00A35130" w:rsidRDefault="00F557B4" w:rsidP="00A35130">
      <w:pPr>
        <w:jc w:val="center"/>
        <w:rPr>
          <w:rFonts w:ascii="Times New Roman" w:hAnsi="Times New Roman" w:cs="Times New Roman"/>
          <w:sz w:val="20"/>
          <w:szCs w:val="20"/>
          <w:lang w:eastAsia="en-US"/>
        </w:rPr>
      </w:pPr>
    </w:p>
    <w:p w14:paraId="4F5DD0C0" w14:textId="03644EA1" w:rsidR="0056356C" w:rsidRDefault="00646851" w:rsidP="0056356C">
      <w:pPr>
        <w:pStyle w:val="Heading4"/>
        <w:numPr>
          <w:ilvl w:val="0"/>
          <w:numId w:val="0"/>
        </w:numPr>
        <w:ind w:left="864" w:right="569" w:hanging="864"/>
      </w:pPr>
      <w:r>
        <w:lastRenderedPageBreak/>
        <w:t>2.2 Complexity and spec impact</w:t>
      </w:r>
    </w:p>
    <w:p w14:paraId="785DCD64" w14:textId="5AA8D257" w:rsidR="00131DAF" w:rsidRDefault="00131DAF"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Obviously, Option 2 has the lowest complexity and no spec impact, because Rel-15 BWP mechanism can be reused here. Similarly, Option 3 is also based on the single active BWP framework established in Rel-15 already. The partial BWP transmission can be realized by frequency domain resource allocation in a UE transparent manner. </w:t>
      </w:r>
      <w:r w:rsidR="003C0766">
        <w:rPr>
          <w:rFonts w:ascii="Times New Roman" w:hAnsi="Times New Roman" w:cs="Times New Roman"/>
          <w:sz w:val="20"/>
          <w:szCs w:val="20"/>
          <w:lang w:eastAsia="en-US"/>
        </w:rPr>
        <w:t>Therefore, the spec impact of both Option 2 and Option 3 are very limited, if any.</w:t>
      </w:r>
    </w:p>
    <w:p w14:paraId="199A44D3" w14:textId="44DB3C92" w:rsidR="003C0766" w:rsidRDefault="003C0766"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On the contrary, supporting multiple active BWP requires some significant modifications in the specs. E.g.</w:t>
      </w:r>
    </w:p>
    <w:p w14:paraId="29AF82E9" w14:textId="2A4C71C4" w:rsidR="003C0766" w:rsidRDefault="003C0766" w:rsidP="003C0766">
      <w:pPr>
        <w:pStyle w:val="BodyText"/>
        <w:numPr>
          <w:ilvl w:val="0"/>
          <w:numId w:val="47"/>
        </w:numPr>
        <w:rPr>
          <w:rFonts w:ascii="Times New Roman" w:hAnsi="Times New Roman" w:cs="Times New Roman"/>
          <w:sz w:val="20"/>
          <w:szCs w:val="20"/>
          <w:lang w:eastAsia="en-US"/>
        </w:rPr>
      </w:pPr>
      <w:r>
        <w:rPr>
          <w:rFonts w:ascii="Times New Roman" w:hAnsi="Times New Roman" w:cs="Times New Roman"/>
          <w:sz w:val="20"/>
          <w:szCs w:val="20"/>
          <w:lang w:eastAsia="en-US"/>
        </w:rPr>
        <w:t>In single active BWP framework, the active BWP defines the nominal frequency resource range for PDSCH. However, if PDSCH can be scheduled over multiple active BWP</w:t>
      </w:r>
      <w:r w:rsidR="00BA181D">
        <w:rPr>
          <w:rFonts w:ascii="Times New Roman" w:hAnsi="Times New Roman" w:cs="Times New Roman"/>
          <w:sz w:val="20"/>
          <w:szCs w:val="20"/>
          <w:lang w:eastAsia="en-US"/>
        </w:rPr>
        <w:t xml:space="preserve"> (Option 1a)</w:t>
      </w:r>
      <w:r>
        <w:rPr>
          <w:rFonts w:ascii="Times New Roman" w:hAnsi="Times New Roman" w:cs="Times New Roman"/>
          <w:sz w:val="20"/>
          <w:szCs w:val="20"/>
          <w:lang w:eastAsia="en-US"/>
        </w:rPr>
        <w:t xml:space="preserve">, </w:t>
      </w:r>
      <w:r w:rsidR="00BA181D">
        <w:rPr>
          <w:rFonts w:ascii="Times New Roman" w:hAnsi="Times New Roman" w:cs="Times New Roman"/>
          <w:sz w:val="20"/>
          <w:szCs w:val="20"/>
          <w:lang w:eastAsia="en-US"/>
        </w:rPr>
        <w:t xml:space="preserve">what is the reference range for frequency domain resource allocation? </w:t>
      </w:r>
    </w:p>
    <w:p w14:paraId="51B529A5" w14:textId="32EB92A3" w:rsidR="00AC4138" w:rsidRDefault="00AC4138" w:rsidP="003C0766">
      <w:pPr>
        <w:pStyle w:val="BodyText"/>
        <w:numPr>
          <w:ilvl w:val="0"/>
          <w:numId w:val="47"/>
        </w:numPr>
        <w:rPr>
          <w:rFonts w:ascii="Times New Roman" w:hAnsi="Times New Roman" w:cs="Times New Roman"/>
          <w:sz w:val="20"/>
          <w:szCs w:val="20"/>
          <w:lang w:eastAsia="en-US"/>
        </w:rPr>
      </w:pPr>
      <w:r>
        <w:rPr>
          <w:rFonts w:ascii="Times New Roman" w:hAnsi="Times New Roman" w:cs="Times New Roman"/>
          <w:sz w:val="20"/>
          <w:szCs w:val="20"/>
          <w:lang w:eastAsia="en-US"/>
        </w:rPr>
        <w:t>The Rel-15 DCI formats have only one BWP indication field (formats 1-0 and 1-1). If multiple BWP needs to be activated, more fields or different DCI formats need to be defined.</w:t>
      </w:r>
    </w:p>
    <w:p w14:paraId="126544FE" w14:textId="3DE306D0" w:rsidR="00AC4138" w:rsidRDefault="00AC4138" w:rsidP="003C0766">
      <w:pPr>
        <w:pStyle w:val="BodyText"/>
        <w:numPr>
          <w:ilvl w:val="0"/>
          <w:numId w:val="47"/>
        </w:numPr>
        <w:rPr>
          <w:rFonts w:ascii="Times New Roman" w:hAnsi="Times New Roman" w:cs="Times New Roman"/>
          <w:sz w:val="20"/>
          <w:szCs w:val="20"/>
          <w:lang w:eastAsia="en-US"/>
        </w:rPr>
      </w:pPr>
      <w:r>
        <w:rPr>
          <w:rFonts w:ascii="Times New Roman" w:hAnsi="Times New Roman" w:cs="Times New Roman"/>
          <w:sz w:val="20"/>
          <w:szCs w:val="20"/>
          <w:lang w:eastAsia="en-US"/>
        </w:rPr>
        <w:t>Etc.</w:t>
      </w:r>
    </w:p>
    <w:p w14:paraId="1E3F71E7" w14:textId="0C1782EB" w:rsidR="00D04BD0" w:rsidRDefault="00AC4138" w:rsidP="00AC4138">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More importantly, from the spectrum utilization point of view as discussed in previous section, there is no gain of Option 1a over Option 3. Considering additional standardization work, Option 1a or Option 1b shall be considered only if significant advantages over other the options with single active BWP are identified. </w:t>
      </w:r>
    </w:p>
    <w:p w14:paraId="7E2E9705" w14:textId="0183ADC3" w:rsidR="00D04BD0" w:rsidRDefault="00D04BD0" w:rsidP="00D04BD0">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Observation 2: Options with multiple activated BWP </w:t>
      </w:r>
      <w:r w:rsidR="00897414">
        <w:rPr>
          <w:rFonts w:ascii="Times New Roman" w:hAnsi="Times New Roman" w:cs="Times New Roman"/>
          <w:b/>
          <w:sz w:val="20"/>
          <w:szCs w:val="20"/>
          <w:lang w:eastAsia="en-US"/>
        </w:rPr>
        <w:t>may require</w:t>
      </w:r>
      <w:r>
        <w:rPr>
          <w:rFonts w:ascii="Times New Roman" w:hAnsi="Times New Roman" w:cs="Times New Roman"/>
          <w:b/>
          <w:sz w:val="20"/>
          <w:szCs w:val="20"/>
          <w:lang w:eastAsia="en-US"/>
        </w:rPr>
        <w:t xml:space="preserve"> significant standardization efforts compared to their single activated BWP counterparts. However, no gain is identified so far. </w:t>
      </w:r>
    </w:p>
    <w:p w14:paraId="18014D69" w14:textId="77777777" w:rsidR="00562A1A" w:rsidRDefault="00562A1A" w:rsidP="00754B9B">
      <w:pPr>
        <w:pStyle w:val="BodyText"/>
        <w:rPr>
          <w:rFonts w:ascii="Times New Roman" w:hAnsi="Times New Roman" w:cs="Times New Roman"/>
          <w:sz w:val="20"/>
          <w:szCs w:val="20"/>
          <w:lang w:eastAsia="en-US"/>
        </w:rPr>
      </w:pPr>
    </w:p>
    <w:p w14:paraId="29D3A47C" w14:textId="53CE09EF" w:rsidR="00A85AE7" w:rsidRDefault="003F3088" w:rsidP="00A85AE7">
      <w:pPr>
        <w:pStyle w:val="Heading4"/>
        <w:numPr>
          <w:ilvl w:val="0"/>
          <w:numId w:val="0"/>
        </w:numPr>
        <w:ind w:left="864" w:right="569" w:hanging="864"/>
      </w:pPr>
      <w:r>
        <w:t>2.3</w:t>
      </w:r>
      <w:r w:rsidR="00AF5CB5">
        <w:t xml:space="preserve"> </w:t>
      </w:r>
      <w:r w:rsidR="00D04BD0">
        <w:t>RAN4 impact</w:t>
      </w:r>
    </w:p>
    <w:p w14:paraId="15C7DE91" w14:textId="337D37AD" w:rsidR="00D661B0" w:rsidRDefault="00ED129F"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w:t>
      </w:r>
      <w:r w:rsidR="00D04BD0">
        <w:rPr>
          <w:rFonts w:ascii="Times New Roman" w:hAnsi="Times New Roman" w:cs="Times New Roman"/>
          <w:sz w:val="20"/>
          <w:szCs w:val="20"/>
          <w:lang w:eastAsia="en-US"/>
        </w:rPr>
        <w:t xml:space="preserve"> last meeting a LS has been sent to RAN4 regarding the above options of wideband operation. Therefore, RAN1 can wait for the RAN4 replies on whether new RF requirements are needed</w:t>
      </w:r>
      <w:r w:rsidR="00CE3F6C">
        <w:rPr>
          <w:rFonts w:ascii="Times New Roman" w:hAnsi="Times New Roman" w:cs="Times New Roman"/>
          <w:sz w:val="20"/>
          <w:szCs w:val="20"/>
          <w:lang w:eastAsia="en-US"/>
        </w:rPr>
        <w:t xml:space="preserve"> </w:t>
      </w:r>
      <w:r w:rsidR="00D04BD0">
        <w:rPr>
          <w:rFonts w:ascii="Times New Roman" w:hAnsi="Times New Roman" w:cs="Times New Roman"/>
          <w:sz w:val="20"/>
          <w:szCs w:val="20"/>
          <w:lang w:eastAsia="en-US"/>
        </w:rPr>
        <w:t>for NR-U w</w:t>
      </w:r>
      <w:r w:rsidR="00D04BD0" w:rsidRPr="00D04BD0">
        <w:rPr>
          <w:rFonts w:ascii="Times New Roman" w:hAnsi="Times New Roman" w:cs="Times New Roman"/>
          <w:sz w:val="20"/>
          <w:szCs w:val="20"/>
          <w:lang w:eastAsia="en-US"/>
        </w:rPr>
        <w:t xml:space="preserve">ideband carrier operation with LBT performed on a 20 MHz </w:t>
      </w:r>
      <w:r w:rsidR="00D04BD0">
        <w:rPr>
          <w:rFonts w:ascii="Times New Roman" w:hAnsi="Times New Roman" w:cs="Times New Roman"/>
          <w:sz w:val="20"/>
          <w:szCs w:val="20"/>
          <w:lang w:eastAsia="en-US"/>
        </w:rPr>
        <w:t xml:space="preserve">unit. </w:t>
      </w:r>
      <w:r w:rsidR="00CE3F6C">
        <w:rPr>
          <w:rFonts w:ascii="Times New Roman" w:hAnsi="Times New Roman" w:cs="Times New Roman"/>
          <w:sz w:val="20"/>
          <w:szCs w:val="20"/>
          <w:lang w:eastAsia="en-US"/>
        </w:rPr>
        <w:t>Nevertheless, we do not expect there would be a different requirement for Option 1a and Option 3. However, Option 2 and Option 3 may impose different requirement for intra-BWP interference handling. Therefore, we proposed:</w:t>
      </w:r>
      <w:r w:rsidR="00D04BD0">
        <w:rPr>
          <w:rFonts w:ascii="Times New Roman" w:hAnsi="Times New Roman" w:cs="Times New Roman"/>
          <w:sz w:val="20"/>
          <w:szCs w:val="20"/>
          <w:lang w:eastAsia="en-US"/>
        </w:rPr>
        <w:t xml:space="preserve">  </w:t>
      </w:r>
      <w:r w:rsidR="00F020A9">
        <w:rPr>
          <w:rFonts w:ascii="Times New Roman" w:hAnsi="Times New Roman" w:cs="Times New Roman"/>
          <w:sz w:val="20"/>
          <w:szCs w:val="20"/>
          <w:lang w:eastAsia="en-US"/>
        </w:rPr>
        <w:t xml:space="preserve"> </w:t>
      </w:r>
      <w:r w:rsidR="00D661B0">
        <w:rPr>
          <w:rFonts w:ascii="Times New Roman" w:hAnsi="Times New Roman" w:cs="Times New Roman"/>
          <w:sz w:val="20"/>
          <w:szCs w:val="20"/>
          <w:lang w:eastAsia="en-US"/>
        </w:rPr>
        <w:t xml:space="preserve"> </w:t>
      </w:r>
    </w:p>
    <w:p w14:paraId="30ED559D" w14:textId="6928B4FE" w:rsidR="00362DE3" w:rsidRDefault="0056299D" w:rsidP="009B19F5">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CE3F6C">
        <w:rPr>
          <w:rFonts w:ascii="Times New Roman" w:hAnsi="Times New Roman" w:cs="Times New Roman"/>
          <w:b/>
          <w:sz w:val="20"/>
          <w:szCs w:val="20"/>
          <w:lang w:eastAsia="en-US"/>
        </w:rPr>
        <w:t>1</w:t>
      </w:r>
      <w:r>
        <w:rPr>
          <w:rFonts w:ascii="Times New Roman" w:hAnsi="Times New Roman" w:cs="Times New Roman"/>
          <w:b/>
          <w:sz w:val="20"/>
          <w:szCs w:val="20"/>
          <w:lang w:eastAsia="en-US"/>
        </w:rPr>
        <w:t xml:space="preserve">: </w:t>
      </w:r>
      <w:r w:rsidR="00CE3F6C">
        <w:rPr>
          <w:rFonts w:ascii="Times New Roman" w:hAnsi="Times New Roman" w:cs="Times New Roman"/>
          <w:b/>
          <w:sz w:val="20"/>
          <w:szCs w:val="20"/>
          <w:lang w:eastAsia="en-US"/>
        </w:rPr>
        <w:t>RAN1 down-selects from Option 2 and Option 3 based on the RAN4 input</w:t>
      </w:r>
      <w:r w:rsidR="00D215AD">
        <w:rPr>
          <w:rFonts w:ascii="Times New Roman" w:hAnsi="Times New Roman" w:cs="Times New Roman"/>
          <w:b/>
          <w:sz w:val="20"/>
          <w:szCs w:val="20"/>
          <w:lang w:eastAsia="en-US"/>
        </w:rPr>
        <w:t>.</w:t>
      </w:r>
      <w:r w:rsidR="00CE3F6C">
        <w:rPr>
          <w:rFonts w:ascii="Times New Roman" w:hAnsi="Times New Roman" w:cs="Times New Roman"/>
          <w:b/>
          <w:sz w:val="20"/>
          <w:szCs w:val="20"/>
          <w:lang w:eastAsia="en-US"/>
        </w:rPr>
        <w:t xml:space="preserve"> </w:t>
      </w:r>
      <w:r w:rsidR="00D215AD">
        <w:rPr>
          <w:rFonts w:ascii="Times New Roman" w:hAnsi="Times New Roman" w:cs="Times New Roman"/>
          <w:b/>
          <w:sz w:val="20"/>
          <w:szCs w:val="20"/>
          <w:lang w:eastAsia="en-US"/>
        </w:rPr>
        <w:t xml:space="preserve"> </w:t>
      </w:r>
      <w:r>
        <w:rPr>
          <w:rFonts w:ascii="Times New Roman" w:hAnsi="Times New Roman" w:cs="Times New Roman"/>
          <w:sz w:val="20"/>
          <w:szCs w:val="20"/>
          <w:lang w:eastAsia="en-US"/>
        </w:rPr>
        <w:t xml:space="preserve"> </w:t>
      </w:r>
    </w:p>
    <w:bookmarkEnd w:id="2"/>
    <w:p w14:paraId="183153B4" w14:textId="44E01457" w:rsidR="00E32C7B" w:rsidRDefault="00E32C7B"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5387583A"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have the following observations and proposals:</w:t>
      </w:r>
      <w:r>
        <w:rPr>
          <w:rFonts w:ascii="Times New Roman" w:hAnsi="Times New Roman" w:cs="Times New Roman"/>
          <w:b w:val="0"/>
          <w:bCs w:val="0"/>
          <w:sz w:val="20"/>
          <w:szCs w:val="20"/>
          <w:lang w:eastAsia="en-US"/>
        </w:rPr>
        <w:t xml:space="preserve"> </w:t>
      </w:r>
    </w:p>
    <w:p w14:paraId="44191EF0" w14:textId="77777777" w:rsidR="00A35130" w:rsidRDefault="00A35130" w:rsidP="00A35130">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 1: From spectrum utilization point of view, Option 1a = Option 3 &gt; Option 1b &gt; Option 2.</w:t>
      </w:r>
    </w:p>
    <w:p w14:paraId="3E93B9B0" w14:textId="6DD307FA" w:rsidR="00A35130" w:rsidRDefault="00A35130" w:rsidP="00A35130">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Observation 2: Options with multiple activated BWP </w:t>
      </w:r>
      <w:r w:rsidR="00897414">
        <w:rPr>
          <w:rFonts w:ascii="Times New Roman" w:hAnsi="Times New Roman" w:cs="Times New Roman"/>
          <w:b/>
          <w:sz w:val="20"/>
          <w:szCs w:val="20"/>
          <w:lang w:eastAsia="en-US"/>
        </w:rPr>
        <w:t>may require</w:t>
      </w:r>
      <w:r>
        <w:rPr>
          <w:rFonts w:ascii="Times New Roman" w:hAnsi="Times New Roman" w:cs="Times New Roman"/>
          <w:b/>
          <w:sz w:val="20"/>
          <w:szCs w:val="20"/>
          <w:lang w:eastAsia="en-US"/>
        </w:rPr>
        <w:t xml:space="preserve"> significant standardization efforts compared to their single activated BWP counterparts. However, no gain is identified so far. </w:t>
      </w:r>
    </w:p>
    <w:p w14:paraId="1A4795AF" w14:textId="77777777" w:rsidR="00A35130" w:rsidRDefault="00A35130" w:rsidP="00A35130">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1: RAN1 down-selects from Option 2 and Option 3 based on the RAN4 input.  </w:t>
      </w:r>
      <w:r>
        <w:rPr>
          <w:rFonts w:ascii="Times New Roman" w:hAnsi="Times New Roman" w:cs="Times New Roman"/>
          <w:sz w:val="20"/>
          <w:szCs w:val="20"/>
          <w:lang w:eastAsia="en-US"/>
        </w:rPr>
        <w:t xml:space="preserve"> </w:t>
      </w:r>
    </w:p>
    <w:p w14:paraId="316AFA0A" w14:textId="3FCE653A" w:rsidR="00CE3F6C" w:rsidRDefault="00CE3F6C" w:rsidP="00CE3F6C">
      <w:pPr>
        <w:pStyle w:val="BodyText"/>
        <w:rPr>
          <w:rFonts w:ascii="Times New Roman" w:hAnsi="Times New Roman" w:cs="Times New Roman"/>
          <w:b/>
          <w:sz w:val="20"/>
          <w:szCs w:val="20"/>
          <w:lang w:eastAsia="en-US"/>
        </w:rPr>
      </w:pPr>
    </w:p>
    <w:p w14:paraId="31B16C63" w14:textId="3BE10729" w:rsidR="001F718F" w:rsidRDefault="001F718F" w:rsidP="001F718F">
      <w:pPr>
        <w:pStyle w:val="Reference"/>
        <w:numPr>
          <w:ilvl w:val="0"/>
          <w:numId w:val="0"/>
        </w:numPr>
        <w:ind w:left="567" w:hanging="567"/>
        <w:rPr>
          <w:rFonts w:ascii="Times New Roman" w:hAnsi="Times New Roman" w:cs="Times New Roman"/>
          <w:sz w:val="20"/>
          <w:szCs w:val="20"/>
          <w:lang w:eastAsia="en-US"/>
        </w:rPr>
      </w:pPr>
    </w:p>
    <w:p w14:paraId="42DC7235" w14:textId="77777777" w:rsidR="001F718F" w:rsidRPr="00CE032F" w:rsidRDefault="001F718F" w:rsidP="001F718F">
      <w:pPr>
        <w:pStyle w:val="Reference"/>
        <w:numPr>
          <w:ilvl w:val="0"/>
          <w:numId w:val="0"/>
        </w:numPr>
        <w:ind w:left="567" w:hanging="567"/>
        <w:rPr>
          <w:rFonts w:ascii="Times New Roman" w:hAnsi="Times New Roman" w:cs="Times New Roman"/>
          <w:sz w:val="20"/>
          <w:szCs w:val="20"/>
          <w:lang w:eastAsia="en-US"/>
        </w:rPr>
      </w:pPr>
    </w:p>
    <w:sectPr w:rsidR="001F718F" w:rsidRPr="00CE032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8D793C" w16cid:durableId="1F849394"/>
  <w16cid:commentId w16cid:paraId="1D7D4BFC" w16cid:durableId="1F849395"/>
  <w16cid:commentId w16cid:paraId="3979F255" w16cid:durableId="1F846C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F5C8A" w14:textId="77777777" w:rsidR="004C2D6E" w:rsidRDefault="004C2D6E">
      <w:r>
        <w:separator/>
      </w:r>
    </w:p>
  </w:endnote>
  <w:endnote w:type="continuationSeparator" w:id="0">
    <w:p w14:paraId="0A7863F6" w14:textId="77777777" w:rsidR="004C2D6E" w:rsidRDefault="004C2D6E">
      <w:r>
        <w:continuationSeparator/>
      </w:r>
    </w:p>
  </w:endnote>
  <w:endnote w:type="continuationNotice" w:id="1">
    <w:p w14:paraId="4C650F93" w14:textId="77777777" w:rsidR="004C2D6E" w:rsidRDefault="004C2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08EEEA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42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42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C4EBE" w14:textId="77777777" w:rsidR="004C2D6E" w:rsidRDefault="004C2D6E">
      <w:r>
        <w:separator/>
      </w:r>
    </w:p>
  </w:footnote>
  <w:footnote w:type="continuationSeparator" w:id="0">
    <w:p w14:paraId="42E214DF" w14:textId="77777777" w:rsidR="004C2D6E" w:rsidRDefault="004C2D6E">
      <w:r>
        <w:continuationSeparator/>
      </w:r>
    </w:p>
  </w:footnote>
  <w:footnote w:type="continuationNotice" w:id="1">
    <w:p w14:paraId="2EF5A06A" w14:textId="77777777" w:rsidR="004C2D6E" w:rsidRDefault="004C2D6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E15FD5"/>
    <w:multiLevelType w:val="hybridMultilevel"/>
    <w:tmpl w:val="7DD0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5"/>
  </w:num>
  <w:num w:numId="2">
    <w:abstractNumId w:val="19"/>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6"/>
  </w:num>
  <w:num w:numId="15">
    <w:abstractNumId w:val="25"/>
  </w:num>
  <w:num w:numId="16">
    <w:abstractNumId w:val="21"/>
    <w:lvlOverride w:ilvl="0">
      <w:startOverride w:val="1"/>
    </w:lvlOverride>
  </w:num>
  <w:num w:numId="17">
    <w:abstractNumId w:val="14"/>
    <w:lvlOverride w:ilvl="0">
      <w:startOverride w:val="1"/>
    </w:lvlOverride>
  </w:num>
  <w:num w:numId="18">
    <w:abstractNumId w:val="21"/>
    <w:lvlOverride w:ilvl="0">
      <w:startOverride w:val="1"/>
    </w:lvlOverride>
  </w:num>
  <w:num w:numId="19">
    <w:abstractNumId w:val="24"/>
  </w:num>
  <w:num w:numId="20">
    <w:abstractNumId w:val="21"/>
    <w:lvlOverride w:ilvl="0">
      <w:startOverride w:val="1"/>
    </w:lvlOverride>
  </w:num>
  <w:num w:numId="21">
    <w:abstractNumId w:val="14"/>
    <w:lvlOverride w:ilvl="0">
      <w:startOverride w:val="1"/>
    </w:lvlOverride>
  </w:num>
  <w:num w:numId="22">
    <w:abstractNumId w:val="28"/>
  </w:num>
  <w:num w:numId="23">
    <w:abstractNumId w:val="21"/>
    <w:lvlOverride w:ilvl="0">
      <w:startOverride w:val="1"/>
    </w:lvlOverride>
  </w:num>
  <w:num w:numId="24">
    <w:abstractNumId w:val="14"/>
    <w:lvlOverride w:ilvl="0">
      <w:startOverride w:val="1"/>
    </w:lvlOverride>
  </w:num>
  <w:num w:numId="25">
    <w:abstractNumId w:val="14"/>
  </w:num>
  <w:num w:numId="26">
    <w:abstractNumId w:val="14"/>
  </w:num>
  <w:num w:numId="27">
    <w:abstractNumId w:val="14"/>
  </w:num>
  <w:num w:numId="28">
    <w:abstractNumId w:val="14"/>
  </w:num>
  <w:num w:numId="29">
    <w:abstractNumId w:val="19"/>
  </w:num>
  <w:num w:numId="30">
    <w:abstractNumId w:val="17"/>
  </w:num>
  <w:num w:numId="31">
    <w:abstractNumId w:val="31"/>
  </w:num>
  <w:num w:numId="32">
    <w:abstractNumId w:val="6"/>
  </w:num>
  <w:num w:numId="33">
    <w:abstractNumId w:val="7"/>
  </w:num>
  <w:num w:numId="34">
    <w:abstractNumId w:val="30"/>
  </w:num>
  <w:num w:numId="35">
    <w:abstractNumId w:val="20"/>
  </w:num>
  <w:num w:numId="36">
    <w:abstractNumId w:val="22"/>
  </w:num>
  <w:num w:numId="37">
    <w:abstractNumId w:val="8"/>
  </w:num>
  <w:num w:numId="38">
    <w:abstractNumId w:val="12"/>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num>
  <w:num w:numId="41">
    <w:abstractNumId w:val="14"/>
  </w:num>
  <w:num w:numId="42">
    <w:abstractNumId w:val="14"/>
  </w:num>
  <w:num w:numId="43">
    <w:abstractNumId w:val="14"/>
  </w:num>
  <w:num w:numId="44">
    <w:abstractNumId w:val="26"/>
  </w:num>
  <w:num w:numId="45">
    <w:abstractNumId w:val="29"/>
  </w:num>
  <w:num w:numId="46">
    <w:abstractNumId w:val="27"/>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08"/>
    <w:rsid w:val="0002609C"/>
    <w:rsid w:val="00027939"/>
    <w:rsid w:val="000302D0"/>
    <w:rsid w:val="000325B8"/>
    <w:rsid w:val="00033F83"/>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3C67"/>
    <w:rsid w:val="0006487E"/>
    <w:rsid w:val="00065E1A"/>
    <w:rsid w:val="00067548"/>
    <w:rsid w:val="00072D36"/>
    <w:rsid w:val="00075168"/>
    <w:rsid w:val="00077E5F"/>
    <w:rsid w:val="0008036A"/>
    <w:rsid w:val="00081AE6"/>
    <w:rsid w:val="00082017"/>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8C3"/>
    <w:rsid w:val="000B61E9"/>
    <w:rsid w:val="000B7068"/>
    <w:rsid w:val="000B7CF7"/>
    <w:rsid w:val="000C0B03"/>
    <w:rsid w:val="000C0F46"/>
    <w:rsid w:val="000C165A"/>
    <w:rsid w:val="000C2E19"/>
    <w:rsid w:val="000C302A"/>
    <w:rsid w:val="000C3084"/>
    <w:rsid w:val="000C3BB5"/>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3AF3"/>
    <w:rsid w:val="000F3BE9"/>
    <w:rsid w:val="000F3F6C"/>
    <w:rsid w:val="000F5C00"/>
    <w:rsid w:val="000F6DF3"/>
    <w:rsid w:val="001005FF"/>
    <w:rsid w:val="001062FB"/>
    <w:rsid w:val="001063E6"/>
    <w:rsid w:val="00107197"/>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DAF"/>
    <w:rsid w:val="00131EC3"/>
    <w:rsid w:val="00132FD0"/>
    <w:rsid w:val="00133CEB"/>
    <w:rsid w:val="001344C0"/>
    <w:rsid w:val="001346FA"/>
    <w:rsid w:val="00135252"/>
    <w:rsid w:val="00135588"/>
    <w:rsid w:val="00137194"/>
    <w:rsid w:val="00137AB5"/>
    <w:rsid w:val="00137ED0"/>
    <w:rsid w:val="00137F0B"/>
    <w:rsid w:val="001406B8"/>
    <w:rsid w:val="001416F8"/>
    <w:rsid w:val="00141A7D"/>
    <w:rsid w:val="00145D40"/>
    <w:rsid w:val="00146270"/>
    <w:rsid w:val="00146AD8"/>
    <w:rsid w:val="00151723"/>
    <w:rsid w:val="00151E23"/>
    <w:rsid w:val="001526E0"/>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71A1F"/>
    <w:rsid w:val="00171D4D"/>
    <w:rsid w:val="00171D60"/>
    <w:rsid w:val="00173A8E"/>
    <w:rsid w:val="0017489D"/>
    <w:rsid w:val="00177795"/>
    <w:rsid w:val="00180D4C"/>
    <w:rsid w:val="0018143F"/>
    <w:rsid w:val="00181887"/>
    <w:rsid w:val="00184585"/>
    <w:rsid w:val="00190AC1"/>
    <w:rsid w:val="001928DE"/>
    <w:rsid w:val="00192C10"/>
    <w:rsid w:val="0019341A"/>
    <w:rsid w:val="00195520"/>
    <w:rsid w:val="001963B6"/>
    <w:rsid w:val="00197BC4"/>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4DA8"/>
    <w:rsid w:val="00215423"/>
    <w:rsid w:val="002158FA"/>
    <w:rsid w:val="00216564"/>
    <w:rsid w:val="00216EB1"/>
    <w:rsid w:val="002202E1"/>
    <w:rsid w:val="00220600"/>
    <w:rsid w:val="00221997"/>
    <w:rsid w:val="002224DB"/>
    <w:rsid w:val="00222DEF"/>
    <w:rsid w:val="00223FCB"/>
    <w:rsid w:val="002252C3"/>
    <w:rsid w:val="00225C54"/>
    <w:rsid w:val="00225E7C"/>
    <w:rsid w:val="002261EF"/>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4378"/>
    <w:rsid w:val="002558D7"/>
    <w:rsid w:val="00257543"/>
    <w:rsid w:val="00257F88"/>
    <w:rsid w:val="00261285"/>
    <w:rsid w:val="002617E7"/>
    <w:rsid w:val="00261FC8"/>
    <w:rsid w:val="00264109"/>
    <w:rsid w:val="00264228"/>
    <w:rsid w:val="00264334"/>
    <w:rsid w:val="0026473E"/>
    <w:rsid w:val="00266214"/>
    <w:rsid w:val="00267C58"/>
    <w:rsid w:val="00267C83"/>
    <w:rsid w:val="0027144F"/>
    <w:rsid w:val="00271F3A"/>
    <w:rsid w:val="0027208A"/>
    <w:rsid w:val="00272796"/>
    <w:rsid w:val="00273278"/>
    <w:rsid w:val="002737F4"/>
    <w:rsid w:val="0027455E"/>
    <w:rsid w:val="00275CAD"/>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6F0"/>
    <w:rsid w:val="002B0B1F"/>
    <w:rsid w:val="002B24D6"/>
    <w:rsid w:val="002B2CC5"/>
    <w:rsid w:val="002B467E"/>
    <w:rsid w:val="002B47B7"/>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637"/>
    <w:rsid w:val="002E14D6"/>
    <w:rsid w:val="002E17F2"/>
    <w:rsid w:val="002E3CAE"/>
    <w:rsid w:val="002E3DED"/>
    <w:rsid w:val="002E64DB"/>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60DE"/>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4708"/>
    <w:rsid w:val="00335858"/>
    <w:rsid w:val="00335A88"/>
    <w:rsid w:val="0033621A"/>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1478"/>
    <w:rsid w:val="0036161E"/>
    <w:rsid w:val="00362DE3"/>
    <w:rsid w:val="00365A6D"/>
    <w:rsid w:val="00366717"/>
    <w:rsid w:val="00366D3B"/>
    <w:rsid w:val="003670B6"/>
    <w:rsid w:val="00370E47"/>
    <w:rsid w:val="003714E8"/>
    <w:rsid w:val="003735E5"/>
    <w:rsid w:val="003742AC"/>
    <w:rsid w:val="00374C70"/>
    <w:rsid w:val="00375204"/>
    <w:rsid w:val="003768C5"/>
    <w:rsid w:val="00377CE1"/>
    <w:rsid w:val="00385BF0"/>
    <w:rsid w:val="0038629C"/>
    <w:rsid w:val="00387618"/>
    <w:rsid w:val="00387BA7"/>
    <w:rsid w:val="00390264"/>
    <w:rsid w:val="003939FF"/>
    <w:rsid w:val="00396A2D"/>
    <w:rsid w:val="00397681"/>
    <w:rsid w:val="003A127C"/>
    <w:rsid w:val="003A2223"/>
    <w:rsid w:val="003A23C7"/>
    <w:rsid w:val="003A254F"/>
    <w:rsid w:val="003A2A0F"/>
    <w:rsid w:val="003A369D"/>
    <w:rsid w:val="003A45A1"/>
    <w:rsid w:val="003A5B0A"/>
    <w:rsid w:val="003A6BAC"/>
    <w:rsid w:val="003A7EF3"/>
    <w:rsid w:val="003B159C"/>
    <w:rsid w:val="003B2930"/>
    <w:rsid w:val="003B2D90"/>
    <w:rsid w:val="003B369F"/>
    <w:rsid w:val="003B36A3"/>
    <w:rsid w:val="003B4D22"/>
    <w:rsid w:val="003B4F17"/>
    <w:rsid w:val="003B608D"/>
    <w:rsid w:val="003B72A4"/>
    <w:rsid w:val="003B7FE5"/>
    <w:rsid w:val="003C0766"/>
    <w:rsid w:val="003C10D1"/>
    <w:rsid w:val="003C11C8"/>
    <w:rsid w:val="003C1869"/>
    <w:rsid w:val="003C2702"/>
    <w:rsid w:val="003C2F3A"/>
    <w:rsid w:val="003C383A"/>
    <w:rsid w:val="003C4788"/>
    <w:rsid w:val="003C7806"/>
    <w:rsid w:val="003D03A4"/>
    <w:rsid w:val="003D109F"/>
    <w:rsid w:val="003D1E65"/>
    <w:rsid w:val="003D2478"/>
    <w:rsid w:val="003D2D9C"/>
    <w:rsid w:val="003D2FC4"/>
    <w:rsid w:val="003D387A"/>
    <w:rsid w:val="003D3C45"/>
    <w:rsid w:val="003D4532"/>
    <w:rsid w:val="003D5B1F"/>
    <w:rsid w:val="003D5E2C"/>
    <w:rsid w:val="003E10E7"/>
    <w:rsid w:val="003E15FA"/>
    <w:rsid w:val="003E21B4"/>
    <w:rsid w:val="003E3CA5"/>
    <w:rsid w:val="003E45F5"/>
    <w:rsid w:val="003E4EAD"/>
    <w:rsid w:val="003E55E4"/>
    <w:rsid w:val="003E5613"/>
    <w:rsid w:val="003E6588"/>
    <w:rsid w:val="003E74E3"/>
    <w:rsid w:val="003E75BA"/>
    <w:rsid w:val="003F05C7"/>
    <w:rsid w:val="003F1D11"/>
    <w:rsid w:val="003F1D35"/>
    <w:rsid w:val="003F2CD4"/>
    <w:rsid w:val="003F3088"/>
    <w:rsid w:val="003F38B8"/>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448A"/>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62C8"/>
    <w:rsid w:val="00446488"/>
    <w:rsid w:val="004517AA"/>
    <w:rsid w:val="00451811"/>
    <w:rsid w:val="004521EC"/>
    <w:rsid w:val="00452CAC"/>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5AC8"/>
    <w:rsid w:val="004769FA"/>
    <w:rsid w:val="00476B40"/>
    <w:rsid w:val="00477768"/>
    <w:rsid w:val="004835D6"/>
    <w:rsid w:val="004846D1"/>
    <w:rsid w:val="004850E5"/>
    <w:rsid w:val="00485BC6"/>
    <w:rsid w:val="00492BC5"/>
    <w:rsid w:val="00493F23"/>
    <w:rsid w:val="00494430"/>
    <w:rsid w:val="004961CE"/>
    <w:rsid w:val="004963BF"/>
    <w:rsid w:val="004964F1"/>
    <w:rsid w:val="004970B3"/>
    <w:rsid w:val="004A16BC"/>
    <w:rsid w:val="004A2B94"/>
    <w:rsid w:val="004A7E7F"/>
    <w:rsid w:val="004B155E"/>
    <w:rsid w:val="004B2BC9"/>
    <w:rsid w:val="004B2FD1"/>
    <w:rsid w:val="004B3ACB"/>
    <w:rsid w:val="004B7C0C"/>
    <w:rsid w:val="004C01C8"/>
    <w:rsid w:val="004C2328"/>
    <w:rsid w:val="004C2D6E"/>
    <w:rsid w:val="004C3898"/>
    <w:rsid w:val="004C54C2"/>
    <w:rsid w:val="004C6EDD"/>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7740"/>
    <w:rsid w:val="004F7EA9"/>
    <w:rsid w:val="0050054E"/>
    <w:rsid w:val="00500754"/>
    <w:rsid w:val="00502773"/>
    <w:rsid w:val="0050361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31534"/>
    <w:rsid w:val="00531CAC"/>
    <w:rsid w:val="00531F1D"/>
    <w:rsid w:val="00532546"/>
    <w:rsid w:val="005336B9"/>
    <w:rsid w:val="005338D0"/>
    <w:rsid w:val="005343FA"/>
    <w:rsid w:val="00534B59"/>
    <w:rsid w:val="00536759"/>
    <w:rsid w:val="005369A8"/>
    <w:rsid w:val="00537C62"/>
    <w:rsid w:val="00543336"/>
    <w:rsid w:val="00546970"/>
    <w:rsid w:val="00547A14"/>
    <w:rsid w:val="00547F05"/>
    <w:rsid w:val="0055001B"/>
    <w:rsid w:val="00553715"/>
    <w:rsid w:val="00554E19"/>
    <w:rsid w:val="00555D73"/>
    <w:rsid w:val="005564FC"/>
    <w:rsid w:val="005579C5"/>
    <w:rsid w:val="00561182"/>
    <w:rsid w:val="0056121F"/>
    <w:rsid w:val="00561320"/>
    <w:rsid w:val="00562064"/>
    <w:rsid w:val="0056299D"/>
    <w:rsid w:val="00562A1A"/>
    <w:rsid w:val="0056356C"/>
    <w:rsid w:val="005636E8"/>
    <w:rsid w:val="00572505"/>
    <w:rsid w:val="00572CE8"/>
    <w:rsid w:val="00580202"/>
    <w:rsid w:val="00582746"/>
    <w:rsid w:val="00582809"/>
    <w:rsid w:val="00582A4A"/>
    <w:rsid w:val="00584ABE"/>
    <w:rsid w:val="0058563E"/>
    <w:rsid w:val="005874C6"/>
    <w:rsid w:val="0058798C"/>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B35D7"/>
    <w:rsid w:val="005B392A"/>
    <w:rsid w:val="005B3AA3"/>
    <w:rsid w:val="005B41BD"/>
    <w:rsid w:val="005B4E16"/>
    <w:rsid w:val="005B6F83"/>
    <w:rsid w:val="005C04B6"/>
    <w:rsid w:val="005C25FC"/>
    <w:rsid w:val="005C2995"/>
    <w:rsid w:val="005C32E7"/>
    <w:rsid w:val="005C470A"/>
    <w:rsid w:val="005C493C"/>
    <w:rsid w:val="005C74FB"/>
    <w:rsid w:val="005D1498"/>
    <w:rsid w:val="005D1602"/>
    <w:rsid w:val="005D1A70"/>
    <w:rsid w:val="005D65DE"/>
    <w:rsid w:val="005D6B0B"/>
    <w:rsid w:val="005D7BBD"/>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618C"/>
    <w:rsid w:val="005F70BD"/>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76C5"/>
    <w:rsid w:val="00630001"/>
    <w:rsid w:val="006311B3"/>
    <w:rsid w:val="0063284C"/>
    <w:rsid w:val="00633833"/>
    <w:rsid w:val="0063397D"/>
    <w:rsid w:val="00635F6F"/>
    <w:rsid w:val="00636046"/>
    <w:rsid w:val="00636398"/>
    <w:rsid w:val="006368D3"/>
    <w:rsid w:val="00636A5D"/>
    <w:rsid w:val="006377EC"/>
    <w:rsid w:val="0064151F"/>
    <w:rsid w:val="00641533"/>
    <w:rsid w:val="0064208D"/>
    <w:rsid w:val="0064304C"/>
    <w:rsid w:val="00643475"/>
    <w:rsid w:val="0064396A"/>
    <w:rsid w:val="0064624E"/>
    <w:rsid w:val="00646851"/>
    <w:rsid w:val="00650AB9"/>
    <w:rsid w:val="00650C8A"/>
    <w:rsid w:val="00651393"/>
    <w:rsid w:val="006523F3"/>
    <w:rsid w:val="006528F9"/>
    <w:rsid w:val="00652DCB"/>
    <w:rsid w:val="00654D99"/>
    <w:rsid w:val="00655733"/>
    <w:rsid w:val="00655A53"/>
    <w:rsid w:val="00655ACD"/>
    <w:rsid w:val="00656A92"/>
    <w:rsid w:val="00656DDE"/>
    <w:rsid w:val="0066011D"/>
    <w:rsid w:val="006607C0"/>
    <w:rsid w:val="006613A6"/>
    <w:rsid w:val="006627A2"/>
    <w:rsid w:val="006634E6"/>
    <w:rsid w:val="00663BE6"/>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70D"/>
    <w:rsid w:val="006B5C2B"/>
    <w:rsid w:val="006B5EE4"/>
    <w:rsid w:val="006B67CF"/>
    <w:rsid w:val="006B6BC3"/>
    <w:rsid w:val="006C03B8"/>
    <w:rsid w:val="006C44C2"/>
    <w:rsid w:val="006C5EC9"/>
    <w:rsid w:val="006C6059"/>
    <w:rsid w:val="006C6BE1"/>
    <w:rsid w:val="006C7522"/>
    <w:rsid w:val="006D0580"/>
    <w:rsid w:val="006D2A46"/>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5753"/>
    <w:rsid w:val="00706028"/>
    <w:rsid w:val="00706101"/>
    <w:rsid w:val="00707072"/>
    <w:rsid w:val="00707706"/>
    <w:rsid w:val="00707D61"/>
    <w:rsid w:val="00712287"/>
    <w:rsid w:val="007123B6"/>
    <w:rsid w:val="00712772"/>
    <w:rsid w:val="007146AF"/>
    <w:rsid w:val="007148D3"/>
    <w:rsid w:val="00715B9A"/>
    <w:rsid w:val="0071798B"/>
    <w:rsid w:val="00720376"/>
    <w:rsid w:val="007205B8"/>
    <w:rsid w:val="00721205"/>
    <w:rsid w:val="00721593"/>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2C01"/>
    <w:rsid w:val="007730BD"/>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5C78"/>
    <w:rsid w:val="007A7495"/>
    <w:rsid w:val="007B3D2D"/>
    <w:rsid w:val="007B50AE"/>
    <w:rsid w:val="007B51DF"/>
    <w:rsid w:val="007B5ACB"/>
    <w:rsid w:val="007C05DD"/>
    <w:rsid w:val="007C0A75"/>
    <w:rsid w:val="007C1C0A"/>
    <w:rsid w:val="007C2F4B"/>
    <w:rsid w:val="007C342A"/>
    <w:rsid w:val="007C3D18"/>
    <w:rsid w:val="007C40D0"/>
    <w:rsid w:val="007C528D"/>
    <w:rsid w:val="007C60BF"/>
    <w:rsid w:val="007C6A07"/>
    <w:rsid w:val="007C75A1"/>
    <w:rsid w:val="007C77A5"/>
    <w:rsid w:val="007D04E5"/>
    <w:rsid w:val="007D29A3"/>
    <w:rsid w:val="007D3941"/>
    <w:rsid w:val="007D3AD2"/>
    <w:rsid w:val="007D3FDF"/>
    <w:rsid w:val="007D5901"/>
    <w:rsid w:val="007D65C4"/>
    <w:rsid w:val="007D7526"/>
    <w:rsid w:val="007E050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80049D"/>
    <w:rsid w:val="00802DCA"/>
    <w:rsid w:val="008036DF"/>
    <w:rsid w:val="00803B8A"/>
    <w:rsid w:val="00803FAE"/>
    <w:rsid w:val="0080605F"/>
    <w:rsid w:val="00807786"/>
    <w:rsid w:val="0081055B"/>
    <w:rsid w:val="00811505"/>
    <w:rsid w:val="00811FCB"/>
    <w:rsid w:val="008144B9"/>
    <w:rsid w:val="008158D6"/>
    <w:rsid w:val="0081606D"/>
    <w:rsid w:val="00817196"/>
    <w:rsid w:val="00817EDE"/>
    <w:rsid w:val="00821D89"/>
    <w:rsid w:val="00823081"/>
    <w:rsid w:val="008235DB"/>
    <w:rsid w:val="00824AB4"/>
    <w:rsid w:val="00824B72"/>
    <w:rsid w:val="00825C42"/>
    <w:rsid w:val="00825D25"/>
    <w:rsid w:val="00827D6F"/>
    <w:rsid w:val="00827E1A"/>
    <w:rsid w:val="008311F3"/>
    <w:rsid w:val="00831210"/>
    <w:rsid w:val="00832D13"/>
    <w:rsid w:val="0083765F"/>
    <w:rsid w:val="008376AC"/>
    <w:rsid w:val="0084116C"/>
    <w:rsid w:val="00841CB3"/>
    <w:rsid w:val="00842451"/>
    <w:rsid w:val="008444E8"/>
    <w:rsid w:val="00844E80"/>
    <w:rsid w:val="00846834"/>
    <w:rsid w:val="00846FE7"/>
    <w:rsid w:val="00847403"/>
    <w:rsid w:val="00847FC4"/>
    <w:rsid w:val="008504A2"/>
    <w:rsid w:val="00850CEC"/>
    <w:rsid w:val="00850E9E"/>
    <w:rsid w:val="0085247B"/>
    <w:rsid w:val="00854B3A"/>
    <w:rsid w:val="00856911"/>
    <w:rsid w:val="00857C84"/>
    <w:rsid w:val="00860458"/>
    <w:rsid w:val="008628C0"/>
    <w:rsid w:val="00865044"/>
    <w:rsid w:val="00865151"/>
    <w:rsid w:val="00865698"/>
    <w:rsid w:val="0086740A"/>
    <w:rsid w:val="0086758D"/>
    <w:rsid w:val="008677FD"/>
    <w:rsid w:val="008706D4"/>
    <w:rsid w:val="00870F8A"/>
    <w:rsid w:val="008719A4"/>
    <w:rsid w:val="00871D23"/>
    <w:rsid w:val="00873C26"/>
    <w:rsid w:val="00874312"/>
    <w:rsid w:val="0087437C"/>
    <w:rsid w:val="00875CD7"/>
    <w:rsid w:val="0087646B"/>
    <w:rsid w:val="00876B4D"/>
    <w:rsid w:val="00877F18"/>
    <w:rsid w:val="0088016B"/>
    <w:rsid w:val="008803CA"/>
    <w:rsid w:val="00884366"/>
    <w:rsid w:val="008864B9"/>
    <w:rsid w:val="0089173C"/>
    <w:rsid w:val="00893C6A"/>
    <w:rsid w:val="008940F7"/>
    <w:rsid w:val="00894A88"/>
    <w:rsid w:val="00895386"/>
    <w:rsid w:val="00895660"/>
    <w:rsid w:val="00897036"/>
    <w:rsid w:val="00897414"/>
    <w:rsid w:val="008A0628"/>
    <w:rsid w:val="008A21FF"/>
    <w:rsid w:val="008A2CE2"/>
    <w:rsid w:val="008A30AC"/>
    <w:rsid w:val="008A44B8"/>
    <w:rsid w:val="008A4CCF"/>
    <w:rsid w:val="008A4CE0"/>
    <w:rsid w:val="008A51A8"/>
    <w:rsid w:val="008A54C7"/>
    <w:rsid w:val="008A77D8"/>
    <w:rsid w:val="008A7858"/>
    <w:rsid w:val="008B0483"/>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5F6"/>
    <w:rsid w:val="008E065E"/>
    <w:rsid w:val="008E0927"/>
    <w:rsid w:val="008E1909"/>
    <w:rsid w:val="008E1B93"/>
    <w:rsid w:val="008E1D88"/>
    <w:rsid w:val="008E25DF"/>
    <w:rsid w:val="008E3445"/>
    <w:rsid w:val="008E6DB3"/>
    <w:rsid w:val="008E76FD"/>
    <w:rsid w:val="008F0B25"/>
    <w:rsid w:val="008F0E93"/>
    <w:rsid w:val="008F109D"/>
    <w:rsid w:val="008F1EAB"/>
    <w:rsid w:val="008F33DC"/>
    <w:rsid w:val="008F477F"/>
    <w:rsid w:val="008F55FE"/>
    <w:rsid w:val="008F6C3F"/>
    <w:rsid w:val="00901380"/>
    <w:rsid w:val="00902350"/>
    <w:rsid w:val="0090336B"/>
    <w:rsid w:val="009053AA"/>
    <w:rsid w:val="00906939"/>
    <w:rsid w:val="00910B7D"/>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40D"/>
    <w:rsid w:val="009579C0"/>
    <w:rsid w:val="00960FEA"/>
    <w:rsid w:val="00961921"/>
    <w:rsid w:val="00961DF7"/>
    <w:rsid w:val="0096430A"/>
    <w:rsid w:val="009646C1"/>
    <w:rsid w:val="00964C30"/>
    <w:rsid w:val="0096554B"/>
    <w:rsid w:val="0096584A"/>
    <w:rsid w:val="00965C53"/>
    <w:rsid w:val="00967A33"/>
    <w:rsid w:val="00970523"/>
    <w:rsid w:val="00971F08"/>
    <w:rsid w:val="009739E6"/>
    <w:rsid w:val="00975997"/>
    <w:rsid w:val="0097603D"/>
    <w:rsid w:val="00976949"/>
    <w:rsid w:val="00980477"/>
    <w:rsid w:val="009827EF"/>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CBA"/>
    <w:rsid w:val="009A72AE"/>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14E0"/>
    <w:rsid w:val="009E35DB"/>
    <w:rsid w:val="009E407B"/>
    <w:rsid w:val="009E47A3"/>
    <w:rsid w:val="009E537B"/>
    <w:rsid w:val="009E5902"/>
    <w:rsid w:val="009E6AA6"/>
    <w:rsid w:val="009E6AC2"/>
    <w:rsid w:val="009E6F0C"/>
    <w:rsid w:val="009F08F3"/>
    <w:rsid w:val="009F1ECE"/>
    <w:rsid w:val="009F344F"/>
    <w:rsid w:val="009F3D98"/>
    <w:rsid w:val="009F4360"/>
    <w:rsid w:val="009F47FE"/>
    <w:rsid w:val="00A00F1F"/>
    <w:rsid w:val="00A032E4"/>
    <w:rsid w:val="00A048A8"/>
    <w:rsid w:val="00A04F49"/>
    <w:rsid w:val="00A0651F"/>
    <w:rsid w:val="00A07855"/>
    <w:rsid w:val="00A10C8A"/>
    <w:rsid w:val="00A11AB7"/>
    <w:rsid w:val="00A1305E"/>
    <w:rsid w:val="00A1364F"/>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5130"/>
    <w:rsid w:val="00A354DD"/>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4D5"/>
    <w:rsid w:val="00A67E6C"/>
    <w:rsid w:val="00A71B99"/>
    <w:rsid w:val="00A739D0"/>
    <w:rsid w:val="00A74E64"/>
    <w:rsid w:val="00A758C5"/>
    <w:rsid w:val="00A761D4"/>
    <w:rsid w:val="00A77EC4"/>
    <w:rsid w:val="00A80BAB"/>
    <w:rsid w:val="00A8392D"/>
    <w:rsid w:val="00A85AE7"/>
    <w:rsid w:val="00A9043E"/>
    <w:rsid w:val="00A908BD"/>
    <w:rsid w:val="00A92879"/>
    <w:rsid w:val="00A93F17"/>
    <w:rsid w:val="00A9442A"/>
    <w:rsid w:val="00A96CC6"/>
    <w:rsid w:val="00AA016F"/>
    <w:rsid w:val="00AA18D0"/>
    <w:rsid w:val="00AA1ED6"/>
    <w:rsid w:val="00AA2677"/>
    <w:rsid w:val="00AA2FDC"/>
    <w:rsid w:val="00AA51D6"/>
    <w:rsid w:val="00AA56AA"/>
    <w:rsid w:val="00AB0BC8"/>
    <w:rsid w:val="00AB11CA"/>
    <w:rsid w:val="00AB14D9"/>
    <w:rsid w:val="00AB1EAE"/>
    <w:rsid w:val="00AB2AA4"/>
    <w:rsid w:val="00AB3A11"/>
    <w:rsid w:val="00AB4AB8"/>
    <w:rsid w:val="00AB655E"/>
    <w:rsid w:val="00AB7AE6"/>
    <w:rsid w:val="00AC007F"/>
    <w:rsid w:val="00AC294B"/>
    <w:rsid w:val="00AC297D"/>
    <w:rsid w:val="00AC2ECD"/>
    <w:rsid w:val="00AC3119"/>
    <w:rsid w:val="00AC4138"/>
    <w:rsid w:val="00AC468A"/>
    <w:rsid w:val="00AC49FB"/>
    <w:rsid w:val="00AC5A10"/>
    <w:rsid w:val="00AC6D53"/>
    <w:rsid w:val="00AD0348"/>
    <w:rsid w:val="00AD0AA3"/>
    <w:rsid w:val="00AD123F"/>
    <w:rsid w:val="00AD3168"/>
    <w:rsid w:val="00AD3F94"/>
    <w:rsid w:val="00AD4A5A"/>
    <w:rsid w:val="00AD7F95"/>
    <w:rsid w:val="00AE0905"/>
    <w:rsid w:val="00AE27AC"/>
    <w:rsid w:val="00AE40E0"/>
    <w:rsid w:val="00AE4DBA"/>
    <w:rsid w:val="00AE4F07"/>
    <w:rsid w:val="00AE62E2"/>
    <w:rsid w:val="00AE7446"/>
    <w:rsid w:val="00AF0DB6"/>
    <w:rsid w:val="00AF1C5D"/>
    <w:rsid w:val="00AF2026"/>
    <w:rsid w:val="00AF42D7"/>
    <w:rsid w:val="00AF43AB"/>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57F9"/>
    <w:rsid w:val="00B167F1"/>
    <w:rsid w:val="00B20256"/>
    <w:rsid w:val="00B20D09"/>
    <w:rsid w:val="00B211B2"/>
    <w:rsid w:val="00B21BE8"/>
    <w:rsid w:val="00B253E6"/>
    <w:rsid w:val="00B2763F"/>
    <w:rsid w:val="00B27AAC"/>
    <w:rsid w:val="00B30591"/>
    <w:rsid w:val="00B30929"/>
    <w:rsid w:val="00B31239"/>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BFF"/>
    <w:rsid w:val="00B51F19"/>
    <w:rsid w:val="00B548DA"/>
    <w:rsid w:val="00B5748F"/>
    <w:rsid w:val="00B6145A"/>
    <w:rsid w:val="00B61615"/>
    <w:rsid w:val="00B61BB1"/>
    <w:rsid w:val="00B61E56"/>
    <w:rsid w:val="00B62AAA"/>
    <w:rsid w:val="00B650C1"/>
    <w:rsid w:val="00B664C7"/>
    <w:rsid w:val="00B666BC"/>
    <w:rsid w:val="00B669AD"/>
    <w:rsid w:val="00B66C81"/>
    <w:rsid w:val="00B67691"/>
    <w:rsid w:val="00B706A1"/>
    <w:rsid w:val="00B70D90"/>
    <w:rsid w:val="00B739F6"/>
    <w:rsid w:val="00B74B6C"/>
    <w:rsid w:val="00B81A6C"/>
    <w:rsid w:val="00B81FDF"/>
    <w:rsid w:val="00B837ED"/>
    <w:rsid w:val="00B85DE5"/>
    <w:rsid w:val="00B90580"/>
    <w:rsid w:val="00B907EA"/>
    <w:rsid w:val="00B90F73"/>
    <w:rsid w:val="00B93188"/>
    <w:rsid w:val="00B93B59"/>
    <w:rsid w:val="00B9406A"/>
    <w:rsid w:val="00B940C7"/>
    <w:rsid w:val="00B959EC"/>
    <w:rsid w:val="00B97D9D"/>
    <w:rsid w:val="00BA04E2"/>
    <w:rsid w:val="00BA181D"/>
    <w:rsid w:val="00BA1FE5"/>
    <w:rsid w:val="00BA2280"/>
    <w:rsid w:val="00BA2A08"/>
    <w:rsid w:val="00BA4150"/>
    <w:rsid w:val="00BA52AA"/>
    <w:rsid w:val="00BA5641"/>
    <w:rsid w:val="00BA56D2"/>
    <w:rsid w:val="00BA76E0"/>
    <w:rsid w:val="00BB2A25"/>
    <w:rsid w:val="00BB346D"/>
    <w:rsid w:val="00BB40A1"/>
    <w:rsid w:val="00BB51BB"/>
    <w:rsid w:val="00BB51E9"/>
    <w:rsid w:val="00BC0C69"/>
    <w:rsid w:val="00BC0E6A"/>
    <w:rsid w:val="00BC0FDC"/>
    <w:rsid w:val="00BC1DBA"/>
    <w:rsid w:val="00BC1DEE"/>
    <w:rsid w:val="00BC29AB"/>
    <w:rsid w:val="00BC3053"/>
    <w:rsid w:val="00BC4D2E"/>
    <w:rsid w:val="00BC6412"/>
    <w:rsid w:val="00BC762C"/>
    <w:rsid w:val="00BD48AC"/>
    <w:rsid w:val="00BD5F1A"/>
    <w:rsid w:val="00BD63B6"/>
    <w:rsid w:val="00BE00AA"/>
    <w:rsid w:val="00BE0792"/>
    <w:rsid w:val="00BE1234"/>
    <w:rsid w:val="00BE23A9"/>
    <w:rsid w:val="00BE2D8C"/>
    <w:rsid w:val="00BE2FA6"/>
    <w:rsid w:val="00BE32F5"/>
    <w:rsid w:val="00BE333F"/>
    <w:rsid w:val="00BE7406"/>
    <w:rsid w:val="00BE7603"/>
    <w:rsid w:val="00BF058E"/>
    <w:rsid w:val="00BF0B1D"/>
    <w:rsid w:val="00BF16CF"/>
    <w:rsid w:val="00BF20C7"/>
    <w:rsid w:val="00BF3279"/>
    <w:rsid w:val="00BF74C7"/>
    <w:rsid w:val="00C00DEB"/>
    <w:rsid w:val="00C015F1"/>
    <w:rsid w:val="00C0173E"/>
    <w:rsid w:val="00C01973"/>
    <w:rsid w:val="00C01F33"/>
    <w:rsid w:val="00C02CC6"/>
    <w:rsid w:val="00C040F7"/>
    <w:rsid w:val="00C041B0"/>
    <w:rsid w:val="00C044AB"/>
    <w:rsid w:val="00C055AB"/>
    <w:rsid w:val="00C05706"/>
    <w:rsid w:val="00C07377"/>
    <w:rsid w:val="00C10478"/>
    <w:rsid w:val="00C11122"/>
    <w:rsid w:val="00C1189B"/>
    <w:rsid w:val="00C11B5A"/>
    <w:rsid w:val="00C12107"/>
    <w:rsid w:val="00C12C66"/>
    <w:rsid w:val="00C145B6"/>
    <w:rsid w:val="00C14D4B"/>
    <w:rsid w:val="00C154BB"/>
    <w:rsid w:val="00C20190"/>
    <w:rsid w:val="00C223E6"/>
    <w:rsid w:val="00C23971"/>
    <w:rsid w:val="00C24DFB"/>
    <w:rsid w:val="00C26FAA"/>
    <w:rsid w:val="00C279B5"/>
    <w:rsid w:val="00C27C45"/>
    <w:rsid w:val="00C27E0C"/>
    <w:rsid w:val="00C30437"/>
    <w:rsid w:val="00C317A7"/>
    <w:rsid w:val="00C34167"/>
    <w:rsid w:val="00C3719D"/>
    <w:rsid w:val="00C372D0"/>
    <w:rsid w:val="00C41A9D"/>
    <w:rsid w:val="00C43C3B"/>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56D5"/>
    <w:rsid w:val="00C86997"/>
    <w:rsid w:val="00C87CDD"/>
    <w:rsid w:val="00C9027A"/>
    <w:rsid w:val="00C905DF"/>
    <w:rsid w:val="00C9068E"/>
    <w:rsid w:val="00C9363F"/>
    <w:rsid w:val="00C93C4B"/>
    <w:rsid w:val="00C94175"/>
    <w:rsid w:val="00C944AB"/>
    <w:rsid w:val="00C9451D"/>
    <w:rsid w:val="00C9474E"/>
    <w:rsid w:val="00C95B40"/>
    <w:rsid w:val="00C968EC"/>
    <w:rsid w:val="00C9793A"/>
    <w:rsid w:val="00C97B29"/>
    <w:rsid w:val="00CA0805"/>
    <w:rsid w:val="00CA0A10"/>
    <w:rsid w:val="00CA1ED8"/>
    <w:rsid w:val="00CA61FB"/>
    <w:rsid w:val="00CA6CFD"/>
    <w:rsid w:val="00CA7170"/>
    <w:rsid w:val="00CB0DE9"/>
    <w:rsid w:val="00CB1F63"/>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339E"/>
    <w:rsid w:val="00D0349B"/>
    <w:rsid w:val="00D03CBF"/>
    <w:rsid w:val="00D04434"/>
    <w:rsid w:val="00D04BD0"/>
    <w:rsid w:val="00D1001F"/>
    <w:rsid w:val="00D10249"/>
    <w:rsid w:val="00D115C3"/>
    <w:rsid w:val="00D11897"/>
    <w:rsid w:val="00D11F71"/>
    <w:rsid w:val="00D13135"/>
    <w:rsid w:val="00D13ABF"/>
    <w:rsid w:val="00D13E4E"/>
    <w:rsid w:val="00D15089"/>
    <w:rsid w:val="00D1723B"/>
    <w:rsid w:val="00D215AD"/>
    <w:rsid w:val="00D22874"/>
    <w:rsid w:val="00D239A7"/>
    <w:rsid w:val="00D23F47"/>
    <w:rsid w:val="00D2503E"/>
    <w:rsid w:val="00D25B3F"/>
    <w:rsid w:val="00D3005B"/>
    <w:rsid w:val="00D3101D"/>
    <w:rsid w:val="00D32166"/>
    <w:rsid w:val="00D35234"/>
    <w:rsid w:val="00D36E71"/>
    <w:rsid w:val="00D37D87"/>
    <w:rsid w:val="00D40B33"/>
    <w:rsid w:val="00D426CB"/>
    <w:rsid w:val="00D4318F"/>
    <w:rsid w:val="00D438BF"/>
    <w:rsid w:val="00D440F8"/>
    <w:rsid w:val="00D45637"/>
    <w:rsid w:val="00D46FA5"/>
    <w:rsid w:val="00D501A9"/>
    <w:rsid w:val="00D51446"/>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A8B"/>
    <w:rsid w:val="00D76F86"/>
    <w:rsid w:val="00D77B1D"/>
    <w:rsid w:val="00D8021F"/>
    <w:rsid w:val="00D80383"/>
    <w:rsid w:val="00D815D6"/>
    <w:rsid w:val="00D8203B"/>
    <w:rsid w:val="00D823C6"/>
    <w:rsid w:val="00D83426"/>
    <w:rsid w:val="00D85EF7"/>
    <w:rsid w:val="00D86CA3"/>
    <w:rsid w:val="00D871CE"/>
    <w:rsid w:val="00D9196D"/>
    <w:rsid w:val="00D920A7"/>
    <w:rsid w:val="00D92982"/>
    <w:rsid w:val="00D95A22"/>
    <w:rsid w:val="00D965C0"/>
    <w:rsid w:val="00DA0701"/>
    <w:rsid w:val="00DA305E"/>
    <w:rsid w:val="00DA5007"/>
    <w:rsid w:val="00DA536E"/>
    <w:rsid w:val="00DA5417"/>
    <w:rsid w:val="00DA56E8"/>
    <w:rsid w:val="00DA67A6"/>
    <w:rsid w:val="00DB06D8"/>
    <w:rsid w:val="00DB0A9F"/>
    <w:rsid w:val="00DB377D"/>
    <w:rsid w:val="00DB7182"/>
    <w:rsid w:val="00DC21E1"/>
    <w:rsid w:val="00DC2396"/>
    <w:rsid w:val="00DC2D36"/>
    <w:rsid w:val="00DC33E4"/>
    <w:rsid w:val="00DC3DD8"/>
    <w:rsid w:val="00DC53EF"/>
    <w:rsid w:val="00DC552C"/>
    <w:rsid w:val="00DC6D71"/>
    <w:rsid w:val="00DC7FEA"/>
    <w:rsid w:val="00DD1F9F"/>
    <w:rsid w:val="00DD7867"/>
    <w:rsid w:val="00DE3A33"/>
    <w:rsid w:val="00DE5608"/>
    <w:rsid w:val="00DE58D0"/>
    <w:rsid w:val="00DE654F"/>
    <w:rsid w:val="00DF0B6E"/>
    <w:rsid w:val="00DF15E0"/>
    <w:rsid w:val="00DF20A7"/>
    <w:rsid w:val="00DF37A0"/>
    <w:rsid w:val="00DF5C56"/>
    <w:rsid w:val="00E008FB"/>
    <w:rsid w:val="00E009BE"/>
    <w:rsid w:val="00E02CFE"/>
    <w:rsid w:val="00E05B34"/>
    <w:rsid w:val="00E110E7"/>
    <w:rsid w:val="00E11B20"/>
    <w:rsid w:val="00E141E3"/>
    <w:rsid w:val="00E156FA"/>
    <w:rsid w:val="00E174CA"/>
    <w:rsid w:val="00E17970"/>
    <w:rsid w:val="00E17B45"/>
    <w:rsid w:val="00E17FA2"/>
    <w:rsid w:val="00E22330"/>
    <w:rsid w:val="00E25B80"/>
    <w:rsid w:val="00E30776"/>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2E0"/>
    <w:rsid w:val="00E37860"/>
    <w:rsid w:val="00E446F1"/>
    <w:rsid w:val="00E44B94"/>
    <w:rsid w:val="00E46886"/>
    <w:rsid w:val="00E47AEF"/>
    <w:rsid w:val="00E52397"/>
    <w:rsid w:val="00E53037"/>
    <w:rsid w:val="00E53B29"/>
    <w:rsid w:val="00E53B75"/>
    <w:rsid w:val="00E54E3B"/>
    <w:rsid w:val="00E557CC"/>
    <w:rsid w:val="00E57565"/>
    <w:rsid w:val="00E57A1C"/>
    <w:rsid w:val="00E604AE"/>
    <w:rsid w:val="00E62B73"/>
    <w:rsid w:val="00E63838"/>
    <w:rsid w:val="00E64022"/>
    <w:rsid w:val="00E64434"/>
    <w:rsid w:val="00E67C51"/>
    <w:rsid w:val="00E70D86"/>
    <w:rsid w:val="00E72EFC"/>
    <w:rsid w:val="00E758EC"/>
    <w:rsid w:val="00E7599C"/>
    <w:rsid w:val="00E76569"/>
    <w:rsid w:val="00E81B9B"/>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22C9"/>
    <w:rsid w:val="00EE25E7"/>
    <w:rsid w:val="00EE57B6"/>
    <w:rsid w:val="00EE6379"/>
    <w:rsid w:val="00EE6561"/>
    <w:rsid w:val="00EF0038"/>
    <w:rsid w:val="00EF10BC"/>
    <w:rsid w:val="00EF18FE"/>
    <w:rsid w:val="00EF2E6C"/>
    <w:rsid w:val="00EF2EE3"/>
    <w:rsid w:val="00EF5787"/>
    <w:rsid w:val="00EF60D0"/>
    <w:rsid w:val="00EF669D"/>
    <w:rsid w:val="00EF7136"/>
    <w:rsid w:val="00F0201B"/>
    <w:rsid w:val="00F020A9"/>
    <w:rsid w:val="00F03E8C"/>
    <w:rsid w:val="00F0528D"/>
    <w:rsid w:val="00F06C67"/>
    <w:rsid w:val="00F06DFD"/>
    <w:rsid w:val="00F071D1"/>
    <w:rsid w:val="00F07533"/>
    <w:rsid w:val="00F100FF"/>
    <w:rsid w:val="00F10629"/>
    <w:rsid w:val="00F11A7A"/>
    <w:rsid w:val="00F15FA5"/>
    <w:rsid w:val="00F1625B"/>
    <w:rsid w:val="00F209B7"/>
    <w:rsid w:val="00F20C4B"/>
    <w:rsid w:val="00F21C47"/>
    <w:rsid w:val="00F2376F"/>
    <w:rsid w:val="00F243D8"/>
    <w:rsid w:val="00F24E55"/>
    <w:rsid w:val="00F30828"/>
    <w:rsid w:val="00F30E66"/>
    <w:rsid w:val="00F313D6"/>
    <w:rsid w:val="00F31E10"/>
    <w:rsid w:val="00F33DF2"/>
    <w:rsid w:val="00F34D6D"/>
    <w:rsid w:val="00F40806"/>
    <w:rsid w:val="00F40C33"/>
    <w:rsid w:val="00F40F0C"/>
    <w:rsid w:val="00F4350D"/>
    <w:rsid w:val="00F4352A"/>
    <w:rsid w:val="00F4766C"/>
    <w:rsid w:val="00F47D9C"/>
    <w:rsid w:val="00F507D1"/>
    <w:rsid w:val="00F519CE"/>
    <w:rsid w:val="00F51ADA"/>
    <w:rsid w:val="00F51CB3"/>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8DC"/>
    <w:rsid w:val="00F96985"/>
    <w:rsid w:val="00F96EAE"/>
    <w:rsid w:val="00F96EFF"/>
    <w:rsid w:val="00F97838"/>
    <w:rsid w:val="00F97BE1"/>
    <w:rsid w:val="00FA05D5"/>
    <w:rsid w:val="00FA0C03"/>
    <w:rsid w:val="00FA1A08"/>
    <w:rsid w:val="00FA2BB3"/>
    <w:rsid w:val="00FA5D49"/>
    <w:rsid w:val="00FA7B90"/>
    <w:rsid w:val="00FB005F"/>
    <w:rsid w:val="00FB2583"/>
    <w:rsid w:val="00FB3D52"/>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74DB"/>
    <w:rsid w:val="00FD7660"/>
    <w:rsid w:val="00FE0655"/>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426"/>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834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42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44"/>
      </w:numPr>
      <w:spacing w:after="0"/>
    </w:pPr>
    <w:rPr>
      <w:szCs w:val="24"/>
    </w:rPr>
  </w:style>
  <w:style w:type="paragraph" w:customStyle="1" w:styleId="bullet2">
    <w:name w:val="bullet2"/>
    <w:basedOn w:val="text"/>
    <w:link w:val="bullet2Char"/>
    <w:qFormat/>
    <w:rsid w:val="00305D11"/>
    <w:pPr>
      <w:numPr>
        <w:ilvl w:val="1"/>
        <w:numId w:val="44"/>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44"/>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44"/>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460107DC-5761-40F6-8E1B-3112A03859E6}">
  <ds:schemaRefs>
    <ds:schemaRef ds:uri="http://purl.org/dc/terms/"/>
    <ds:schemaRef ds:uri="http://schemas.microsoft.com/office/2006/documentManagement/types"/>
    <ds:schemaRef ds:uri="http://schemas.microsoft.com/sharepoint/v4"/>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789c8df-cd92-43c1-8a83-195dbc0f0a0a"/>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3AFAEB33-F200-46DE-8BC4-5E33DDE8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1207</Words>
  <Characters>6109</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2</cp:revision>
  <cp:lastPrinted>2008-01-31T06:09:00Z</cp:lastPrinted>
  <dcterms:created xsi:type="dcterms:W3CDTF">2018-11-02T16:26:00Z</dcterms:created>
  <dcterms:modified xsi:type="dcterms:W3CDTF">2018-11-02T16:26:00Z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