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039A" w:rsidRPr="0002651C" w:rsidRDefault="00F7039A" w:rsidP="00B12B1E">
      <w:pPr>
        <w:pStyle w:val="Header"/>
        <w:tabs>
          <w:tab w:val="right" w:pos="9639"/>
        </w:tabs>
        <w:jc w:val="both"/>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Meeting </w:t>
      </w:r>
      <w:r w:rsidR="001A20CF">
        <w:rPr>
          <w:noProof w:val="0"/>
          <w:sz w:val="24"/>
          <w:lang w:val="en-GB"/>
        </w:rPr>
        <w:t>#9</w:t>
      </w:r>
      <w:r w:rsidR="00FC7FF0">
        <w:rPr>
          <w:noProof w:val="0"/>
          <w:sz w:val="24"/>
          <w:lang w:val="en-GB"/>
        </w:rPr>
        <w:t>5</w:t>
      </w:r>
      <w:r w:rsidRPr="0002651C">
        <w:rPr>
          <w:bCs/>
          <w:noProof w:val="0"/>
          <w:sz w:val="24"/>
          <w:lang w:val="en-GB" w:eastAsia="ja-JP"/>
        </w:rPr>
        <w:tab/>
      </w:r>
      <w:r w:rsidR="009D53A3" w:rsidRPr="009D53A3">
        <w:rPr>
          <w:bCs/>
          <w:noProof w:val="0"/>
          <w:sz w:val="24"/>
          <w:lang w:val="en-GB" w:eastAsia="ja-JP"/>
        </w:rPr>
        <w:t>R1-1813491</w:t>
      </w:r>
    </w:p>
    <w:bookmarkEnd w:id="0"/>
    <w:bookmarkEnd w:id="1"/>
    <w:p w:rsidR="001A20CF" w:rsidRPr="00EA017E" w:rsidRDefault="00FC7FF0" w:rsidP="00B12B1E">
      <w:pPr>
        <w:tabs>
          <w:tab w:val="center" w:pos="4536"/>
          <w:tab w:val="right" w:pos="9072"/>
        </w:tabs>
        <w:jc w:val="both"/>
        <w:rPr>
          <w:rFonts w:ascii="Arial" w:eastAsia="MS Mincho" w:hAnsi="Arial" w:cs="Arial"/>
          <w:b/>
          <w:bCs/>
          <w:sz w:val="24"/>
          <w:szCs w:val="24"/>
          <w:lang w:eastAsia="ja-JP"/>
        </w:rPr>
      </w:pPr>
      <w:r w:rsidRPr="00405CC7">
        <w:rPr>
          <w:rFonts w:ascii="Arial" w:eastAsia="MS Mincho" w:hAnsi="Arial" w:cs="Arial"/>
          <w:b/>
          <w:bCs/>
          <w:sz w:val="24"/>
          <w:lang w:eastAsia="ja-JP"/>
        </w:rPr>
        <w:t>Spokane, USA, November 12</w:t>
      </w:r>
      <w:r w:rsidRPr="00405CC7">
        <w:rPr>
          <w:rFonts w:ascii="Arial" w:eastAsia="MS Mincho" w:hAnsi="Arial" w:cs="Arial"/>
          <w:b/>
          <w:bCs/>
          <w:sz w:val="24"/>
          <w:vertAlign w:val="superscript"/>
          <w:lang w:eastAsia="ja-JP"/>
        </w:rPr>
        <w:t>th</w:t>
      </w:r>
      <w:r w:rsidRPr="00405CC7">
        <w:rPr>
          <w:rFonts w:ascii="Arial" w:eastAsia="MS Mincho" w:hAnsi="Arial" w:cs="Arial"/>
          <w:b/>
          <w:bCs/>
          <w:sz w:val="24"/>
          <w:lang w:eastAsia="ja-JP"/>
        </w:rPr>
        <w:t xml:space="preserve"> – 16</w:t>
      </w:r>
      <w:r w:rsidRPr="00405CC7">
        <w:rPr>
          <w:rFonts w:ascii="Arial" w:eastAsia="MS Mincho" w:hAnsi="Arial" w:cs="Arial"/>
          <w:b/>
          <w:bCs/>
          <w:sz w:val="24"/>
          <w:vertAlign w:val="superscript"/>
          <w:lang w:eastAsia="ja-JP"/>
        </w:rPr>
        <w:t>th</w:t>
      </w:r>
      <w:r w:rsidRPr="00405CC7">
        <w:rPr>
          <w:rFonts w:ascii="Arial" w:eastAsia="MS Mincho" w:hAnsi="Arial" w:cs="Arial"/>
          <w:b/>
          <w:bCs/>
          <w:sz w:val="24"/>
          <w:lang w:eastAsia="ja-JP"/>
        </w:rPr>
        <w:t>, 2018</w:t>
      </w:r>
      <w:r w:rsidR="00EA017E" w:rsidRPr="00EA017E">
        <w:rPr>
          <w:rFonts w:ascii="Arial" w:eastAsia="MS Mincho" w:hAnsi="Arial" w:cs="Arial"/>
          <w:b/>
          <w:bCs/>
          <w:sz w:val="24"/>
          <w:szCs w:val="24"/>
          <w:lang w:eastAsia="ja-JP"/>
        </w:rPr>
        <w:t xml:space="preserve"> </w:t>
      </w:r>
      <w:r w:rsidR="001A20CF" w:rsidRPr="00EA017E">
        <w:rPr>
          <w:rFonts w:ascii="Arial" w:eastAsia="MS Mincho" w:hAnsi="Arial" w:cs="Arial"/>
          <w:b/>
          <w:bCs/>
          <w:sz w:val="24"/>
          <w:szCs w:val="24"/>
          <w:lang w:eastAsia="ja-JP"/>
        </w:rPr>
        <w:t xml:space="preserve"> </w:t>
      </w:r>
    </w:p>
    <w:p w:rsidR="00787640" w:rsidRPr="007B7496" w:rsidRDefault="00787640" w:rsidP="00B12B1E">
      <w:pPr>
        <w:pStyle w:val="Header"/>
        <w:jc w:val="both"/>
        <w:rPr>
          <w:bCs/>
          <w:noProof w:val="0"/>
          <w:sz w:val="24"/>
          <w:lang w:val="en-GB" w:eastAsia="ja-JP"/>
        </w:rPr>
      </w:pPr>
    </w:p>
    <w:p w:rsidR="00787640" w:rsidRPr="007B7496" w:rsidRDefault="00787640" w:rsidP="00B12B1E">
      <w:pPr>
        <w:pStyle w:val="CRCoverPage"/>
        <w:jc w:val="both"/>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F85968">
        <w:rPr>
          <w:rFonts w:cs="Arial"/>
          <w:b/>
          <w:bCs/>
          <w:sz w:val="24"/>
        </w:rPr>
        <w:t>7</w:t>
      </w:r>
      <w:r w:rsidR="00C15AA3">
        <w:rPr>
          <w:rFonts w:cs="Arial"/>
          <w:b/>
          <w:bCs/>
          <w:sz w:val="24"/>
        </w:rPr>
        <w:t>.</w:t>
      </w:r>
      <w:r w:rsidR="00577EEA">
        <w:rPr>
          <w:rFonts w:cs="Arial"/>
          <w:b/>
          <w:bCs/>
          <w:sz w:val="24"/>
        </w:rPr>
        <w:t>2.8.4</w:t>
      </w:r>
    </w:p>
    <w:p w:rsidR="00787640" w:rsidRPr="00F174DB" w:rsidRDefault="00787640" w:rsidP="00B12B1E">
      <w:pPr>
        <w:tabs>
          <w:tab w:val="left" w:pos="1985"/>
        </w:tabs>
        <w:ind w:left="1985" w:hanging="1985"/>
        <w:jc w:val="both"/>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2E3BAA">
        <w:rPr>
          <w:rFonts w:ascii="Arial" w:hAnsi="Arial" w:cs="Arial"/>
          <w:b/>
          <w:bCs/>
          <w:sz w:val="24"/>
        </w:rPr>
        <w:t xml:space="preserve">, </w:t>
      </w:r>
      <w:r w:rsidR="006E68BB">
        <w:rPr>
          <w:rFonts w:ascii="Arial" w:hAnsi="Arial" w:cs="Arial"/>
          <w:b/>
          <w:bCs/>
          <w:sz w:val="24"/>
        </w:rPr>
        <w:t>Nokia</w:t>
      </w:r>
      <w:r w:rsidR="002E3BAA">
        <w:rPr>
          <w:rFonts w:ascii="Arial" w:hAnsi="Arial" w:cs="Arial"/>
          <w:b/>
          <w:bCs/>
          <w:sz w:val="24"/>
        </w:rPr>
        <w:t xml:space="preserve"> Shanghai Bell</w:t>
      </w:r>
    </w:p>
    <w:p w:rsidR="00787640" w:rsidRPr="00F174DB" w:rsidRDefault="00787640" w:rsidP="00B12B1E">
      <w:pPr>
        <w:ind w:left="1985" w:hanging="1985"/>
        <w:jc w:val="both"/>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FC7FF0">
        <w:rPr>
          <w:rFonts w:ascii="Arial" w:hAnsi="Arial" w:cs="Arial"/>
          <w:b/>
          <w:bCs/>
          <w:sz w:val="24"/>
        </w:rPr>
        <w:t>Discussion on</w:t>
      </w:r>
      <w:r w:rsidR="005D1092">
        <w:rPr>
          <w:rFonts w:ascii="Arial" w:hAnsi="Arial" w:cs="Arial"/>
          <w:b/>
          <w:bCs/>
          <w:sz w:val="24"/>
        </w:rPr>
        <w:t xml:space="preserve"> </w:t>
      </w:r>
      <w:r w:rsidR="00577EEA">
        <w:rPr>
          <w:rFonts w:ascii="Arial" w:hAnsi="Arial" w:cs="Arial"/>
          <w:b/>
          <w:bCs/>
          <w:sz w:val="24"/>
        </w:rPr>
        <w:t>Full Tx power UL transmission</w:t>
      </w:r>
    </w:p>
    <w:p w:rsidR="0034111C" w:rsidRDefault="00E74FAF" w:rsidP="00B12B1E">
      <w:pPr>
        <w:jc w:val="both"/>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r w:rsidR="00964F40">
        <w:rPr>
          <w:rFonts w:ascii="Arial" w:hAnsi="Arial" w:cs="Arial"/>
          <w:b/>
          <w:bCs/>
          <w:sz w:val="24"/>
        </w:rPr>
        <w:t xml:space="preserve"> and Decision</w:t>
      </w:r>
    </w:p>
    <w:p w:rsidR="00C15AA3" w:rsidRDefault="00C15AA3" w:rsidP="00B12B1E">
      <w:pPr>
        <w:jc w:val="both"/>
      </w:pPr>
    </w:p>
    <w:p w:rsidR="00A31E69" w:rsidRDefault="00B91FCB" w:rsidP="00B12B1E">
      <w:pPr>
        <w:pStyle w:val="Heading1"/>
        <w:jc w:val="both"/>
      </w:pPr>
      <w:r w:rsidRPr="00791982">
        <w:t>1</w:t>
      </w:r>
      <w:r w:rsidRPr="00791982">
        <w:tab/>
      </w:r>
      <w:r w:rsidR="00EE7FA7" w:rsidRPr="00E86042">
        <w:t>Introduction</w:t>
      </w:r>
    </w:p>
    <w:p w:rsidR="008A68C6" w:rsidRDefault="008A68C6" w:rsidP="00DC338E">
      <w:pPr>
        <w:jc w:val="both"/>
        <w:rPr>
          <w:rFonts w:ascii="Times New Roman" w:hAnsi="Times New Roman" w:cs="Times New Roman"/>
          <w:kern w:val="2"/>
          <w:sz w:val="20"/>
          <w:szCs w:val="20"/>
        </w:rPr>
      </w:pPr>
      <w:r>
        <w:rPr>
          <w:rFonts w:ascii="Times New Roman" w:hAnsi="Times New Roman" w:cs="Times New Roman"/>
          <w:kern w:val="2"/>
          <w:sz w:val="20"/>
          <w:szCs w:val="20"/>
        </w:rPr>
        <w:t>In the last RAN1 meeting, this agreement has been reached for full Tx power uplink transmission</w:t>
      </w:r>
      <w:r w:rsidR="00D556A1">
        <w:rPr>
          <w:rFonts w:ascii="Times New Roman" w:hAnsi="Times New Roman" w:cs="Times New Roman"/>
          <w:kern w:val="2"/>
          <w:sz w:val="20"/>
          <w:szCs w:val="20"/>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A68C6" w:rsidRPr="0046285A" w:rsidTr="00812D50">
        <w:tc>
          <w:tcPr>
            <w:tcW w:w="9629" w:type="dxa"/>
            <w:shd w:val="clear" w:color="auto" w:fill="auto"/>
          </w:tcPr>
          <w:p w:rsidR="008A68C6" w:rsidRPr="008A68C6" w:rsidRDefault="008A68C6" w:rsidP="008A68C6">
            <w:pPr>
              <w:rPr>
                <w:rFonts w:ascii="Times New Roman" w:hAnsi="Times New Roman" w:cs="Times New Roman"/>
                <w:b/>
                <w:sz w:val="20"/>
                <w:szCs w:val="20"/>
                <w:highlight w:val="green"/>
              </w:rPr>
            </w:pPr>
            <w:r w:rsidRPr="008A68C6">
              <w:rPr>
                <w:rFonts w:ascii="Times New Roman" w:hAnsi="Times New Roman" w:cs="Times New Roman"/>
                <w:b/>
                <w:sz w:val="20"/>
                <w:szCs w:val="20"/>
                <w:highlight w:val="green"/>
              </w:rPr>
              <w:t>Agreement</w:t>
            </w:r>
          </w:p>
          <w:p w:rsidR="008A68C6" w:rsidRPr="008A68C6" w:rsidRDefault="008A68C6" w:rsidP="008A68C6">
            <w:pPr>
              <w:rPr>
                <w:rFonts w:ascii="Times New Roman" w:hAnsi="Times New Roman" w:cs="Times New Roman"/>
                <w:sz w:val="20"/>
                <w:szCs w:val="20"/>
              </w:rPr>
            </w:pPr>
            <w:r w:rsidRPr="008A68C6">
              <w:rPr>
                <w:rFonts w:ascii="Times New Roman" w:hAnsi="Times New Roman" w:cs="Times New Roman"/>
                <w:sz w:val="20"/>
                <w:szCs w:val="20"/>
              </w:rPr>
              <w:t>Consider the following potential solutions and other solutions (such as combination of the solutions below) for UL full power transmission. Decision will be made in RAN1#95:</w:t>
            </w:r>
          </w:p>
          <w:p w:rsidR="008A68C6" w:rsidRPr="008A68C6" w:rsidRDefault="008A68C6" w:rsidP="008A68C6">
            <w:pPr>
              <w:rPr>
                <w:rFonts w:ascii="Times New Roman" w:hAnsi="Times New Roman" w:cs="Times New Roman"/>
                <w:sz w:val="20"/>
                <w:szCs w:val="20"/>
              </w:rPr>
            </w:pPr>
            <w:r w:rsidRPr="008A68C6">
              <w:rPr>
                <w:rFonts w:ascii="Times New Roman" w:hAnsi="Times New Roman" w:cs="Times New Roman"/>
                <w:sz w:val="20"/>
                <w:szCs w:val="20"/>
              </w:rPr>
              <w:t>Option 1: Refinement/adjustment of UL codebook is supported</w:t>
            </w:r>
          </w:p>
          <w:p w:rsidR="008A68C6" w:rsidRPr="008A68C6" w:rsidRDefault="008A68C6" w:rsidP="008A68C6">
            <w:pPr>
              <w:numPr>
                <w:ilvl w:val="1"/>
                <w:numId w:val="32"/>
              </w:numPr>
              <w:spacing w:after="0" w:line="240" w:lineRule="auto"/>
              <w:ind w:left="800"/>
              <w:rPr>
                <w:rFonts w:ascii="Times New Roman" w:hAnsi="Times New Roman" w:cs="Times New Roman"/>
                <w:sz w:val="20"/>
                <w:szCs w:val="20"/>
              </w:rPr>
            </w:pPr>
            <w:r w:rsidRPr="008A68C6">
              <w:rPr>
                <w:rFonts w:ascii="Times New Roman" w:hAnsi="Times New Roman" w:cs="Times New Roman"/>
                <w:sz w:val="20"/>
                <w:szCs w:val="20"/>
              </w:rPr>
              <w:t>1-1: Support a new codebookSubset for non-coherent and partial-coherent transmission capable UEs</w:t>
            </w:r>
          </w:p>
          <w:p w:rsidR="008A68C6" w:rsidRPr="008A68C6" w:rsidRDefault="008A68C6" w:rsidP="008A68C6">
            <w:pPr>
              <w:numPr>
                <w:ilvl w:val="1"/>
                <w:numId w:val="32"/>
              </w:numPr>
              <w:spacing w:after="0" w:line="240" w:lineRule="auto"/>
              <w:ind w:left="800"/>
              <w:rPr>
                <w:rFonts w:ascii="Times New Roman" w:hAnsi="Times New Roman" w:cs="Times New Roman"/>
                <w:sz w:val="20"/>
                <w:szCs w:val="20"/>
              </w:rPr>
            </w:pPr>
            <w:r w:rsidRPr="008A68C6">
              <w:rPr>
                <w:rFonts w:ascii="Times New Roman" w:hAnsi="Times New Roman" w:cs="Times New Roman"/>
                <w:sz w:val="20"/>
                <w:szCs w:val="20"/>
              </w:rPr>
              <w:t>1-2: Introduce additional scaling factor for uplink codebook</w:t>
            </w:r>
          </w:p>
          <w:p w:rsidR="008A68C6" w:rsidRPr="008A68C6" w:rsidRDefault="008A68C6" w:rsidP="008A68C6">
            <w:pPr>
              <w:rPr>
                <w:rFonts w:ascii="Times New Roman" w:hAnsi="Times New Roman" w:cs="Times New Roman"/>
                <w:sz w:val="20"/>
                <w:szCs w:val="20"/>
              </w:rPr>
            </w:pPr>
            <w:r w:rsidRPr="008A68C6">
              <w:rPr>
                <w:rFonts w:ascii="Times New Roman" w:hAnsi="Times New Roman" w:cs="Times New Roman"/>
                <w:sz w:val="20"/>
                <w:szCs w:val="20"/>
              </w:rPr>
              <w:t>Option 2: UE transparently apply a small cyclic or linear delay</w:t>
            </w:r>
          </w:p>
          <w:p w:rsidR="008A68C6" w:rsidRPr="008A68C6" w:rsidRDefault="008A68C6" w:rsidP="008A68C6">
            <w:pPr>
              <w:rPr>
                <w:rFonts w:ascii="Times New Roman" w:hAnsi="Times New Roman" w:cs="Times New Roman"/>
                <w:sz w:val="20"/>
                <w:szCs w:val="20"/>
              </w:rPr>
            </w:pPr>
            <w:r w:rsidRPr="008A68C6">
              <w:rPr>
                <w:rFonts w:ascii="Times New Roman" w:hAnsi="Times New Roman" w:cs="Times New Roman"/>
                <w:sz w:val="20"/>
                <w:szCs w:val="20"/>
              </w:rPr>
              <w:t>Option 3: Power control mechanism to be modified to support UL full power transmission without precluding the use of full rated PA(s)</w:t>
            </w:r>
          </w:p>
          <w:p w:rsidR="008A68C6" w:rsidRPr="008A68C6" w:rsidRDefault="008A68C6" w:rsidP="008A68C6">
            <w:pPr>
              <w:numPr>
                <w:ilvl w:val="1"/>
                <w:numId w:val="32"/>
              </w:numPr>
              <w:spacing w:after="0" w:line="240" w:lineRule="auto"/>
              <w:ind w:left="800"/>
              <w:rPr>
                <w:rFonts w:ascii="Times New Roman" w:hAnsi="Times New Roman" w:cs="Times New Roman"/>
                <w:sz w:val="20"/>
                <w:szCs w:val="20"/>
              </w:rPr>
            </w:pPr>
            <w:r w:rsidRPr="008A68C6">
              <w:rPr>
                <w:rFonts w:ascii="Times New Roman" w:hAnsi="Times New Roman" w:cs="Times New Roman"/>
                <w:sz w:val="20"/>
                <w:szCs w:val="20"/>
              </w:rPr>
              <w:t>Note: Full rated PA refers to a PA having power not lower than that of the power class</w:t>
            </w:r>
          </w:p>
          <w:p w:rsidR="008A68C6" w:rsidRPr="008A68C6" w:rsidRDefault="008A68C6" w:rsidP="008A68C6">
            <w:pPr>
              <w:rPr>
                <w:rFonts w:ascii="Times New Roman" w:hAnsi="Times New Roman" w:cs="Times New Roman"/>
                <w:sz w:val="20"/>
                <w:szCs w:val="20"/>
              </w:rPr>
            </w:pPr>
            <w:r w:rsidRPr="008A68C6">
              <w:rPr>
                <w:rFonts w:ascii="Times New Roman" w:hAnsi="Times New Roman" w:cs="Times New Roman"/>
                <w:sz w:val="20"/>
                <w:szCs w:val="20"/>
              </w:rPr>
              <w:t>Option 4: Up to UE implementation (no specification impact)</w:t>
            </w:r>
          </w:p>
          <w:p w:rsidR="008A68C6" w:rsidRPr="000575C9" w:rsidRDefault="008A68C6" w:rsidP="008A68C6">
            <w:pPr>
              <w:overflowPunct w:val="0"/>
              <w:autoSpaceDE w:val="0"/>
              <w:autoSpaceDN w:val="0"/>
              <w:adjustRightInd w:val="0"/>
              <w:snapToGrid w:val="0"/>
              <w:spacing w:after="120" w:line="240" w:lineRule="auto"/>
              <w:ind w:right="-99"/>
              <w:rPr>
                <w:rFonts w:ascii="Times New Roman" w:eastAsia="SimSun" w:hAnsi="Times New Roman" w:cs="Times New Roman"/>
                <w:sz w:val="20"/>
                <w:szCs w:val="20"/>
                <w:lang w:eastAsia="ko-KR"/>
              </w:rPr>
            </w:pPr>
          </w:p>
        </w:tc>
      </w:tr>
    </w:tbl>
    <w:p w:rsidR="008A68C6" w:rsidRDefault="008A68C6" w:rsidP="008A68C6">
      <w:pPr>
        <w:rPr>
          <w:rFonts w:ascii="Times New Roman" w:hAnsi="Times New Roman" w:cs="Times New Roman"/>
          <w:sz w:val="20"/>
          <w:szCs w:val="20"/>
        </w:rPr>
      </w:pPr>
    </w:p>
    <w:p w:rsidR="00EA017E" w:rsidRDefault="00577EEA" w:rsidP="00EA017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This contribution discusses the related issue on the full Tx power uplink transmission issue and provides our view on the </w:t>
      </w:r>
      <w:r w:rsidR="00D556A1">
        <w:rPr>
          <w:rFonts w:ascii="Times New Roman" w:hAnsi="Times New Roman" w:cs="Times New Roman"/>
          <w:kern w:val="2"/>
          <w:sz w:val="20"/>
          <w:szCs w:val="20"/>
        </w:rPr>
        <w:t>relative options.</w:t>
      </w:r>
    </w:p>
    <w:p w:rsidR="00577EEA" w:rsidRDefault="00577EEA" w:rsidP="00EA017E">
      <w:pPr>
        <w:jc w:val="both"/>
        <w:rPr>
          <w:rFonts w:ascii="Times New Roman" w:hAnsi="Times New Roman" w:cs="Times New Roman"/>
          <w:kern w:val="2"/>
          <w:sz w:val="20"/>
          <w:szCs w:val="20"/>
        </w:rPr>
      </w:pPr>
    </w:p>
    <w:p w:rsidR="00EA017E" w:rsidRDefault="004C1CBE" w:rsidP="00EA017E">
      <w:pPr>
        <w:pStyle w:val="Heading1"/>
      </w:pPr>
      <w:r>
        <w:t>2</w:t>
      </w:r>
      <w:r w:rsidR="00EA017E" w:rsidRPr="00791982">
        <w:tab/>
      </w:r>
      <w:r w:rsidR="00577EEA">
        <w:t>Full power transmission for uplink transmission</w:t>
      </w:r>
    </w:p>
    <w:p w:rsidR="00577EEA" w:rsidRDefault="002D32CC" w:rsidP="00577EEA">
      <w:pPr>
        <w:rPr>
          <w:rFonts w:ascii="Times New Roman" w:hAnsi="Times New Roman" w:cs="Times New Roman"/>
          <w:sz w:val="20"/>
          <w:szCs w:val="20"/>
        </w:rPr>
      </w:pPr>
      <w:r>
        <w:rPr>
          <w:rFonts w:ascii="Times New Roman" w:hAnsi="Times New Roman" w:cs="Times New Roman"/>
          <w:sz w:val="20"/>
          <w:szCs w:val="20"/>
        </w:rPr>
        <w:t>The scope of the WID [1] on full power transmission for uplink transmission is listed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32CC" w:rsidRPr="0046285A" w:rsidTr="0026014E">
        <w:tc>
          <w:tcPr>
            <w:tcW w:w="9629" w:type="dxa"/>
            <w:shd w:val="clear" w:color="auto" w:fill="auto"/>
          </w:tcPr>
          <w:p w:rsidR="002D32CC" w:rsidRPr="000575C9" w:rsidRDefault="000575C9" w:rsidP="000575C9">
            <w:pPr>
              <w:numPr>
                <w:ilvl w:val="1"/>
                <w:numId w:val="27"/>
              </w:numPr>
              <w:overflowPunct w:val="0"/>
              <w:autoSpaceDE w:val="0"/>
              <w:autoSpaceDN w:val="0"/>
              <w:adjustRightInd w:val="0"/>
              <w:snapToGrid w:val="0"/>
              <w:spacing w:after="120" w:line="240" w:lineRule="auto"/>
              <w:ind w:right="-99"/>
              <w:rPr>
                <w:rFonts w:ascii="Times New Roman" w:eastAsia="SimSun" w:hAnsi="Times New Roman" w:cs="Times New Roman"/>
                <w:sz w:val="20"/>
                <w:szCs w:val="20"/>
                <w:lang w:eastAsia="ko-KR"/>
              </w:rPr>
            </w:pPr>
            <w:r w:rsidRPr="000575C9">
              <w:rPr>
                <w:rFonts w:ascii="Times New Roman" w:eastAsia="Malgun Gothic" w:hAnsi="Times New Roman" w:cs="Times New Roman"/>
                <w:sz w:val="20"/>
                <w:szCs w:val="20"/>
                <w:lang w:eastAsia="ko-KR"/>
              </w:rPr>
              <w:t>Specify enhancement to allow full power transmission in case of uplink transmission with multiple power amplifiers (assume no change on UE power class)</w:t>
            </w:r>
          </w:p>
        </w:tc>
      </w:tr>
    </w:tbl>
    <w:p w:rsidR="003673B3" w:rsidRDefault="003673B3" w:rsidP="002D32CC">
      <w:pPr>
        <w:rPr>
          <w:rFonts w:ascii="Times New Roman" w:hAnsi="Times New Roman" w:cs="Times New Roman"/>
          <w:sz w:val="20"/>
          <w:szCs w:val="20"/>
        </w:rPr>
      </w:pPr>
    </w:p>
    <w:p w:rsidR="000575C9" w:rsidRDefault="000575C9" w:rsidP="000575C9">
      <w:pPr>
        <w:pStyle w:val="Heading2"/>
      </w:pPr>
      <w:r>
        <w:t>2.1</w:t>
      </w:r>
      <w:r>
        <w:tab/>
        <w:t>Background</w:t>
      </w:r>
    </w:p>
    <w:p w:rsidR="00A75000" w:rsidRDefault="000575C9" w:rsidP="002674A5">
      <w:pPr>
        <w:jc w:val="both"/>
        <w:rPr>
          <w:rFonts w:ascii="Times New Roman" w:hAnsi="Times New Roman" w:cs="Times New Roman"/>
          <w:sz w:val="20"/>
          <w:szCs w:val="20"/>
        </w:rPr>
      </w:pPr>
      <w:r>
        <w:rPr>
          <w:rFonts w:ascii="Times New Roman" w:hAnsi="Times New Roman" w:cs="Times New Roman"/>
          <w:sz w:val="20"/>
          <w:szCs w:val="20"/>
        </w:rPr>
        <w:t>This issue is actively discussed in RAN1 during the Rel-15 specification process. The general background is related to the uplink codebook design, where partial coherent precoders and non-coherent precoders are included together with the full coherent precoders.</w:t>
      </w:r>
      <w:r w:rsidR="002674A5">
        <w:rPr>
          <w:rFonts w:ascii="Times New Roman" w:hAnsi="Times New Roman" w:cs="Times New Roman"/>
          <w:sz w:val="20"/>
          <w:szCs w:val="20"/>
        </w:rPr>
        <w:t xml:space="preserve"> One</w:t>
      </w:r>
      <w:r w:rsidR="00A75000">
        <w:rPr>
          <w:rFonts w:ascii="Times New Roman" w:hAnsi="Times New Roman" w:cs="Times New Roman"/>
          <w:sz w:val="20"/>
          <w:szCs w:val="20"/>
        </w:rPr>
        <w:t xml:space="preserve"> distinguished property of these precoding matrices is the scaling factor, which is normalized based on total number of Tx ports, regardless whether the Tx ports are muted or not. In th</w:t>
      </w:r>
      <w:r w:rsidR="002674A5">
        <w:rPr>
          <w:rFonts w:ascii="Times New Roman" w:hAnsi="Times New Roman" w:cs="Times New Roman"/>
          <w:sz w:val="20"/>
          <w:szCs w:val="20"/>
        </w:rPr>
        <w:t>e</w:t>
      </w:r>
      <w:r w:rsidR="00A75000">
        <w:rPr>
          <w:rFonts w:ascii="Times New Roman" w:hAnsi="Times New Roman" w:cs="Times New Roman"/>
          <w:sz w:val="20"/>
          <w:szCs w:val="20"/>
        </w:rPr>
        <w:t xml:space="preserve"> 4Tx example</w:t>
      </w:r>
      <w:r w:rsidR="002674A5">
        <w:rPr>
          <w:rFonts w:ascii="Times New Roman" w:hAnsi="Times New Roman" w:cs="Times New Roman"/>
          <w:sz w:val="20"/>
          <w:szCs w:val="20"/>
        </w:rPr>
        <w:t xml:space="preserve"> with rank-1 transmission</w:t>
      </w:r>
      <w:r w:rsidR="00A75000">
        <w:rPr>
          <w:rFonts w:ascii="Times New Roman" w:hAnsi="Times New Roman" w:cs="Times New Roman"/>
          <w:sz w:val="20"/>
          <w:szCs w:val="20"/>
        </w:rPr>
        <w:t xml:space="preserve">, the scaling factor is </w:t>
      </w:r>
      <w:r w:rsidR="002674A5">
        <w:rPr>
          <w:rFonts w:ascii="Times New Roman" w:hAnsi="Times New Roman" w:cs="Times New Roman"/>
          <w:sz w:val="20"/>
          <w:szCs w:val="20"/>
        </w:rPr>
        <w:t>1/2,</w:t>
      </w:r>
      <w:r w:rsidR="00A75000">
        <w:rPr>
          <w:rFonts w:ascii="Times New Roman" w:hAnsi="Times New Roman" w:cs="Times New Roman"/>
          <w:sz w:val="20"/>
          <w:szCs w:val="20"/>
        </w:rPr>
        <w:t xml:space="preserve"> which will yield total transmission power of one when a full coherent precoding matrix is applied.</w:t>
      </w:r>
      <w:bookmarkStart w:id="5" w:name="_GoBack"/>
      <w:bookmarkEnd w:id="5"/>
    </w:p>
    <w:p w:rsidR="00577EEA" w:rsidRDefault="00133880" w:rsidP="00133880">
      <w:pPr>
        <w:jc w:val="both"/>
        <w:rPr>
          <w:rFonts w:ascii="Times New Roman" w:hAnsi="Times New Roman" w:cs="Times New Roman"/>
          <w:sz w:val="20"/>
          <w:szCs w:val="20"/>
        </w:rPr>
      </w:pPr>
      <w:r>
        <w:rPr>
          <w:rFonts w:ascii="Times New Roman" w:hAnsi="Times New Roman" w:cs="Times New Roman"/>
          <w:sz w:val="20"/>
          <w:szCs w:val="20"/>
        </w:rPr>
        <w:lastRenderedPageBreak/>
        <w:t>It can be shown</w:t>
      </w:r>
      <w:r w:rsidR="00E70045">
        <w:rPr>
          <w:rFonts w:ascii="Times New Roman" w:hAnsi="Times New Roman" w:cs="Times New Roman"/>
          <w:sz w:val="20"/>
          <w:szCs w:val="20"/>
        </w:rPr>
        <w:t xml:space="preserve"> that when </w:t>
      </w:r>
      <w:r w:rsidR="009C4CBA">
        <w:rPr>
          <w:rFonts w:ascii="Times New Roman" w:hAnsi="Times New Roman" w:cs="Times New Roman"/>
          <w:sz w:val="20"/>
          <w:szCs w:val="20"/>
        </w:rPr>
        <w:t>a UE is switching from a full coherent precoding matrix to a partial coherent or a non-coherent precoding matrix, the full transmitting power, solely based on the precoding matrix, will be reduced. In the 4Tx example, the partial coherent precoding matrices have 3dB less power than that of full coherent precoding matrices, and the non-coherent precoding matrices have 6dB less power. The p</w:t>
      </w:r>
      <w:r>
        <w:rPr>
          <w:rFonts w:ascii="Times New Roman" w:hAnsi="Times New Roman" w:cs="Times New Roman"/>
          <w:sz w:val="20"/>
          <w:szCs w:val="20"/>
        </w:rPr>
        <w:t>ower reduction of partial/non-coherent precoders is not desirable for uplink transmission.</w:t>
      </w:r>
    </w:p>
    <w:p w:rsidR="009C4CBA" w:rsidRDefault="009C4CBA" w:rsidP="00577EEA">
      <w:pPr>
        <w:rPr>
          <w:rFonts w:ascii="Times New Roman" w:hAnsi="Times New Roman" w:cs="Times New Roman"/>
          <w:sz w:val="20"/>
          <w:szCs w:val="20"/>
        </w:rPr>
      </w:pPr>
      <w:r>
        <w:rPr>
          <w:rFonts w:ascii="Times New Roman" w:hAnsi="Times New Roman" w:cs="Times New Roman"/>
          <w:sz w:val="20"/>
          <w:szCs w:val="20"/>
        </w:rPr>
        <w:t xml:space="preserve">Rel-15 NR </w:t>
      </w:r>
      <w:r w:rsidR="00133880">
        <w:rPr>
          <w:rFonts w:ascii="Times New Roman" w:hAnsi="Times New Roman" w:cs="Times New Roman"/>
          <w:sz w:val="20"/>
          <w:szCs w:val="20"/>
        </w:rPr>
        <w:t>attempted</w:t>
      </w:r>
      <w:r>
        <w:rPr>
          <w:rFonts w:ascii="Times New Roman" w:hAnsi="Times New Roman" w:cs="Times New Roman"/>
          <w:sz w:val="20"/>
          <w:szCs w:val="20"/>
        </w:rPr>
        <w:t xml:space="preserve"> to fix this issue in the UE power contr</w:t>
      </w:r>
      <w:r w:rsidR="002873A2">
        <w:rPr>
          <w:rFonts w:ascii="Times New Roman" w:hAnsi="Times New Roman" w:cs="Times New Roman"/>
          <w:sz w:val="20"/>
          <w:szCs w:val="20"/>
        </w:rPr>
        <w:t>ol section of the specification (Section 7.1 of 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73A2" w:rsidRPr="0046285A" w:rsidTr="00181C9C">
        <w:tc>
          <w:tcPr>
            <w:tcW w:w="9629" w:type="dxa"/>
            <w:shd w:val="clear" w:color="auto" w:fill="auto"/>
          </w:tcPr>
          <w:p w:rsidR="002873A2" w:rsidRPr="002873A2" w:rsidRDefault="002873A2" w:rsidP="002873A2">
            <w:pPr>
              <w:rPr>
                <w:rFonts w:ascii="Times New Roman" w:hAnsi="Times New Roman" w:cs="Times New Roman"/>
                <w:sz w:val="20"/>
                <w:szCs w:val="20"/>
              </w:rPr>
            </w:pPr>
            <w:r w:rsidRPr="002873A2">
              <w:rPr>
                <w:rFonts w:ascii="Times New Roman" w:hAnsi="Times New Roman" w:cs="Times New Roman"/>
                <w:sz w:val="20"/>
                <w:szCs w:val="20"/>
              </w:rPr>
              <w:t xml:space="preserve">For PUSCH, a UE first scales a linear value </w:t>
            </w:r>
            <w:r w:rsidRPr="002873A2">
              <w:rPr>
                <w:rFonts w:ascii="Times New Roman" w:hAnsi="Times New Roman" w:cs="Times New Roman"/>
                <w:noProof/>
                <w:position w:val="-12"/>
                <w:sz w:val="20"/>
                <w:szCs w:val="20"/>
                <w:lang w:eastAsia="en-GB"/>
              </w:rPr>
              <w:drawing>
                <wp:inline distT="0" distB="0" distL="0" distR="0" wp14:anchorId="1FCBE899" wp14:editId="6CA6E72F">
                  <wp:extent cx="1066800" cy="2438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66800" cy="243840"/>
                          </a:xfrm>
                          <a:prstGeom prst="rect">
                            <a:avLst/>
                          </a:prstGeom>
                          <a:noFill/>
                          <a:ln>
                            <a:noFill/>
                          </a:ln>
                        </pic:spPr>
                      </pic:pic>
                    </a:graphicData>
                  </a:graphic>
                </wp:inline>
              </w:drawing>
            </w:r>
            <w:r w:rsidRPr="002873A2">
              <w:rPr>
                <w:rFonts w:ascii="Times New Roman" w:hAnsi="Times New Roman" w:cs="Times New Roman"/>
                <w:iCs/>
                <w:sz w:val="20"/>
                <w:szCs w:val="20"/>
              </w:rPr>
              <w:t xml:space="preserve"> of the </w:t>
            </w:r>
            <w:r w:rsidRPr="002873A2">
              <w:rPr>
                <w:rFonts w:ascii="Times New Roman" w:hAnsi="Times New Roman" w:cs="Times New Roman"/>
                <w:sz w:val="20"/>
                <w:szCs w:val="20"/>
              </w:rPr>
              <w:t xml:space="preserve">transmit power </w:t>
            </w:r>
            <w:r w:rsidRPr="002873A2">
              <w:rPr>
                <w:rFonts w:ascii="Times New Roman" w:hAnsi="Times New Roman" w:cs="Times New Roman"/>
                <w:noProof/>
                <w:position w:val="-12"/>
                <w:sz w:val="20"/>
                <w:szCs w:val="20"/>
                <w:lang w:eastAsia="en-GB"/>
              </w:rPr>
              <w:drawing>
                <wp:inline distT="0" distB="0" distL="0" distR="0" wp14:anchorId="59FFD95A" wp14:editId="47424576">
                  <wp:extent cx="1043940" cy="19812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43940" cy="198120"/>
                          </a:xfrm>
                          <a:prstGeom prst="rect">
                            <a:avLst/>
                          </a:prstGeom>
                          <a:noFill/>
                          <a:ln>
                            <a:noFill/>
                          </a:ln>
                        </pic:spPr>
                      </pic:pic>
                    </a:graphicData>
                  </a:graphic>
                </wp:inline>
              </w:drawing>
            </w:r>
            <w:r w:rsidRPr="002873A2">
              <w:rPr>
                <w:rFonts w:ascii="Times New Roman" w:hAnsi="Times New Roman" w:cs="Times New Roman"/>
                <w:iCs/>
                <w:sz w:val="20"/>
                <w:szCs w:val="20"/>
              </w:rPr>
              <w:t xml:space="preserve"> </w:t>
            </w:r>
            <w:r w:rsidRPr="002873A2">
              <w:rPr>
                <w:rFonts w:ascii="Times New Roman" w:hAnsi="Times New Roman" w:cs="Times New Roman"/>
                <w:sz w:val="20"/>
                <w:szCs w:val="20"/>
              </w:rPr>
              <w:t xml:space="preserve">on UL BWP </w:t>
            </w:r>
            <w:r w:rsidRPr="002873A2">
              <w:rPr>
                <w:rFonts w:ascii="Times New Roman" w:eastAsia="Times New Roman" w:hAnsi="Times New Roman" w:cs="Times New Roman"/>
                <w:iCs/>
                <w:position w:val="-6"/>
                <w:sz w:val="20"/>
                <w:szCs w:val="20"/>
              </w:rPr>
              <w:object w:dxaOrig="180" w:dyaOrig="240">
                <v:shape id="_x0000_i1026" type="#_x0000_t75" style="width:9.5pt;height:12.25pt" o:ole="">
                  <v:imagedata r:id="rId16" o:title=""/>
                </v:shape>
                <o:OLEObject Type="Embed" ProgID="Equation.3" ShapeID="_x0000_i1026" DrawAspect="Content" ObjectID="_1602704052" r:id="rId17"/>
              </w:object>
            </w:r>
            <w:r w:rsidRPr="002873A2">
              <w:rPr>
                <w:rFonts w:ascii="Times New Roman" w:hAnsi="Times New Roman" w:cs="Times New Roman"/>
                <w:iCs/>
                <w:sz w:val="20"/>
                <w:szCs w:val="20"/>
              </w:rPr>
              <w:t xml:space="preserve">, as described in Subclause 12, of </w:t>
            </w:r>
            <w:r w:rsidRPr="002873A2">
              <w:rPr>
                <w:rFonts w:ascii="Times New Roman" w:hAnsi="Times New Roman" w:cs="Times New Roman"/>
                <w:sz w:val="20"/>
                <w:szCs w:val="20"/>
              </w:rPr>
              <w:t xml:space="preserve">carrier </w:t>
            </w:r>
            <w:r w:rsidRPr="002873A2">
              <w:rPr>
                <w:rFonts w:ascii="Times New Roman" w:eastAsia="Times New Roman" w:hAnsi="Times New Roman" w:cs="Times New Roman"/>
                <w:iCs/>
                <w:position w:val="-10"/>
                <w:sz w:val="20"/>
                <w:szCs w:val="20"/>
              </w:rPr>
              <w:object w:dxaOrig="216" w:dyaOrig="312">
                <v:shape id="_x0000_i1027" type="#_x0000_t75" style="width:10.85pt;height:15.6pt" o:ole="">
                  <v:imagedata r:id="rId18" o:title=""/>
                </v:shape>
                <o:OLEObject Type="Embed" ProgID="Equation.3" ShapeID="_x0000_i1027" DrawAspect="Content" ObjectID="_1602704053" r:id="rId19"/>
              </w:object>
            </w:r>
            <w:r w:rsidRPr="002873A2">
              <w:rPr>
                <w:rFonts w:ascii="Times New Roman" w:hAnsi="Times New Roman" w:cs="Times New Roman"/>
                <w:iCs/>
                <w:sz w:val="20"/>
                <w:szCs w:val="20"/>
              </w:rPr>
              <w:t xml:space="preserve"> of </w:t>
            </w:r>
            <w:r w:rsidRPr="002873A2">
              <w:rPr>
                <w:rFonts w:ascii="Times New Roman" w:hAnsi="Times New Roman" w:cs="Times New Roman"/>
                <w:sz w:val="20"/>
                <w:szCs w:val="20"/>
              </w:rPr>
              <w:t xml:space="preserve">serving cell </w:t>
            </w:r>
            <w:r w:rsidRPr="002873A2">
              <w:rPr>
                <w:rFonts w:ascii="Times New Roman" w:eastAsia="Times New Roman" w:hAnsi="Times New Roman" w:cs="Times New Roman"/>
                <w:iCs/>
                <w:position w:val="-6"/>
                <w:sz w:val="20"/>
                <w:szCs w:val="20"/>
              </w:rPr>
              <w:object w:dxaOrig="156" w:dyaOrig="204">
                <v:shape id="_x0000_i1028" type="#_x0000_t75" style="width:7.45pt;height:10.2pt" o:ole="">
                  <v:imagedata r:id="rId20" o:title=""/>
                </v:shape>
                <o:OLEObject Type="Embed" ProgID="Equation.3" ShapeID="_x0000_i1028" DrawAspect="Content" ObjectID="_1602704054" r:id="rId21"/>
              </w:object>
            </w:r>
            <w:r w:rsidRPr="002873A2">
              <w:rPr>
                <w:rFonts w:ascii="Times New Roman" w:hAnsi="Times New Roman" w:cs="Times New Roman"/>
                <w:iCs/>
                <w:sz w:val="20"/>
                <w:szCs w:val="20"/>
              </w:rPr>
              <w:t xml:space="preserve">, with parameters as defined in Subclause 7.1.1, </w:t>
            </w:r>
            <w:r w:rsidRPr="00475F22">
              <w:rPr>
                <w:rFonts w:ascii="Times New Roman" w:hAnsi="Times New Roman" w:cs="Times New Roman"/>
                <w:sz w:val="20"/>
                <w:szCs w:val="20"/>
                <w:highlight w:val="yellow"/>
              </w:rPr>
              <w:t>by the ratio of the number of antenna ports with a non-zero PUSCH transmission to the number of configured antenna ports for the transmission scheme. The resulting scaled power is then split equally across the antenna ports on which the non-zero PUSCH is transmitted.</w:t>
            </w:r>
          </w:p>
        </w:tc>
      </w:tr>
    </w:tbl>
    <w:p w:rsidR="002873A2" w:rsidRDefault="002873A2" w:rsidP="002873A2">
      <w:pPr>
        <w:rPr>
          <w:rFonts w:ascii="Times New Roman" w:hAnsi="Times New Roman" w:cs="Times New Roman"/>
          <w:sz w:val="20"/>
          <w:szCs w:val="20"/>
        </w:rPr>
      </w:pPr>
    </w:p>
    <w:p w:rsidR="002873A2" w:rsidRDefault="002873A2" w:rsidP="00475F22">
      <w:pPr>
        <w:jc w:val="both"/>
        <w:rPr>
          <w:rFonts w:ascii="Times New Roman" w:hAnsi="Times New Roman" w:cs="Times New Roman"/>
          <w:sz w:val="20"/>
          <w:szCs w:val="20"/>
        </w:rPr>
      </w:pPr>
      <w:r>
        <w:rPr>
          <w:rFonts w:ascii="Times New Roman" w:hAnsi="Times New Roman" w:cs="Times New Roman"/>
          <w:sz w:val="20"/>
          <w:szCs w:val="20"/>
        </w:rPr>
        <w:t>The scaling factor related to the partial/non-coherent codebooks is treated here in uplink power control as “</w:t>
      </w:r>
      <w:r w:rsidRPr="002873A2">
        <w:rPr>
          <w:rFonts w:ascii="Times New Roman" w:hAnsi="Times New Roman" w:cs="Times New Roman"/>
          <w:b/>
          <w:i/>
          <w:sz w:val="20"/>
          <w:szCs w:val="20"/>
        </w:rPr>
        <w:t>the ratio of the number of antenna ports with a non-zero PUSCH transmission to the number of configured antenna ports for the transmission scheme.</w:t>
      </w:r>
      <w:r>
        <w:rPr>
          <w:rFonts w:ascii="Times New Roman" w:hAnsi="Times New Roman" w:cs="Times New Roman"/>
          <w:sz w:val="20"/>
          <w:szCs w:val="20"/>
        </w:rPr>
        <w:t>” The intention is to ensure that the full transmission power won’t be affected when certain transmission antenna ports are muted due to partial/non-coherent precoders. However, the “configured antenna ports for the transmission scheme”, in the context of the uplink transmission, might still cause ambiguity.</w:t>
      </w:r>
      <w:r>
        <w:rPr>
          <w:rFonts w:ascii="Times New Roman" w:hAnsi="Times New Roman" w:cs="Times New Roman"/>
          <w:sz w:val="20"/>
          <w:szCs w:val="20"/>
        </w:rPr>
        <w:br/>
      </w:r>
    </w:p>
    <w:p w:rsidR="002873A2" w:rsidRDefault="000315D0" w:rsidP="00475F22">
      <w:pPr>
        <w:jc w:val="both"/>
        <w:rPr>
          <w:rFonts w:ascii="Times New Roman" w:hAnsi="Times New Roman" w:cs="Times New Roman"/>
          <w:sz w:val="20"/>
          <w:szCs w:val="20"/>
        </w:rPr>
      </w:pPr>
      <w:r>
        <w:rPr>
          <w:rFonts w:ascii="Times New Roman" w:hAnsi="Times New Roman" w:cs="Times New Roman"/>
          <w:sz w:val="20"/>
          <w:szCs w:val="20"/>
        </w:rPr>
        <w:t xml:space="preserve">There were discussions in RAN1 related to the UE capability with multiple RF PA chains/antenna ports. RAN4 has specified UE maximum transmission power is 23dBm, similar to that of LTE. However, at least to some UE implementation, full 23dBm power transmission won’t be possible when partial/non-coherent precoding matrices are applied. This certainly limits usability of partial/non-coherent precoders and will degrade overall uplink performance. </w:t>
      </w:r>
    </w:p>
    <w:p w:rsidR="002873A2" w:rsidRDefault="002873A2" w:rsidP="00577EEA">
      <w:pPr>
        <w:rPr>
          <w:rFonts w:ascii="Times New Roman" w:hAnsi="Times New Roman" w:cs="Times New Roman"/>
          <w:sz w:val="20"/>
          <w:szCs w:val="20"/>
        </w:rPr>
      </w:pPr>
    </w:p>
    <w:p w:rsidR="002873A2" w:rsidRDefault="002873A2" w:rsidP="002873A2">
      <w:pPr>
        <w:pStyle w:val="Heading2"/>
      </w:pPr>
      <w:r>
        <w:t>2.2</w:t>
      </w:r>
      <w:r>
        <w:tab/>
      </w:r>
      <w:r w:rsidR="00475F22">
        <w:t>Solutions and specification impact</w:t>
      </w:r>
    </w:p>
    <w:p w:rsidR="00BD360C" w:rsidRDefault="008C5EF3" w:rsidP="00577EEA">
      <w:pPr>
        <w:rPr>
          <w:rFonts w:ascii="Times New Roman" w:hAnsi="Times New Roman" w:cs="Times New Roman"/>
          <w:sz w:val="20"/>
          <w:szCs w:val="20"/>
          <w:u w:val="single"/>
        </w:rPr>
      </w:pPr>
      <w:r>
        <w:rPr>
          <w:rFonts w:ascii="Times New Roman" w:hAnsi="Times New Roman" w:cs="Times New Roman"/>
          <w:sz w:val="20"/>
          <w:szCs w:val="20"/>
          <w:u w:val="single"/>
        </w:rPr>
        <w:t>Adjustment of codebook</w:t>
      </w:r>
    </w:p>
    <w:p w:rsidR="008C5EF3" w:rsidRDefault="008C5EF3" w:rsidP="00577EEA">
      <w:pPr>
        <w:rPr>
          <w:rFonts w:ascii="Times New Roman" w:hAnsi="Times New Roman" w:cs="Times New Roman"/>
          <w:sz w:val="20"/>
          <w:szCs w:val="20"/>
        </w:rPr>
      </w:pPr>
      <w:r>
        <w:rPr>
          <w:rFonts w:ascii="Times New Roman" w:hAnsi="Times New Roman" w:cs="Times New Roman"/>
          <w:sz w:val="20"/>
          <w:szCs w:val="20"/>
        </w:rPr>
        <w:t>There are two issues related with the uplink power control:</w:t>
      </w:r>
    </w:p>
    <w:p w:rsidR="008C5EF3" w:rsidRDefault="008C5EF3" w:rsidP="008C5EF3">
      <w:pPr>
        <w:pStyle w:val="ListParagraph"/>
        <w:numPr>
          <w:ilvl w:val="0"/>
          <w:numId w:val="34"/>
        </w:numPr>
        <w:rPr>
          <w:rFonts w:ascii="Times New Roman" w:hAnsi="Times New Roman" w:cs="Times New Roman"/>
          <w:sz w:val="20"/>
          <w:szCs w:val="20"/>
        </w:rPr>
      </w:pPr>
      <w:r>
        <w:rPr>
          <w:rFonts w:ascii="Times New Roman" w:hAnsi="Times New Roman" w:cs="Times New Roman"/>
          <w:sz w:val="20"/>
          <w:szCs w:val="20"/>
        </w:rPr>
        <w:t>UE’s capability to reach full Tx power when non-coherent or partial coherent precoders are used.</w:t>
      </w:r>
    </w:p>
    <w:p w:rsidR="008C5EF3" w:rsidRPr="008C5EF3" w:rsidRDefault="008C5EF3" w:rsidP="008C5EF3">
      <w:pPr>
        <w:pStyle w:val="ListParagraph"/>
        <w:numPr>
          <w:ilvl w:val="0"/>
          <w:numId w:val="34"/>
        </w:numPr>
        <w:rPr>
          <w:rFonts w:ascii="Times New Roman" w:hAnsi="Times New Roman" w:cs="Times New Roman"/>
          <w:sz w:val="20"/>
          <w:szCs w:val="20"/>
        </w:rPr>
      </w:pPr>
      <w:r>
        <w:rPr>
          <w:rFonts w:ascii="Times New Roman" w:hAnsi="Times New Roman" w:cs="Times New Roman"/>
          <w:sz w:val="20"/>
          <w:szCs w:val="20"/>
        </w:rPr>
        <w:t>UE’s power control</w:t>
      </w:r>
    </w:p>
    <w:p w:rsidR="008C5EF3" w:rsidRPr="008C5EF3" w:rsidRDefault="008C5EF3" w:rsidP="008C5EF3">
      <w:pPr>
        <w:rPr>
          <w:rFonts w:ascii="Times New Roman" w:hAnsi="Times New Roman" w:cs="Times New Roman"/>
          <w:sz w:val="20"/>
          <w:szCs w:val="20"/>
        </w:rPr>
      </w:pPr>
      <w:r>
        <w:rPr>
          <w:rFonts w:ascii="Times New Roman" w:hAnsi="Times New Roman" w:cs="Times New Roman"/>
          <w:sz w:val="20"/>
          <w:szCs w:val="20"/>
        </w:rPr>
        <w:t>For example, 2Tx rank-1 codebook are shown here from TS 38.211.</w:t>
      </w:r>
    </w:p>
    <w:p w:rsidR="008C5EF3" w:rsidRDefault="008C5EF3" w:rsidP="008C5EF3">
      <w:pPr>
        <w:pStyle w:val="TH"/>
        <w:rPr>
          <w:rFonts w:eastAsia="Times New Roman" w:cs="Times New Roman"/>
          <w:sz w:val="20"/>
          <w:szCs w:val="20"/>
        </w:rPr>
      </w:pPr>
      <w:r>
        <w:t xml:space="preserve">Table 6.3.1.5-1: Precoding matrix </w:t>
      </w:r>
      <w:r>
        <w:rPr>
          <w:rFonts w:eastAsia="Times New Roman" w:cs="Times New Roman"/>
          <w:position w:val="-6"/>
          <w:sz w:val="20"/>
          <w:szCs w:val="20"/>
        </w:rPr>
        <w:object w:dxaOrig="252" w:dyaOrig="240">
          <v:shape id="_x0000_i1029" type="#_x0000_t75" style="width:12.25pt;height:12.25pt" o:ole="">
            <v:imagedata r:id="rId22" o:title=""/>
          </v:shape>
          <o:OLEObject Type="Embed" ProgID="Equation.3" ShapeID="_x0000_i1029" DrawAspect="Content" ObjectID="_1602704055" r:id="rId23"/>
        </w:object>
      </w:r>
      <w:r>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61"/>
        <w:gridCol w:w="999"/>
        <w:gridCol w:w="906"/>
        <w:gridCol w:w="1039"/>
        <w:gridCol w:w="906"/>
        <w:gridCol w:w="1056"/>
        <w:gridCol w:w="851"/>
        <w:gridCol w:w="1140"/>
      </w:tblGrid>
      <w:tr w:rsidR="008C5EF3" w:rsidTr="008C5EF3">
        <w:trPr>
          <w:jc w:val="center"/>
        </w:trPr>
        <w:tc>
          <w:tcPr>
            <w:tcW w:w="1229" w:type="dxa"/>
            <w:tcBorders>
              <w:top w:val="single" w:sz="4" w:space="0" w:color="auto"/>
              <w:left w:val="single" w:sz="4" w:space="0" w:color="auto"/>
              <w:bottom w:val="single" w:sz="4" w:space="0" w:color="auto"/>
              <w:right w:val="single" w:sz="4" w:space="0" w:color="auto"/>
            </w:tcBorders>
            <w:hideMark/>
          </w:tcPr>
          <w:p w:rsidR="008C5EF3" w:rsidRDefault="008C5EF3">
            <w:pPr>
              <w:pStyle w:val="TAH"/>
              <w:rPr>
                <w:rFonts w:eastAsia="Batang"/>
              </w:rPr>
            </w:pPr>
            <w:r>
              <w:rPr>
                <w:rFonts w:eastAsia="Batang"/>
              </w:rPr>
              <w:t>TPMI index</w:t>
            </w:r>
          </w:p>
        </w:tc>
        <w:tc>
          <w:tcPr>
            <w:tcW w:w="7741" w:type="dxa"/>
            <w:gridSpan w:val="8"/>
            <w:tcBorders>
              <w:top w:val="single" w:sz="4" w:space="0" w:color="auto"/>
              <w:left w:val="single" w:sz="4" w:space="0" w:color="auto"/>
              <w:bottom w:val="single" w:sz="4" w:space="0" w:color="auto"/>
              <w:right w:val="single" w:sz="4" w:space="0" w:color="auto"/>
            </w:tcBorders>
            <w:vAlign w:val="center"/>
            <w:hideMark/>
          </w:tcPr>
          <w:p w:rsidR="008C5EF3" w:rsidRDefault="008C5EF3">
            <w:pPr>
              <w:pStyle w:val="TAH"/>
              <w:rPr>
                <w:rFonts w:eastAsia="Batang"/>
              </w:rPr>
            </w:pPr>
            <w:r>
              <w:rPr>
                <w:rFonts w:eastAsia="Batang" w:cs="Times New Roman"/>
                <w:szCs w:val="20"/>
              </w:rPr>
              <w:object w:dxaOrig="264" w:dyaOrig="240">
                <v:shape id="_x0000_i1030" type="#_x0000_t75" style="width:12.9pt;height:12.25pt" o:ole="">
                  <v:imagedata r:id="rId24" o:title=""/>
                </v:shape>
                <o:OLEObject Type="Embed" ProgID="Equation.3" ShapeID="_x0000_i1030" DrawAspect="Content" ObjectID="_1602704056" r:id="rId25"/>
              </w:object>
            </w:r>
            <w:r>
              <w:rPr>
                <w:rFonts w:eastAsia="Batang"/>
              </w:rPr>
              <w:br/>
              <w:t>(ordered from left to right in increasing order of TPMI index)</w:t>
            </w:r>
          </w:p>
        </w:tc>
      </w:tr>
      <w:tr w:rsidR="008C5EF3" w:rsidTr="008C5EF3">
        <w:trPr>
          <w:jc w:val="center"/>
        </w:trPr>
        <w:tc>
          <w:tcPr>
            <w:tcW w:w="1229" w:type="dxa"/>
            <w:tcBorders>
              <w:top w:val="single" w:sz="4" w:space="0" w:color="auto"/>
              <w:left w:val="single" w:sz="4" w:space="0" w:color="auto"/>
              <w:bottom w:val="single" w:sz="4" w:space="0" w:color="auto"/>
              <w:right w:val="single" w:sz="4" w:space="0" w:color="auto"/>
            </w:tcBorders>
            <w:hideMark/>
          </w:tcPr>
          <w:p w:rsidR="008C5EF3" w:rsidRDefault="008C5EF3">
            <w:pPr>
              <w:pStyle w:val="TAC"/>
              <w:rPr>
                <w:rFonts w:eastAsia="Batang"/>
              </w:rPr>
            </w:pPr>
            <w:r>
              <w:rPr>
                <w:rFonts w:eastAsia="Batang"/>
              </w:rPr>
              <w:t>0 – 5</w:t>
            </w:r>
          </w:p>
        </w:tc>
        <w:tc>
          <w:tcPr>
            <w:tcW w:w="861" w:type="dxa"/>
            <w:tcBorders>
              <w:top w:val="single" w:sz="4" w:space="0" w:color="auto"/>
              <w:left w:val="single" w:sz="4" w:space="0" w:color="auto"/>
              <w:bottom w:val="single" w:sz="4" w:space="0" w:color="auto"/>
              <w:right w:val="single" w:sz="4" w:space="0" w:color="auto"/>
            </w:tcBorders>
            <w:hideMark/>
          </w:tcPr>
          <w:p w:rsidR="008C5EF3" w:rsidRDefault="008C5EF3">
            <w:pPr>
              <w:pStyle w:val="TAC"/>
              <w:rPr>
                <w:rFonts w:eastAsia="Batang"/>
              </w:rPr>
            </w:pPr>
            <w:r>
              <w:rPr>
                <w:rFonts w:eastAsia="Batang" w:cs="Times New Roman"/>
                <w:position w:val="-26"/>
                <w:szCs w:val="20"/>
              </w:rPr>
              <w:object w:dxaOrig="648" w:dyaOrig="612">
                <v:shape id="_x0000_i1031" type="#_x0000_t75" style="width:31.9pt;height:30.55pt" o:ole="">
                  <v:imagedata r:id="rId26" o:title=""/>
                </v:shape>
                <o:OLEObject Type="Embed" ProgID="Equation.3" ShapeID="_x0000_i1031" DrawAspect="Content" ObjectID="_1602704057" r:id="rId27"/>
              </w:object>
            </w:r>
          </w:p>
        </w:tc>
        <w:tc>
          <w:tcPr>
            <w:tcW w:w="999" w:type="dxa"/>
            <w:tcBorders>
              <w:top w:val="single" w:sz="4" w:space="0" w:color="auto"/>
              <w:left w:val="single" w:sz="4" w:space="0" w:color="auto"/>
              <w:bottom w:val="single" w:sz="4" w:space="0" w:color="auto"/>
              <w:right w:val="single" w:sz="4" w:space="0" w:color="auto"/>
            </w:tcBorders>
            <w:hideMark/>
          </w:tcPr>
          <w:p w:rsidR="008C5EF3" w:rsidRDefault="008C5EF3">
            <w:pPr>
              <w:pStyle w:val="TAC"/>
              <w:rPr>
                <w:rFonts w:eastAsia="Batang"/>
              </w:rPr>
            </w:pPr>
            <w:r>
              <w:rPr>
                <w:rFonts w:eastAsia="Batang" w:cs="Times New Roman"/>
                <w:position w:val="-26"/>
                <w:szCs w:val="20"/>
              </w:rPr>
              <w:object w:dxaOrig="648" w:dyaOrig="612">
                <v:shape id="_x0000_i1032" type="#_x0000_t75" style="width:31.9pt;height:30.55pt" o:ole="">
                  <v:imagedata r:id="rId28" o:title=""/>
                </v:shape>
                <o:OLEObject Type="Embed" ProgID="Equation.3" ShapeID="_x0000_i1032" DrawAspect="Content" ObjectID="_1602704058" r:id="rId29"/>
              </w:object>
            </w:r>
          </w:p>
        </w:tc>
        <w:tc>
          <w:tcPr>
            <w:tcW w:w="906" w:type="dxa"/>
            <w:tcBorders>
              <w:top w:val="single" w:sz="4" w:space="0" w:color="auto"/>
              <w:left w:val="single" w:sz="4" w:space="0" w:color="auto"/>
              <w:bottom w:val="single" w:sz="4" w:space="0" w:color="auto"/>
              <w:right w:val="single" w:sz="4" w:space="0" w:color="auto"/>
            </w:tcBorders>
            <w:hideMark/>
          </w:tcPr>
          <w:p w:rsidR="008C5EF3" w:rsidRDefault="008C5EF3">
            <w:pPr>
              <w:pStyle w:val="TAC"/>
              <w:rPr>
                <w:rFonts w:eastAsia="Batang"/>
              </w:rPr>
            </w:pPr>
            <w:r>
              <w:rPr>
                <w:rFonts w:eastAsia="Batang"/>
                <w:noProof/>
                <w:lang w:eastAsia="en-GB"/>
              </w:rPr>
              <w:drawing>
                <wp:inline distT="0" distB="0" distL="0" distR="0">
                  <wp:extent cx="408940" cy="3879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8940" cy="387985"/>
                          </a:xfrm>
                          <a:prstGeom prst="rect">
                            <a:avLst/>
                          </a:prstGeom>
                          <a:noFill/>
                          <a:ln>
                            <a:noFill/>
                          </a:ln>
                        </pic:spPr>
                      </pic:pic>
                    </a:graphicData>
                  </a:graphic>
                </wp:inline>
              </w:drawing>
            </w:r>
          </w:p>
        </w:tc>
        <w:tc>
          <w:tcPr>
            <w:tcW w:w="1039" w:type="dxa"/>
            <w:tcBorders>
              <w:top w:val="single" w:sz="4" w:space="0" w:color="auto"/>
              <w:left w:val="single" w:sz="4" w:space="0" w:color="auto"/>
              <w:bottom w:val="single" w:sz="4" w:space="0" w:color="auto"/>
              <w:right w:val="single" w:sz="4" w:space="0" w:color="auto"/>
            </w:tcBorders>
            <w:hideMark/>
          </w:tcPr>
          <w:p w:rsidR="008C5EF3" w:rsidRDefault="008C5EF3">
            <w:pPr>
              <w:pStyle w:val="TAC"/>
              <w:rPr>
                <w:rFonts w:eastAsia="Batang"/>
              </w:rPr>
            </w:pPr>
            <w:r>
              <w:rPr>
                <w:rFonts w:eastAsia="Batang"/>
                <w:noProof/>
                <w:lang w:eastAsia="en-GB"/>
              </w:rPr>
              <w:drawing>
                <wp:inline distT="0" distB="0" distL="0" distR="0">
                  <wp:extent cx="498475" cy="3879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98475" cy="387985"/>
                          </a:xfrm>
                          <a:prstGeom prst="rect">
                            <a:avLst/>
                          </a:prstGeom>
                          <a:noFill/>
                          <a:ln>
                            <a:noFill/>
                          </a:ln>
                        </pic:spPr>
                      </pic:pic>
                    </a:graphicData>
                  </a:graphic>
                </wp:inline>
              </w:drawing>
            </w:r>
          </w:p>
        </w:tc>
        <w:tc>
          <w:tcPr>
            <w:tcW w:w="906" w:type="dxa"/>
            <w:tcBorders>
              <w:top w:val="single" w:sz="4" w:space="0" w:color="auto"/>
              <w:left w:val="single" w:sz="4" w:space="0" w:color="auto"/>
              <w:bottom w:val="single" w:sz="4" w:space="0" w:color="auto"/>
              <w:right w:val="single" w:sz="4" w:space="0" w:color="auto"/>
            </w:tcBorders>
            <w:hideMark/>
          </w:tcPr>
          <w:p w:rsidR="008C5EF3" w:rsidRDefault="008C5EF3">
            <w:pPr>
              <w:pStyle w:val="TAC"/>
              <w:rPr>
                <w:rFonts w:eastAsia="Batang"/>
              </w:rPr>
            </w:pPr>
            <w:r>
              <w:rPr>
                <w:rFonts w:eastAsia="Batang"/>
                <w:noProof/>
                <w:lang w:eastAsia="en-GB"/>
              </w:rPr>
              <w:drawing>
                <wp:inline distT="0" distB="0" distL="0" distR="0">
                  <wp:extent cx="429260" cy="387985"/>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9260" cy="387985"/>
                          </a:xfrm>
                          <a:prstGeom prst="rect">
                            <a:avLst/>
                          </a:prstGeom>
                          <a:noFill/>
                          <a:ln>
                            <a:noFill/>
                          </a:ln>
                        </pic:spPr>
                      </pic:pic>
                    </a:graphicData>
                  </a:graphic>
                </wp:inline>
              </w:drawing>
            </w:r>
          </w:p>
        </w:tc>
        <w:tc>
          <w:tcPr>
            <w:tcW w:w="1039" w:type="dxa"/>
            <w:tcBorders>
              <w:top w:val="single" w:sz="4" w:space="0" w:color="auto"/>
              <w:left w:val="single" w:sz="4" w:space="0" w:color="auto"/>
              <w:bottom w:val="single" w:sz="4" w:space="0" w:color="auto"/>
              <w:right w:val="single" w:sz="4" w:space="0" w:color="auto"/>
            </w:tcBorders>
            <w:hideMark/>
          </w:tcPr>
          <w:p w:rsidR="008C5EF3" w:rsidRDefault="008C5EF3">
            <w:pPr>
              <w:pStyle w:val="TAC"/>
              <w:rPr>
                <w:rFonts w:eastAsia="Batang"/>
              </w:rPr>
            </w:pPr>
            <w:r>
              <w:rPr>
                <w:rFonts w:eastAsia="Batang"/>
                <w:noProof/>
                <w:lang w:eastAsia="en-GB"/>
              </w:rPr>
              <w:drawing>
                <wp:inline distT="0" distB="0" distL="0" distR="0">
                  <wp:extent cx="526415" cy="38798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26415" cy="387985"/>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vAlign w:val="center"/>
            <w:hideMark/>
          </w:tcPr>
          <w:p w:rsidR="008C5EF3" w:rsidRDefault="008C5EF3">
            <w:pPr>
              <w:pStyle w:val="TAC"/>
              <w:rPr>
                <w:rFonts w:eastAsia="Batang"/>
              </w:rPr>
            </w:pPr>
            <w:r>
              <w:t>-</w:t>
            </w:r>
          </w:p>
        </w:tc>
        <w:tc>
          <w:tcPr>
            <w:tcW w:w="1140" w:type="dxa"/>
            <w:tcBorders>
              <w:top w:val="single" w:sz="4" w:space="0" w:color="auto"/>
              <w:left w:val="single" w:sz="4" w:space="0" w:color="auto"/>
              <w:bottom w:val="single" w:sz="4" w:space="0" w:color="auto"/>
              <w:right w:val="single" w:sz="4" w:space="0" w:color="auto"/>
            </w:tcBorders>
            <w:vAlign w:val="center"/>
            <w:hideMark/>
          </w:tcPr>
          <w:p w:rsidR="008C5EF3" w:rsidRDefault="008C5EF3">
            <w:pPr>
              <w:pStyle w:val="TAC"/>
              <w:rPr>
                <w:rFonts w:eastAsia="Batang"/>
              </w:rPr>
            </w:pPr>
            <w:r>
              <w:t>-</w:t>
            </w:r>
          </w:p>
        </w:tc>
      </w:tr>
    </w:tbl>
    <w:p w:rsidR="00BD360C" w:rsidRPr="008C5EF3" w:rsidRDefault="00BD360C" w:rsidP="00577EEA">
      <w:pPr>
        <w:rPr>
          <w:rFonts w:ascii="Times New Roman" w:hAnsi="Times New Roman" w:cs="Times New Roman"/>
          <w:sz w:val="20"/>
          <w:szCs w:val="20"/>
        </w:rPr>
      </w:pPr>
    </w:p>
    <w:p w:rsidR="008C5EF3" w:rsidRDefault="008C5EF3" w:rsidP="008C5EF3">
      <w:pPr>
        <w:pStyle w:val="TH"/>
        <w:overflowPunct w:val="0"/>
        <w:autoSpaceDE w:val="0"/>
        <w:autoSpaceDN w:val="0"/>
        <w:adjustRightInd w:val="0"/>
        <w:textAlignment w:val="baseline"/>
        <w:rPr>
          <w:rFonts w:eastAsia="SimSun" w:cs="Times New Roman"/>
          <w:sz w:val="20"/>
          <w:szCs w:val="20"/>
        </w:rPr>
      </w:pPr>
      <w:r>
        <w:lastRenderedPageBreak/>
        <w:t xml:space="preserve">Table 7.3.1.1.2-5: Precoding information and number of layers, for 2 antenna ports, if </w:t>
      </w:r>
      <w:r>
        <w:rPr>
          <w:i/>
        </w:rPr>
        <w:t>transformPrecoder= enabled</w:t>
      </w:r>
      <w:r>
        <w:t xml:space="preserve">, or if </w:t>
      </w:r>
      <w:r>
        <w:rPr>
          <w:i/>
        </w:rPr>
        <w:t xml:space="preserve">transformPrecoder= disabled </w:t>
      </w:r>
      <w:r>
        <w:t>and</w:t>
      </w:r>
      <w:r>
        <w:rPr>
          <w:i/>
          <w:iCs/>
        </w:rPr>
        <w:t xml:space="preserve"> maxRank</w:t>
      </w:r>
      <w:r>
        <w:rPr>
          <w:iCs/>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8C5EF3" w:rsidTr="008C5EF3">
        <w:trPr>
          <w:trHeight w:val="424"/>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5EF3" w:rsidRDefault="008C5EF3">
            <w:pPr>
              <w:pStyle w:val="TAC"/>
            </w:pPr>
            <w:r>
              <w:t>Bit field mapped to index</w:t>
            </w:r>
          </w:p>
        </w:tc>
        <w:tc>
          <w:tcPr>
            <w:tcW w:w="266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5EF3" w:rsidRDefault="008C5EF3">
            <w:pPr>
              <w:pStyle w:val="TAC"/>
            </w:pPr>
            <w:r>
              <w:rPr>
                <w:i/>
              </w:rPr>
              <w:t>codebookSubset</w:t>
            </w:r>
            <w:r>
              <w:t xml:space="preserve"> = </w:t>
            </w:r>
            <w:r>
              <w:rPr>
                <w:i/>
              </w:rPr>
              <w:t>fullyAndPartialAndNonCoherent</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5EF3" w:rsidRDefault="008C5EF3">
            <w:pPr>
              <w:pStyle w:val="TAC"/>
            </w:pPr>
            <w:r>
              <w:t>Bit field mapped to index</w:t>
            </w:r>
          </w:p>
        </w:tc>
        <w:tc>
          <w:tcPr>
            <w:tcW w:w="182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5EF3" w:rsidRDefault="008C5EF3">
            <w:pPr>
              <w:pStyle w:val="TAC"/>
            </w:pPr>
            <w:r>
              <w:rPr>
                <w:i/>
              </w:rPr>
              <w:t>codebookSubset</w:t>
            </w:r>
            <w:r>
              <w:t xml:space="preserve"> = </w:t>
            </w:r>
            <w:r>
              <w:rPr>
                <w:i/>
              </w:rPr>
              <w:t>nonCoherent</w:t>
            </w:r>
          </w:p>
        </w:tc>
      </w:tr>
      <w:tr w:rsidR="008C5EF3" w:rsidTr="008C5EF3">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rsidR="008C5EF3" w:rsidRDefault="008C5EF3">
            <w:pPr>
              <w:pStyle w:val="TAC"/>
            </w:pPr>
            <w:r>
              <w:t>0</w:t>
            </w:r>
          </w:p>
        </w:tc>
        <w:tc>
          <w:tcPr>
            <w:tcW w:w="2668" w:type="dxa"/>
            <w:tcBorders>
              <w:top w:val="single" w:sz="4" w:space="0" w:color="auto"/>
              <w:left w:val="single" w:sz="4" w:space="0" w:color="auto"/>
              <w:bottom w:val="single" w:sz="4" w:space="0" w:color="auto"/>
              <w:right w:val="single" w:sz="4" w:space="0" w:color="auto"/>
            </w:tcBorders>
            <w:hideMark/>
          </w:tcPr>
          <w:p w:rsidR="008C5EF3" w:rsidRDefault="008C5EF3">
            <w:pPr>
              <w:pStyle w:val="TAC"/>
            </w:pPr>
            <w:r>
              <w:t>1 layer: TPMI=0</w:t>
            </w:r>
          </w:p>
        </w:tc>
        <w:tc>
          <w:tcPr>
            <w:tcW w:w="910" w:type="dxa"/>
            <w:tcBorders>
              <w:top w:val="single" w:sz="4" w:space="0" w:color="auto"/>
              <w:left w:val="single" w:sz="4" w:space="0" w:color="auto"/>
              <w:bottom w:val="single" w:sz="4" w:space="0" w:color="auto"/>
              <w:right w:val="single" w:sz="4" w:space="0" w:color="auto"/>
            </w:tcBorders>
            <w:shd w:val="clear" w:color="auto" w:fill="D9D9D9"/>
            <w:hideMark/>
          </w:tcPr>
          <w:p w:rsidR="008C5EF3" w:rsidRDefault="008C5EF3">
            <w:pPr>
              <w:pStyle w:val="TAC"/>
            </w:pPr>
            <w:r>
              <w:t>0</w:t>
            </w:r>
          </w:p>
        </w:tc>
        <w:tc>
          <w:tcPr>
            <w:tcW w:w="1828" w:type="dxa"/>
            <w:tcBorders>
              <w:top w:val="single" w:sz="4" w:space="0" w:color="auto"/>
              <w:left w:val="single" w:sz="4" w:space="0" w:color="auto"/>
              <w:bottom w:val="single" w:sz="4" w:space="0" w:color="auto"/>
              <w:right w:val="single" w:sz="4" w:space="0" w:color="auto"/>
            </w:tcBorders>
            <w:hideMark/>
          </w:tcPr>
          <w:p w:rsidR="008C5EF3" w:rsidRDefault="008C5EF3">
            <w:pPr>
              <w:pStyle w:val="TAC"/>
            </w:pPr>
            <w:r>
              <w:t>1 layer: TPMI=0</w:t>
            </w:r>
          </w:p>
        </w:tc>
      </w:tr>
      <w:tr w:rsidR="008C5EF3" w:rsidTr="008C5EF3">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5EF3" w:rsidRDefault="008C5EF3">
            <w:pPr>
              <w:pStyle w:val="TAC"/>
            </w:pPr>
            <w:r>
              <w:t>1</w:t>
            </w:r>
          </w:p>
        </w:tc>
        <w:tc>
          <w:tcPr>
            <w:tcW w:w="2668" w:type="dxa"/>
            <w:tcBorders>
              <w:top w:val="single" w:sz="4" w:space="0" w:color="auto"/>
              <w:left w:val="single" w:sz="4" w:space="0" w:color="auto"/>
              <w:bottom w:val="single" w:sz="4" w:space="0" w:color="auto"/>
              <w:right w:val="single" w:sz="4" w:space="0" w:color="auto"/>
            </w:tcBorders>
            <w:vAlign w:val="center"/>
            <w:hideMark/>
          </w:tcPr>
          <w:p w:rsidR="008C5EF3" w:rsidRDefault="008C5EF3">
            <w:pPr>
              <w:pStyle w:val="TAC"/>
            </w:pPr>
            <w:r>
              <w:t>1 layer: TPMI=1</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5EF3" w:rsidRDefault="008C5EF3">
            <w:pPr>
              <w:pStyle w:val="TAC"/>
            </w:pPr>
            <w:r>
              <w:t>1</w:t>
            </w:r>
          </w:p>
        </w:tc>
        <w:tc>
          <w:tcPr>
            <w:tcW w:w="1828" w:type="dxa"/>
            <w:tcBorders>
              <w:top w:val="single" w:sz="4" w:space="0" w:color="auto"/>
              <w:left w:val="single" w:sz="4" w:space="0" w:color="auto"/>
              <w:bottom w:val="single" w:sz="4" w:space="0" w:color="auto"/>
              <w:right w:val="single" w:sz="4" w:space="0" w:color="auto"/>
            </w:tcBorders>
            <w:vAlign w:val="center"/>
            <w:hideMark/>
          </w:tcPr>
          <w:p w:rsidR="008C5EF3" w:rsidRDefault="008C5EF3">
            <w:pPr>
              <w:pStyle w:val="TAC"/>
            </w:pPr>
            <w:r>
              <w:t>1 layer: TPMI=1</w:t>
            </w:r>
          </w:p>
        </w:tc>
      </w:tr>
      <w:tr w:rsidR="008C5EF3" w:rsidTr="008C5EF3">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5EF3" w:rsidRDefault="008C5EF3">
            <w:pPr>
              <w:pStyle w:val="TAC"/>
            </w:pPr>
            <w:r>
              <w:t>2</w:t>
            </w:r>
          </w:p>
        </w:tc>
        <w:tc>
          <w:tcPr>
            <w:tcW w:w="2668" w:type="dxa"/>
            <w:tcBorders>
              <w:top w:val="single" w:sz="4" w:space="0" w:color="auto"/>
              <w:left w:val="single" w:sz="4" w:space="0" w:color="auto"/>
              <w:bottom w:val="single" w:sz="4" w:space="0" w:color="auto"/>
              <w:right w:val="single" w:sz="4" w:space="0" w:color="auto"/>
            </w:tcBorders>
            <w:vAlign w:val="center"/>
            <w:hideMark/>
          </w:tcPr>
          <w:p w:rsidR="008C5EF3" w:rsidRDefault="008C5EF3">
            <w:pPr>
              <w:pStyle w:val="TAC"/>
            </w:pPr>
            <w:r>
              <w:t>1 layer: TPMI=2</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tcPr>
          <w:p w:rsidR="008C5EF3" w:rsidRDefault="008C5EF3">
            <w:pPr>
              <w:pStyle w:val="TAC"/>
            </w:pPr>
          </w:p>
        </w:tc>
        <w:tc>
          <w:tcPr>
            <w:tcW w:w="1828" w:type="dxa"/>
            <w:tcBorders>
              <w:top w:val="single" w:sz="4" w:space="0" w:color="auto"/>
              <w:left w:val="single" w:sz="4" w:space="0" w:color="auto"/>
              <w:bottom w:val="single" w:sz="4" w:space="0" w:color="auto"/>
              <w:right w:val="single" w:sz="4" w:space="0" w:color="auto"/>
            </w:tcBorders>
            <w:vAlign w:val="center"/>
          </w:tcPr>
          <w:p w:rsidR="008C5EF3" w:rsidRDefault="008C5EF3">
            <w:pPr>
              <w:pStyle w:val="TAC"/>
            </w:pPr>
          </w:p>
        </w:tc>
      </w:tr>
      <w:tr w:rsidR="008C5EF3" w:rsidTr="008C5EF3">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5EF3" w:rsidRDefault="008C5EF3">
            <w:pPr>
              <w:pStyle w:val="TAC"/>
            </w:pPr>
            <w:r>
              <w:t>3</w:t>
            </w:r>
          </w:p>
        </w:tc>
        <w:tc>
          <w:tcPr>
            <w:tcW w:w="2668" w:type="dxa"/>
            <w:tcBorders>
              <w:top w:val="single" w:sz="4" w:space="0" w:color="auto"/>
              <w:left w:val="single" w:sz="4" w:space="0" w:color="auto"/>
              <w:bottom w:val="single" w:sz="4" w:space="0" w:color="auto"/>
              <w:right w:val="single" w:sz="4" w:space="0" w:color="auto"/>
            </w:tcBorders>
            <w:vAlign w:val="center"/>
            <w:hideMark/>
          </w:tcPr>
          <w:p w:rsidR="008C5EF3" w:rsidRDefault="008C5EF3">
            <w:pPr>
              <w:pStyle w:val="TAC"/>
            </w:pPr>
            <w:r>
              <w:t>1 layer: TPMI=3</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tcPr>
          <w:p w:rsidR="008C5EF3" w:rsidRDefault="008C5EF3">
            <w:pPr>
              <w:pStyle w:val="TAC"/>
            </w:pPr>
          </w:p>
        </w:tc>
        <w:tc>
          <w:tcPr>
            <w:tcW w:w="1828" w:type="dxa"/>
            <w:tcBorders>
              <w:top w:val="single" w:sz="4" w:space="0" w:color="auto"/>
              <w:left w:val="single" w:sz="4" w:space="0" w:color="auto"/>
              <w:bottom w:val="single" w:sz="4" w:space="0" w:color="auto"/>
              <w:right w:val="single" w:sz="4" w:space="0" w:color="auto"/>
            </w:tcBorders>
            <w:vAlign w:val="center"/>
          </w:tcPr>
          <w:p w:rsidR="008C5EF3" w:rsidRDefault="008C5EF3">
            <w:pPr>
              <w:pStyle w:val="TAC"/>
            </w:pPr>
          </w:p>
        </w:tc>
      </w:tr>
      <w:tr w:rsidR="008C5EF3" w:rsidTr="008C5EF3">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rsidR="008C5EF3" w:rsidRDefault="008C5EF3">
            <w:pPr>
              <w:pStyle w:val="TAC"/>
            </w:pPr>
            <w:r>
              <w:t>4</w:t>
            </w:r>
          </w:p>
        </w:tc>
        <w:tc>
          <w:tcPr>
            <w:tcW w:w="2668" w:type="dxa"/>
            <w:tcBorders>
              <w:top w:val="single" w:sz="4" w:space="0" w:color="auto"/>
              <w:left w:val="single" w:sz="4" w:space="0" w:color="auto"/>
              <w:bottom w:val="single" w:sz="4" w:space="0" w:color="auto"/>
              <w:right w:val="single" w:sz="4" w:space="0" w:color="auto"/>
            </w:tcBorders>
            <w:hideMark/>
          </w:tcPr>
          <w:p w:rsidR="008C5EF3" w:rsidRDefault="008C5EF3">
            <w:pPr>
              <w:pStyle w:val="TAC"/>
            </w:pPr>
            <w:r>
              <w:t>1 layer: TPMI=4</w:t>
            </w:r>
          </w:p>
        </w:tc>
        <w:tc>
          <w:tcPr>
            <w:tcW w:w="910" w:type="dxa"/>
            <w:tcBorders>
              <w:top w:val="single" w:sz="4" w:space="0" w:color="auto"/>
              <w:left w:val="single" w:sz="4" w:space="0" w:color="auto"/>
              <w:bottom w:val="single" w:sz="4" w:space="0" w:color="auto"/>
              <w:right w:val="single" w:sz="4" w:space="0" w:color="auto"/>
            </w:tcBorders>
            <w:shd w:val="clear" w:color="auto" w:fill="D9D9D9"/>
          </w:tcPr>
          <w:p w:rsidR="008C5EF3" w:rsidRDefault="008C5EF3">
            <w:pPr>
              <w:pStyle w:val="TAC"/>
            </w:pPr>
          </w:p>
        </w:tc>
        <w:tc>
          <w:tcPr>
            <w:tcW w:w="1828" w:type="dxa"/>
            <w:tcBorders>
              <w:top w:val="single" w:sz="4" w:space="0" w:color="auto"/>
              <w:left w:val="single" w:sz="4" w:space="0" w:color="auto"/>
              <w:bottom w:val="single" w:sz="4" w:space="0" w:color="auto"/>
              <w:right w:val="single" w:sz="4" w:space="0" w:color="auto"/>
            </w:tcBorders>
          </w:tcPr>
          <w:p w:rsidR="008C5EF3" w:rsidRDefault="008C5EF3">
            <w:pPr>
              <w:pStyle w:val="TAC"/>
            </w:pPr>
          </w:p>
        </w:tc>
      </w:tr>
      <w:tr w:rsidR="008C5EF3" w:rsidTr="008C5EF3">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rsidR="008C5EF3" w:rsidRDefault="008C5EF3">
            <w:pPr>
              <w:pStyle w:val="TAC"/>
            </w:pPr>
            <w:r>
              <w:t>5</w:t>
            </w:r>
          </w:p>
        </w:tc>
        <w:tc>
          <w:tcPr>
            <w:tcW w:w="2668" w:type="dxa"/>
            <w:tcBorders>
              <w:top w:val="single" w:sz="4" w:space="0" w:color="auto"/>
              <w:left w:val="single" w:sz="4" w:space="0" w:color="auto"/>
              <w:bottom w:val="single" w:sz="4" w:space="0" w:color="auto"/>
              <w:right w:val="single" w:sz="4" w:space="0" w:color="auto"/>
            </w:tcBorders>
            <w:hideMark/>
          </w:tcPr>
          <w:p w:rsidR="008C5EF3" w:rsidRDefault="008C5EF3">
            <w:pPr>
              <w:pStyle w:val="TAC"/>
            </w:pPr>
            <w:r>
              <w:t>1 layer: TPMI=5</w:t>
            </w:r>
          </w:p>
        </w:tc>
        <w:tc>
          <w:tcPr>
            <w:tcW w:w="910" w:type="dxa"/>
            <w:tcBorders>
              <w:top w:val="single" w:sz="4" w:space="0" w:color="auto"/>
              <w:left w:val="single" w:sz="4" w:space="0" w:color="auto"/>
              <w:bottom w:val="single" w:sz="4" w:space="0" w:color="auto"/>
              <w:right w:val="single" w:sz="4" w:space="0" w:color="auto"/>
            </w:tcBorders>
            <w:shd w:val="clear" w:color="auto" w:fill="D9D9D9"/>
          </w:tcPr>
          <w:p w:rsidR="008C5EF3" w:rsidRDefault="008C5EF3">
            <w:pPr>
              <w:pStyle w:val="TAC"/>
            </w:pPr>
          </w:p>
        </w:tc>
        <w:tc>
          <w:tcPr>
            <w:tcW w:w="1828" w:type="dxa"/>
            <w:tcBorders>
              <w:top w:val="single" w:sz="4" w:space="0" w:color="auto"/>
              <w:left w:val="single" w:sz="4" w:space="0" w:color="auto"/>
              <w:bottom w:val="single" w:sz="4" w:space="0" w:color="auto"/>
              <w:right w:val="single" w:sz="4" w:space="0" w:color="auto"/>
            </w:tcBorders>
          </w:tcPr>
          <w:p w:rsidR="008C5EF3" w:rsidRDefault="008C5EF3">
            <w:pPr>
              <w:pStyle w:val="TAC"/>
            </w:pPr>
          </w:p>
        </w:tc>
      </w:tr>
      <w:tr w:rsidR="008C5EF3" w:rsidTr="008C5EF3">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rsidR="008C5EF3" w:rsidRDefault="008C5EF3">
            <w:pPr>
              <w:pStyle w:val="TAC"/>
            </w:pPr>
            <w:r>
              <w:t>6-7</w:t>
            </w:r>
          </w:p>
        </w:tc>
        <w:tc>
          <w:tcPr>
            <w:tcW w:w="2668" w:type="dxa"/>
            <w:tcBorders>
              <w:top w:val="single" w:sz="4" w:space="0" w:color="auto"/>
              <w:left w:val="single" w:sz="4" w:space="0" w:color="auto"/>
              <w:bottom w:val="single" w:sz="4" w:space="0" w:color="auto"/>
              <w:right w:val="single" w:sz="4" w:space="0" w:color="auto"/>
            </w:tcBorders>
            <w:hideMark/>
          </w:tcPr>
          <w:p w:rsidR="008C5EF3" w:rsidRDefault="008C5EF3">
            <w:pPr>
              <w:pStyle w:val="TAC"/>
            </w:pPr>
            <w:r>
              <w:t>reserved</w:t>
            </w:r>
          </w:p>
        </w:tc>
        <w:tc>
          <w:tcPr>
            <w:tcW w:w="910" w:type="dxa"/>
            <w:tcBorders>
              <w:top w:val="single" w:sz="4" w:space="0" w:color="auto"/>
              <w:left w:val="single" w:sz="4" w:space="0" w:color="auto"/>
              <w:bottom w:val="single" w:sz="4" w:space="0" w:color="auto"/>
              <w:right w:val="single" w:sz="4" w:space="0" w:color="auto"/>
            </w:tcBorders>
            <w:shd w:val="clear" w:color="auto" w:fill="D9D9D9"/>
          </w:tcPr>
          <w:p w:rsidR="008C5EF3" w:rsidRDefault="008C5EF3">
            <w:pPr>
              <w:pStyle w:val="TAC"/>
            </w:pPr>
          </w:p>
        </w:tc>
        <w:tc>
          <w:tcPr>
            <w:tcW w:w="1828" w:type="dxa"/>
            <w:tcBorders>
              <w:top w:val="single" w:sz="4" w:space="0" w:color="auto"/>
              <w:left w:val="single" w:sz="4" w:space="0" w:color="auto"/>
              <w:bottom w:val="single" w:sz="4" w:space="0" w:color="auto"/>
              <w:right w:val="single" w:sz="4" w:space="0" w:color="auto"/>
            </w:tcBorders>
          </w:tcPr>
          <w:p w:rsidR="008C5EF3" w:rsidRDefault="008C5EF3">
            <w:pPr>
              <w:pStyle w:val="TAC"/>
            </w:pPr>
          </w:p>
        </w:tc>
      </w:tr>
    </w:tbl>
    <w:p w:rsidR="00BD360C" w:rsidRDefault="00BD360C" w:rsidP="00577EEA">
      <w:pPr>
        <w:rPr>
          <w:rFonts w:ascii="Times New Roman" w:hAnsi="Times New Roman" w:cs="Times New Roman"/>
          <w:sz w:val="20"/>
          <w:szCs w:val="20"/>
          <w:u w:val="single"/>
        </w:rPr>
      </w:pPr>
    </w:p>
    <w:p w:rsidR="008C5EF3" w:rsidRDefault="008C5EF3" w:rsidP="00C44F3A">
      <w:pPr>
        <w:jc w:val="both"/>
        <w:rPr>
          <w:rFonts w:ascii="Times New Roman" w:hAnsi="Times New Roman" w:cs="Times New Roman"/>
          <w:sz w:val="20"/>
          <w:szCs w:val="20"/>
        </w:rPr>
      </w:pPr>
      <w:r>
        <w:rPr>
          <w:rFonts w:ascii="Times New Roman" w:hAnsi="Times New Roman" w:cs="Times New Roman"/>
          <w:sz w:val="20"/>
          <w:szCs w:val="20"/>
        </w:rPr>
        <w:t>The “precoding information and number of layers” of DCI is also show here. When the non-coherent codebook is selected, there are only two TPMI=0, and 1, related to the two precoders:</w:t>
      </w:r>
    </w:p>
    <w:p w:rsidR="00C44F3A" w:rsidRDefault="00C44F3A" w:rsidP="00C44F3A">
      <w:pPr>
        <w:jc w:val="center"/>
        <w:rPr>
          <w:rFonts w:ascii="Times New Roman" w:hAnsi="Times New Roman" w:cs="Times New Roman"/>
          <w:sz w:val="20"/>
          <w:szCs w:val="20"/>
        </w:rPr>
      </w:pPr>
      <w:r>
        <w:rPr>
          <w:rFonts w:eastAsia="Batang" w:cs="Times New Roman"/>
          <w:position w:val="-26"/>
          <w:szCs w:val="20"/>
        </w:rPr>
        <w:object w:dxaOrig="648" w:dyaOrig="612">
          <v:shape id="_x0000_i1033" type="#_x0000_t75" style="width:31.9pt;height:30.55pt" o:ole="">
            <v:imagedata r:id="rId26" o:title=""/>
          </v:shape>
          <o:OLEObject Type="Embed" ProgID="Equation.3" ShapeID="_x0000_i1033" DrawAspect="Content" ObjectID="_1602704059" r:id="rId34"/>
        </w:object>
      </w:r>
      <w:r>
        <w:rPr>
          <w:rFonts w:eastAsia="Batang" w:cs="Times New Roman"/>
          <w:szCs w:val="20"/>
        </w:rPr>
        <w:t xml:space="preserve">, </w:t>
      </w:r>
      <w:r>
        <w:rPr>
          <w:rFonts w:eastAsia="Batang" w:cs="Times New Roman"/>
          <w:position w:val="-26"/>
          <w:szCs w:val="20"/>
        </w:rPr>
        <w:object w:dxaOrig="648" w:dyaOrig="612">
          <v:shape id="_x0000_i1034" type="#_x0000_t75" style="width:31.9pt;height:30.55pt" o:ole="">
            <v:imagedata r:id="rId28" o:title=""/>
          </v:shape>
          <o:OLEObject Type="Embed" ProgID="Equation.3" ShapeID="_x0000_i1034" DrawAspect="Content" ObjectID="_1602704060" r:id="rId35"/>
        </w:object>
      </w:r>
    </w:p>
    <w:p w:rsidR="008C5EF3" w:rsidRDefault="00641FCC" w:rsidP="00C44F3A">
      <w:pPr>
        <w:jc w:val="both"/>
        <w:rPr>
          <w:rFonts w:ascii="Times New Roman" w:hAnsi="Times New Roman" w:cs="Times New Roman"/>
          <w:sz w:val="20"/>
          <w:szCs w:val="20"/>
        </w:rPr>
      </w:pPr>
      <w:r>
        <w:rPr>
          <w:rFonts w:ascii="Times New Roman" w:hAnsi="Times New Roman" w:cs="Times New Roman"/>
          <w:sz w:val="20"/>
          <w:szCs w:val="20"/>
        </w:rPr>
        <w:t>We may adjust the codebook to let non-coherent codebook also</w:t>
      </w:r>
      <w:r w:rsidR="00C44F3A">
        <w:rPr>
          <w:rFonts w:ascii="Times New Roman" w:hAnsi="Times New Roman" w:cs="Times New Roman"/>
          <w:sz w:val="20"/>
          <w:szCs w:val="20"/>
        </w:rPr>
        <w:t xml:space="preserve"> supports this</w:t>
      </w:r>
      <w:r>
        <w:rPr>
          <w:rFonts w:ascii="Times New Roman" w:hAnsi="Times New Roman" w:cs="Times New Roman"/>
          <w:sz w:val="20"/>
          <w:szCs w:val="20"/>
        </w:rPr>
        <w:t xml:space="preserve"> precoder </w:t>
      </w:r>
    </w:p>
    <w:p w:rsidR="00C44F3A" w:rsidRDefault="00C44F3A" w:rsidP="00C44F3A">
      <w:pPr>
        <w:jc w:val="center"/>
        <w:rPr>
          <w:rFonts w:ascii="Times New Roman" w:hAnsi="Times New Roman" w:cs="Times New Roman"/>
          <w:sz w:val="20"/>
          <w:szCs w:val="20"/>
        </w:rPr>
      </w:pPr>
      <w:r>
        <w:rPr>
          <w:rFonts w:eastAsia="Batang"/>
          <w:noProof/>
          <w:lang w:eastAsia="en-GB"/>
        </w:rPr>
        <w:drawing>
          <wp:inline distT="0" distB="0" distL="0" distR="0" wp14:anchorId="11E7B01B" wp14:editId="005BBD26">
            <wp:extent cx="408940" cy="3879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8940" cy="387985"/>
                    </a:xfrm>
                    <a:prstGeom prst="rect">
                      <a:avLst/>
                    </a:prstGeom>
                    <a:noFill/>
                    <a:ln>
                      <a:noFill/>
                    </a:ln>
                  </pic:spPr>
                </pic:pic>
              </a:graphicData>
            </a:graphic>
          </wp:inline>
        </w:drawing>
      </w:r>
    </w:p>
    <w:p w:rsidR="008C5EF3" w:rsidRDefault="00641FCC" w:rsidP="004A5B59">
      <w:pPr>
        <w:jc w:val="both"/>
        <w:rPr>
          <w:rFonts w:ascii="Times New Roman" w:hAnsi="Times New Roman" w:cs="Times New Roman"/>
          <w:sz w:val="20"/>
          <w:szCs w:val="20"/>
        </w:rPr>
      </w:pPr>
      <w:r w:rsidRPr="00641FCC">
        <w:rPr>
          <w:rFonts w:ascii="Times New Roman" w:hAnsi="Times New Roman" w:cs="Times New Roman"/>
          <w:sz w:val="20"/>
          <w:szCs w:val="20"/>
        </w:rPr>
        <w:t>with TPMI=2</w:t>
      </w:r>
      <w:r>
        <w:rPr>
          <w:rFonts w:ascii="Times New Roman" w:hAnsi="Times New Roman" w:cs="Times New Roman"/>
          <w:sz w:val="20"/>
          <w:szCs w:val="20"/>
        </w:rPr>
        <w:t xml:space="preserve"> for single layer transmission. </w:t>
      </w:r>
      <w:r w:rsidR="004A5B59">
        <w:rPr>
          <w:rFonts w:ascii="Times New Roman" w:hAnsi="Times New Roman" w:cs="Times New Roman"/>
          <w:sz w:val="20"/>
          <w:szCs w:val="20"/>
        </w:rPr>
        <w:t>With this approach, UE can still use their two Tx ports for rank-1 transmission even though these two Tx ports are not coherent. If the UE has its maximum power limit at 20dBm per Tx port, the full 23dBm transmission power can be reached with two non-coherent transmission. Similar approach can be extended to other rank</w:t>
      </w:r>
      <w:r w:rsidR="00E74FD1">
        <w:rPr>
          <w:rFonts w:ascii="Times New Roman" w:hAnsi="Times New Roman" w:cs="Times New Roman"/>
          <w:sz w:val="20"/>
          <w:szCs w:val="20"/>
        </w:rPr>
        <w:t>s and 4Tx-port transmission.</w:t>
      </w:r>
    </w:p>
    <w:p w:rsidR="004A5B59" w:rsidRDefault="00E74FD1" w:rsidP="004A5B59">
      <w:pPr>
        <w:jc w:val="both"/>
        <w:rPr>
          <w:rFonts w:ascii="Times New Roman" w:hAnsi="Times New Roman" w:cs="Times New Roman"/>
          <w:sz w:val="20"/>
          <w:szCs w:val="20"/>
        </w:rPr>
      </w:pPr>
      <w:r>
        <w:rPr>
          <w:rFonts w:ascii="Times New Roman" w:hAnsi="Times New Roman" w:cs="Times New Roman"/>
          <w:sz w:val="20"/>
          <w:szCs w:val="20"/>
        </w:rPr>
        <w:t>The cost is the expanding of the size of non-coherent codebook size. In the 2Tx rank-1 transmission case, one more precoder will be added, which will increase the size of “precoding information and number of layers” in DCI from 1-bit to 2-bits.</w:t>
      </w:r>
    </w:p>
    <w:p w:rsidR="00E74FD1" w:rsidRPr="00E74FD1" w:rsidRDefault="00E74FD1" w:rsidP="004A5B59">
      <w:pPr>
        <w:jc w:val="both"/>
        <w:rPr>
          <w:rFonts w:ascii="Times New Roman" w:hAnsi="Times New Roman" w:cs="Times New Roman"/>
          <w:b/>
          <w:sz w:val="20"/>
          <w:szCs w:val="20"/>
        </w:rPr>
      </w:pPr>
      <w:r w:rsidRPr="00E74FD1">
        <w:rPr>
          <w:rFonts w:ascii="Times New Roman" w:hAnsi="Times New Roman" w:cs="Times New Roman"/>
          <w:b/>
          <w:sz w:val="20"/>
          <w:szCs w:val="20"/>
        </w:rPr>
        <w:t>Proposal</w:t>
      </w:r>
      <w:r w:rsidR="00326DAB">
        <w:rPr>
          <w:rFonts w:ascii="Times New Roman" w:hAnsi="Times New Roman" w:cs="Times New Roman"/>
          <w:b/>
          <w:sz w:val="20"/>
          <w:szCs w:val="20"/>
        </w:rPr>
        <w:t xml:space="preserve"> 1</w:t>
      </w:r>
      <w:r w:rsidRPr="00E74FD1">
        <w:rPr>
          <w:rFonts w:ascii="Times New Roman" w:hAnsi="Times New Roman" w:cs="Times New Roman"/>
          <w:b/>
          <w:sz w:val="20"/>
          <w:szCs w:val="20"/>
        </w:rPr>
        <w:t xml:space="preserve">: Support </w:t>
      </w:r>
      <w:r w:rsidR="004C3507">
        <w:rPr>
          <w:rFonts w:ascii="Times New Roman" w:hAnsi="Times New Roman" w:cs="Times New Roman"/>
          <w:b/>
          <w:sz w:val="20"/>
          <w:szCs w:val="20"/>
        </w:rPr>
        <w:t xml:space="preserve">to </w:t>
      </w:r>
      <w:r w:rsidRPr="00E74FD1">
        <w:rPr>
          <w:rFonts w:ascii="Times New Roman" w:hAnsi="Times New Roman" w:cs="Times New Roman"/>
          <w:b/>
          <w:sz w:val="20"/>
          <w:szCs w:val="20"/>
        </w:rPr>
        <w:t>adjust the non-coherent and partial-coherent codebook size</w:t>
      </w:r>
      <w:r w:rsidR="00560599">
        <w:rPr>
          <w:rFonts w:ascii="Times New Roman" w:hAnsi="Times New Roman" w:cs="Times New Roman"/>
          <w:b/>
          <w:sz w:val="20"/>
          <w:szCs w:val="20"/>
        </w:rPr>
        <w:t xml:space="preserve"> with a new codebook subset.</w:t>
      </w:r>
    </w:p>
    <w:p w:rsidR="004A5B59" w:rsidRDefault="00560599" w:rsidP="004A5B59">
      <w:pPr>
        <w:jc w:val="both"/>
        <w:rPr>
          <w:rFonts w:ascii="Times New Roman" w:hAnsi="Times New Roman" w:cs="Times New Roman"/>
          <w:sz w:val="20"/>
          <w:szCs w:val="20"/>
        </w:rPr>
      </w:pPr>
      <w:r>
        <w:rPr>
          <w:rFonts w:ascii="Times New Roman" w:hAnsi="Times New Roman" w:cs="Times New Roman"/>
          <w:sz w:val="20"/>
          <w:szCs w:val="20"/>
        </w:rPr>
        <w:t>UE capacity indication is needed to enable this new codebook subset. UE shall indicate its capability whether it can support full Tx power with its single Tx, or part of Tx ports.</w:t>
      </w:r>
    </w:p>
    <w:p w:rsidR="00560599" w:rsidRPr="00560599" w:rsidRDefault="00560599" w:rsidP="004A5B59">
      <w:pPr>
        <w:jc w:val="both"/>
        <w:rPr>
          <w:rFonts w:ascii="Times New Roman" w:hAnsi="Times New Roman" w:cs="Times New Roman"/>
          <w:b/>
          <w:sz w:val="20"/>
          <w:szCs w:val="20"/>
        </w:rPr>
      </w:pPr>
      <w:r w:rsidRPr="00560599">
        <w:rPr>
          <w:rFonts w:ascii="Times New Roman" w:hAnsi="Times New Roman" w:cs="Times New Roman"/>
          <w:b/>
          <w:sz w:val="20"/>
          <w:szCs w:val="20"/>
        </w:rPr>
        <w:t>Proposal</w:t>
      </w:r>
      <w:r w:rsidR="00326DAB">
        <w:rPr>
          <w:rFonts w:ascii="Times New Roman" w:hAnsi="Times New Roman" w:cs="Times New Roman"/>
          <w:b/>
          <w:sz w:val="20"/>
          <w:szCs w:val="20"/>
        </w:rPr>
        <w:t xml:space="preserve"> 2</w:t>
      </w:r>
      <w:r w:rsidRPr="00560599">
        <w:rPr>
          <w:rFonts w:ascii="Times New Roman" w:hAnsi="Times New Roman" w:cs="Times New Roman"/>
          <w:b/>
          <w:sz w:val="20"/>
          <w:szCs w:val="20"/>
        </w:rPr>
        <w:t>: Support UE capacity indication of its full Tx power capability.</w:t>
      </w:r>
    </w:p>
    <w:p w:rsidR="008C5EF3" w:rsidRDefault="008C5EF3" w:rsidP="00577EEA">
      <w:pPr>
        <w:rPr>
          <w:rFonts w:ascii="Times New Roman" w:hAnsi="Times New Roman" w:cs="Times New Roman"/>
          <w:sz w:val="20"/>
          <w:szCs w:val="20"/>
          <w:u w:val="single"/>
        </w:rPr>
      </w:pPr>
    </w:p>
    <w:p w:rsidR="009C4CBA" w:rsidRPr="002873A2" w:rsidRDefault="002873A2" w:rsidP="00577EEA">
      <w:pPr>
        <w:rPr>
          <w:rFonts w:ascii="Times New Roman" w:hAnsi="Times New Roman" w:cs="Times New Roman"/>
          <w:sz w:val="20"/>
          <w:szCs w:val="20"/>
          <w:u w:val="single"/>
        </w:rPr>
      </w:pPr>
      <w:r w:rsidRPr="002873A2">
        <w:rPr>
          <w:rFonts w:ascii="Times New Roman" w:hAnsi="Times New Roman" w:cs="Times New Roman"/>
          <w:sz w:val="20"/>
          <w:szCs w:val="20"/>
          <w:u w:val="single"/>
        </w:rPr>
        <w:t>Power control section</w:t>
      </w:r>
    </w:p>
    <w:p w:rsidR="009963DE" w:rsidRDefault="009963DE" w:rsidP="00577EEA">
      <w:pPr>
        <w:rPr>
          <w:rFonts w:ascii="Times New Roman" w:hAnsi="Times New Roman" w:cs="Times New Roman"/>
          <w:sz w:val="20"/>
          <w:szCs w:val="20"/>
        </w:rPr>
      </w:pPr>
      <w:r>
        <w:rPr>
          <w:rFonts w:ascii="Times New Roman" w:hAnsi="Times New Roman" w:cs="Times New Roman"/>
          <w:sz w:val="20"/>
          <w:szCs w:val="20"/>
        </w:rPr>
        <w:t>Further clarification on the “configured” antenna ports is needed in the uplink power control to address this issue. This shall be addressed for both Rel-15 and Rel-16 specification.</w:t>
      </w:r>
    </w:p>
    <w:p w:rsidR="000315D0" w:rsidRPr="00553335" w:rsidRDefault="00326DAB" w:rsidP="00577EEA">
      <w:pPr>
        <w:rPr>
          <w:rFonts w:ascii="Times New Roman" w:hAnsi="Times New Roman" w:cs="Times New Roman"/>
          <w:b/>
          <w:sz w:val="20"/>
          <w:szCs w:val="20"/>
        </w:rPr>
      </w:pPr>
      <w:r>
        <w:rPr>
          <w:rFonts w:ascii="Times New Roman" w:hAnsi="Times New Roman" w:cs="Times New Roman"/>
          <w:b/>
          <w:sz w:val="20"/>
          <w:szCs w:val="20"/>
        </w:rPr>
        <w:t>Proposal 3</w:t>
      </w:r>
      <w:r w:rsidR="0028521A" w:rsidRPr="00553335">
        <w:rPr>
          <w:rFonts w:ascii="Times New Roman" w:hAnsi="Times New Roman" w:cs="Times New Roman"/>
          <w:b/>
          <w:sz w:val="20"/>
          <w:szCs w:val="20"/>
        </w:rPr>
        <w:t xml:space="preserve">: </w:t>
      </w:r>
      <w:r w:rsidR="00600F36" w:rsidRPr="00553335">
        <w:rPr>
          <w:rFonts w:ascii="Times New Roman" w:hAnsi="Times New Roman" w:cs="Times New Roman"/>
          <w:b/>
          <w:sz w:val="20"/>
          <w:szCs w:val="20"/>
        </w:rPr>
        <w:t>Clarif</w:t>
      </w:r>
      <w:r w:rsidR="001F3136" w:rsidRPr="00553335">
        <w:rPr>
          <w:rFonts w:ascii="Times New Roman" w:hAnsi="Times New Roman" w:cs="Times New Roman"/>
          <w:b/>
          <w:sz w:val="20"/>
          <w:szCs w:val="20"/>
        </w:rPr>
        <w:t>ication</w:t>
      </w:r>
      <w:r w:rsidR="00600F36" w:rsidRPr="00553335">
        <w:rPr>
          <w:rFonts w:ascii="Times New Roman" w:hAnsi="Times New Roman" w:cs="Times New Roman"/>
          <w:b/>
          <w:sz w:val="20"/>
          <w:szCs w:val="20"/>
        </w:rPr>
        <w:t xml:space="preserve"> on the uplink power control on the number of “configured” antenna ports is needed</w:t>
      </w:r>
    </w:p>
    <w:p w:rsidR="00600F36" w:rsidRPr="00600F36" w:rsidRDefault="00600F36" w:rsidP="00577EEA">
      <w:pPr>
        <w:rPr>
          <w:rFonts w:ascii="Times New Roman" w:hAnsi="Times New Roman" w:cs="Times New Roman"/>
          <w:sz w:val="20"/>
          <w:szCs w:val="20"/>
        </w:rPr>
      </w:pPr>
    </w:p>
    <w:p w:rsidR="002873A2" w:rsidRDefault="002873A2" w:rsidP="00577EEA">
      <w:pPr>
        <w:rPr>
          <w:rFonts w:ascii="Times New Roman" w:hAnsi="Times New Roman" w:cs="Times New Roman"/>
          <w:sz w:val="20"/>
          <w:szCs w:val="20"/>
          <w:u w:val="single"/>
        </w:rPr>
      </w:pPr>
      <w:r w:rsidRPr="002873A2">
        <w:rPr>
          <w:rFonts w:ascii="Times New Roman" w:hAnsi="Times New Roman" w:cs="Times New Roman"/>
          <w:sz w:val="20"/>
          <w:szCs w:val="20"/>
          <w:u w:val="single"/>
        </w:rPr>
        <w:t>Scaling factor of uplink codebook</w:t>
      </w:r>
    </w:p>
    <w:p w:rsidR="009963DE" w:rsidRDefault="00326DAB" w:rsidP="00326DAB">
      <w:pPr>
        <w:jc w:val="both"/>
        <w:rPr>
          <w:rFonts w:ascii="Times New Roman" w:hAnsi="Times New Roman" w:cs="Times New Roman"/>
          <w:sz w:val="20"/>
          <w:szCs w:val="20"/>
        </w:rPr>
      </w:pPr>
      <w:r>
        <w:rPr>
          <w:rFonts w:ascii="Times New Roman" w:hAnsi="Times New Roman" w:cs="Times New Roman"/>
          <w:sz w:val="20"/>
          <w:szCs w:val="20"/>
        </w:rPr>
        <w:t xml:space="preserve">For Option 1-2, </w:t>
      </w:r>
      <w:r w:rsidR="009963DE">
        <w:rPr>
          <w:rFonts w:ascii="Times New Roman" w:hAnsi="Times New Roman" w:cs="Times New Roman"/>
          <w:sz w:val="20"/>
          <w:szCs w:val="20"/>
        </w:rPr>
        <w:t>the scaling factor of uplink codebooks</w:t>
      </w:r>
      <w:r>
        <w:rPr>
          <w:rFonts w:ascii="Times New Roman" w:hAnsi="Times New Roman" w:cs="Times New Roman"/>
          <w:sz w:val="20"/>
          <w:szCs w:val="20"/>
        </w:rPr>
        <w:t xml:space="preserve"> could be revisited</w:t>
      </w:r>
      <w:r w:rsidR="009963DE">
        <w:rPr>
          <w:rFonts w:ascii="Times New Roman" w:hAnsi="Times New Roman" w:cs="Times New Roman"/>
          <w:sz w:val="20"/>
          <w:szCs w:val="20"/>
        </w:rPr>
        <w:t>. One approach is to normalize the total Tx power to one, regardless of coherent or non-coherent precoders. This should be addressed to both Rel-15 a</w:t>
      </w:r>
      <w:r>
        <w:rPr>
          <w:rFonts w:ascii="Times New Roman" w:hAnsi="Times New Roman" w:cs="Times New Roman"/>
          <w:sz w:val="20"/>
          <w:szCs w:val="20"/>
        </w:rPr>
        <w:t xml:space="preserve">nd Rel-16 </w:t>
      </w:r>
      <w:r>
        <w:rPr>
          <w:rFonts w:ascii="Times New Roman" w:hAnsi="Times New Roman" w:cs="Times New Roman"/>
          <w:sz w:val="20"/>
          <w:szCs w:val="20"/>
        </w:rPr>
        <w:lastRenderedPageBreak/>
        <w:t xml:space="preserve">specification, otherwise there could be compatibility issue. </w:t>
      </w:r>
      <w:r w:rsidR="00553335">
        <w:rPr>
          <w:rFonts w:ascii="Times New Roman" w:hAnsi="Times New Roman" w:cs="Times New Roman"/>
          <w:sz w:val="20"/>
          <w:szCs w:val="20"/>
        </w:rPr>
        <w:t xml:space="preserve">With this modification, </w:t>
      </w:r>
      <w:r>
        <w:rPr>
          <w:rFonts w:ascii="Times New Roman" w:hAnsi="Times New Roman" w:cs="Times New Roman"/>
          <w:sz w:val="20"/>
          <w:szCs w:val="20"/>
        </w:rPr>
        <w:t xml:space="preserve">the uplink power control should be revised accordingly. </w:t>
      </w:r>
    </w:p>
    <w:p w:rsidR="00600F36" w:rsidRDefault="00600F36" w:rsidP="00577EEA">
      <w:pPr>
        <w:rPr>
          <w:rFonts w:ascii="Times New Roman" w:hAnsi="Times New Roman" w:cs="Times New Roman"/>
          <w:sz w:val="20"/>
          <w:szCs w:val="20"/>
          <w:u w:val="single"/>
        </w:rPr>
      </w:pPr>
    </w:p>
    <w:p w:rsidR="002873A2" w:rsidRPr="002873A2" w:rsidRDefault="002873A2" w:rsidP="00577EEA">
      <w:pPr>
        <w:rPr>
          <w:rFonts w:ascii="Times New Roman" w:hAnsi="Times New Roman" w:cs="Times New Roman"/>
          <w:sz w:val="20"/>
          <w:szCs w:val="20"/>
          <w:u w:val="single"/>
        </w:rPr>
      </w:pPr>
      <w:r>
        <w:rPr>
          <w:rFonts w:ascii="Times New Roman" w:hAnsi="Times New Roman" w:cs="Times New Roman"/>
          <w:sz w:val="20"/>
          <w:szCs w:val="20"/>
          <w:u w:val="single"/>
        </w:rPr>
        <w:t>RAN4 impact</w:t>
      </w:r>
    </w:p>
    <w:p w:rsidR="00A75000" w:rsidRPr="00600F36" w:rsidRDefault="00553335" w:rsidP="00326DAB">
      <w:pPr>
        <w:jc w:val="both"/>
        <w:rPr>
          <w:rFonts w:ascii="Times New Roman" w:hAnsi="Times New Roman" w:cs="Times New Roman"/>
          <w:sz w:val="20"/>
          <w:szCs w:val="20"/>
        </w:rPr>
      </w:pPr>
      <w:r>
        <w:rPr>
          <w:rFonts w:ascii="Times New Roman" w:hAnsi="Times New Roman" w:cs="Times New Roman"/>
          <w:sz w:val="20"/>
          <w:szCs w:val="20"/>
        </w:rPr>
        <w:t xml:space="preserve">The other issue is related to UE vendor’s implementation. </w:t>
      </w:r>
      <w:r w:rsidR="00600F36">
        <w:rPr>
          <w:rFonts w:ascii="Times New Roman" w:hAnsi="Times New Roman" w:cs="Times New Roman"/>
          <w:sz w:val="20"/>
          <w:szCs w:val="20"/>
        </w:rPr>
        <w:t>UE</w:t>
      </w:r>
      <w:r w:rsidR="00600F36" w:rsidRPr="00600F36">
        <w:rPr>
          <w:rFonts w:ascii="Times New Roman" w:hAnsi="Times New Roman" w:cs="Times New Roman"/>
          <w:sz w:val="20"/>
          <w:szCs w:val="20"/>
        </w:rPr>
        <w:t xml:space="preserve"> maximum </w:t>
      </w:r>
      <w:r w:rsidR="00600F36">
        <w:rPr>
          <w:rFonts w:ascii="Times New Roman" w:hAnsi="Times New Roman" w:cs="Times New Roman"/>
          <w:sz w:val="20"/>
          <w:szCs w:val="20"/>
        </w:rPr>
        <w:t xml:space="preserve">transmission power (23dBm) is specified as the full transmission power, regardless of </w:t>
      </w:r>
      <w:r w:rsidR="0039015E">
        <w:rPr>
          <w:rFonts w:ascii="Times New Roman" w:hAnsi="Times New Roman" w:cs="Times New Roman"/>
          <w:sz w:val="20"/>
          <w:szCs w:val="20"/>
        </w:rPr>
        <w:t xml:space="preserve">various uplink precoders. If some UE’s implementation needs an exception for partial/non-coherent precoders, this issue should be addressed in RAN4, where new UE power class might be specified. </w:t>
      </w:r>
    </w:p>
    <w:p w:rsidR="00C37368" w:rsidRDefault="00C37368" w:rsidP="00BC27A2">
      <w:pPr>
        <w:jc w:val="both"/>
        <w:rPr>
          <w:rFonts w:ascii="Times New Roman" w:hAnsi="Times New Roman" w:cs="Times New Roman"/>
          <w:sz w:val="20"/>
          <w:szCs w:val="20"/>
        </w:rPr>
      </w:pPr>
    </w:p>
    <w:p w:rsidR="00930825" w:rsidRDefault="003673B3" w:rsidP="00B12B1E">
      <w:pPr>
        <w:pStyle w:val="Heading1"/>
        <w:jc w:val="both"/>
      </w:pPr>
      <w:r>
        <w:t>3</w:t>
      </w:r>
      <w:r w:rsidR="00930825">
        <w:tab/>
        <w:t>Conclusion</w:t>
      </w:r>
      <w:r w:rsidR="00B47610">
        <w:t>s</w:t>
      </w:r>
    </w:p>
    <w:p w:rsidR="00D60C0C" w:rsidRDefault="00553335" w:rsidP="002B7F6C">
      <w:pPr>
        <w:jc w:val="both"/>
        <w:rPr>
          <w:rFonts w:ascii="Times New Roman" w:hAnsi="Times New Roman" w:cs="Times New Roman"/>
          <w:sz w:val="20"/>
          <w:szCs w:val="20"/>
        </w:rPr>
      </w:pPr>
      <w:r>
        <w:rPr>
          <w:rFonts w:ascii="Times New Roman" w:hAnsi="Times New Roman" w:cs="Times New Roman"/>
          <w:sz w:val="20"/>
          <w:szCs w:val="20"/>
        </w:rPr>
        <w:t xml:space="preserve">The full uplink Tx power issue with non/partial coherent precoders is discussed in the contribution. The specification related solutions are also discussed </w:t>
      </w:r>
      <w:r w:rsidR="00905869">
        <w:rPr>
          <w:rFonts w:ascii="Times New Roman" w:hAnsi="Times New Roman" w:cs="Times New Roman"/>
          <w:sz w:val="20"/>
          <w:szCs w:val="20"/>
        </w:rPr>
        <w:t>with these observations:</w:t>
      </w:r>
    </w:p>
    <w:p w:rsidR="008D5F08" w:rsidRPr="00E74FD1" w:rsidRDefault="008D5F08" w:rsidP="008D5F08">
      <w:pPr>
        <w:jc w:val="both"/>
        <w:rPr>
          <w:rFonts w:ascii="Times New Roman" w:hAnsi="Times New Roman" w:cs="Times New Roman"/>
          <w:b/>
          <w:sz w:val="20"/>
          <w:szCs w:val="20"/>
        </w:rPr>
      </w:pPr>
      <w:r w:rsidRPr="00E74FD1">
        <w:rPr>
          <w:rFonts w:ascii="Times New Roman" w:hAnsi="Times New Roman" w:cs="Times New Roman"/>
          <w:b/>
          <w:sz w:val="20"/>
          <w:szCs w:val="20"/>
        </w:rPr>
        <w:t>Proposal</w:t>
      </w:r>
      <w:r>
        <w:rPr>
          <w:rFonts w:ascii="Times New Roman" w:hAnsi="Times New Roman" w:cs="Times New Roman"/>
          <w:b/>
          <w:sz w:val="20"/>
          <w:szCs w:val="20"/>
        </w:rPr>
        <w:t xml:space="preserve"> 1</w:t>
      </w:r>
      <w:r w:rsidRPr="00E74FD1">
        <w:rPr>
          <w:rFonts w:ascii="Times New Roman" w:hAnsi="Times New Roman" w:cs="Times New Roman"/>
          <w:b/>
          <w:sz w:val="20"/>
          <w:szCs w:val="20"/>
        </w:rPr>
        <w:t xml:space="preserve">: Support </w:t>
      </w:r>
      <w:r>
        <w:rPr>
          <w:rFonts w:ascii="Times New Roman" w:hAnsi="Times New Roman" w:cs="Times New Roman"/>
          <w:b/>
          <w:sz w:val="20"/>
          <w:szCs w:val="20"/>
        </w:rPr>
        <w:t xml:space="preserve">to </w:t>
      </w:r>
      <w:r w:rsidRPr="00E74FD1">
        <w:rPr>
          <w:rFonts w:ascii="Times New Roman" w:hAnsi="Times New Roman" w:cs="Times New Roman"/>
          <w:b/>
          <w:sz w:val="20"/>
          <w:szCs w:val="20"/>
        </w:rPr>
        <w:t>adjust the non-coherent and partial-coherent codebook size</w:t>
      </w:r>
      <w:r>
        <w:rPr>
          <w:rFonts w:ascii="Times New Roman" w:hAnsi="Times New Roman" w:cs="Times New Roman"/>
          <w:b/>
          <w:sz w:val="20"/>
          <w:szCs w:val="20"/>
        </w:rPr>
        <w:t xml:space="preserve"> with a new codebook subset.</w:t>
      </w:r>
    </w:p>
    <w:p w:rsidR="008D5F08" w:rsidRPr="00560599" w:rsidRDefault="008D5F08" w:rsidP="008D5F08">
      <w:pPr>
        <w:jc w:val="both"/>
        <w:rPr>
          <w:rFonts w:ascii="Times New Roman" w:hAnsi="Times New Roman" w:cs="Times New Roman"/>
          <w:b/>
          <w:sz w:val="20"/>
          <w:szCs w:val="20"/>
        </w:rPr>
      </w:pPr>
      <w:r w:rsidRPr="00560599">
        <w:rPr>
          <w:rFonts w:ascii="Times New Roman" w:hAnsi="Times New Roman" w:cs="Times New Roman"/>
          <w:b/>
          <w:sz w:val="20"/>
          <w:szCs w:val="20"/>
        </w:rPr>
        <w:t>Proposal</w:t>
      </w:r>
      <w:r>
        <w:rPr>
          <w:rFonts w:ascii="Times New Roman" w:hAnsi="Times New Roman" w:cs="Times New Roman"/>
          <w:b/>
          <w:sz w:val="20"/>
          <w:szCs w:val="20"/>
        </w:rPr>
        <w:t xml:space="preserve"> 2</w:t>
      </w:r>
      <w:r w:rsidRPr="00560599">
        <w:rPr>
          <w:rFonts w:ascii="Times New Roman" w:hAnsi="Times New Roman" w:cs="Times New Roman"/>
          <w:b/>
          <w:sz w:val="20"/>
          <w:szCs w:val="20"/>
        </w:rPr>
        <w:t>: Support UE capacity indication of its full Tx power capability.</w:t>
      </w:r>
    </w:p>
    <w:p w:rsidR="008D5F08" w:rsidRPr="00553335" w:rsidRDefault="008D5F08" w:rsidP="008D5F08">
      <w:pPr>
        <w:rPr>
          <w:rFonts w:ascii="Times New Roman" w:hAnsi="Times New Roman" w:cs="Times New Roman"/>
          <w:b/>
          <w:sz w:val="20"/>
          <w:szCs w:val="20"/>
        </w:rPr>
      </w:pPr>
      <w:r>
        <w:rPr>
          <w:rFonts w:ascii="Times New Roman" w:hAnsi="Times New Roman" w:cs="Times New Roman"/>
          <w:b/>
          <w:sz w:val="20"/>
          <w:szCs w:val="20"/>
        </w:rPr>
        <w:t>Proposal 3</w:t>
      </w:r>
      <w:r w:rsidRPr="00553335">
        <w:rPr>
          <w:rFonts w:ascii="Times New Roman" w:hAnsi="Times New Roman" w:cs="Times New Roman"/>
          <w:b/>
          <w:sz w:val="20"/>
          <w:szCs w:val="20"/>
        </w:rPr>
        <w:t>: Clarification on the uplink power control on the number of “configured” antenna ports is needed</w:t>
      </w:r>
    </w:p>
    <w:p w:rsidR="00553335" w:rsidRDefault="00553335" w:rsidP="002B7F6C">
      <w:pPr>
        <w:jc w:val="both"/>
        <w:rPr>
          <w:rFonts w:ascii="Times New Roman" w:hAnsi="Times New Roman" w:cs="Times New Roman"/>
          <w:sz w:val="20"/>
          <w:szCs w:val="20"/>
        </w:rPr>
      </w:pPr>
    </w:p>
    <w:p w:rsidR="00453A60" w:rsidRPr="00791982" w:rsidRDefault="00453A60" w:rsidP="00B12B1E">
      <w:pPr>
        <w:pStyle w:val="Heading1"/>
        <w:jc w:val="both"/>
      </w:pPr>
      <w:r w:rsidRPr="00E86042">
        <w:t>References</w:t>
      </w:r>
    </w:p>
    <w:p w:rsidR="00D556A1" w:rsidRDefault="00D556A1" w:rsidP="00B12B1E">
      <w:pPr>
        <w:ind w:left="540" w:hanging="540"/>
        <w:jc w:val="both"/>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rPr>
        <w:tab/>
        <w:t>RAN1 #94bis meeting, Chair’s notes, October, 2018</w:t>
      </w:r>
    </w:p>
    <w:p w:rsidR="00453A60" w:rsidRDefault="00453A60" w:rsidP="00B12B1E">
      <w:pPr>
        <w:ind w:left="540" w:hanging="540"/>
        <w:jc w:val="both"/>
        <w:rPr>
          <w:rFonts w:ascii="Times New Roman" w:hAnsi="Times New Roman" w:cs="Times New Roman"/>
          <w:sz w:val="20"/>
          <w:szCs w:val="20"/>
        </w:rPr>
      </w:pPr>
      <w:r w:rsidRPr="00C40A08">
        <w:rPr>
          <w:rFonts w:ascii="Times New Roman" w:hAnsi="Times New Roman" w:cs="Times New Roman"/>
          <w:sz w:val="20"/>
          <w:szCs w:val="20"/>
        </w:rPr>
        <w:t>[</w:t>
      </w:r>
      <w:r w:rsidR="00D556A1">
        <w:rPr>
          <w:rFonts w:ascii="Times New Roman" w:hAnsi="Times New Roman" w:cs="Times New Roman"/>
          <w:sz w:val="20"/>
          <w:szCs w:val="20"/>
        </w:rPr>
        <w:t>2</w:t>
      </w:r>
      <w:r w:rsidRPr="00C40A08">
        <w:rPr>
          <w:rFonts w:ascii="Times New Roman" w:hAnsi="Times New Roman" w:cs="Times New Roman"/>
          <w:sz w:val="20"/>
          <w:szCs w:val="20"/>
        </w:rPr>
        <w:t>]</w:t>
      </w:r>
      <w:r w:rsidRPr="00C40A08">
        <w:rPr>
          <w:rFonts w:ascii="Times New Roman" w:hAnsi="Times New Roman" w:cs="Times New Roman"/>
          <w:sz w:val="20"/>
          <w:szCs w:val="20"/>
        </w:rPr>
        <w:tab/>
      </w:r>
      <w:r w:rsidR="00577EEA">
        <w:rPr>
          <w:rFonts w:ascii="Times New Roman" w:hAnsi="Times New Roman" w:cs="Times New Roman"/>
          <w:sz w:val="20"/>
          <w:szCs w:val="20"/>
        </w:rPr>
        <w:t>RP-182067, Revised WID: enhancements on MIMO for NR, RAN #81, Sept, 2018</w:t>
      </w:r>
    </w:p>
    <w:p w:rsidR="00577EEA" w:rsidRDefault="00577EEA" w:rsidP="00B12B1E">
      <w:pPr>
        <w:ind w:left="540" w:hanging="540"/>
        <w:jc w:val="both"/>
        <w:rPr>
          <w:rFonts w:ascii="Times New Roman" w:hAnsi="Times New Roman" w:cs="Times New Roman"/>
          <w:sz w:val="20"/>
          <w:szCs w:val="20"/>
        </w:rPr>
      </w:pPr>
    </w:p>
    <w:p w:rsidR="00B47610" w:rsidRDefault="00B47610" w:rsidP="00B47610">
      <w:pPr>
        <w:ind w:left="540" w:hanging="540"/>
        <w:jc w:val="both"/>
        <w:rPr>
          <w:rFonts w:ascii="Times New Roman" w:hAnsi="Times New Roman" w:cs="Times New Roman"/>
          <w:sz w:val="20"/>
          <w:szCs w:val="20"/>
        </w:rPr>
      </w:pPr>
    </w:p>
    <w:p w:rsidR="00B47610" w:rsidRDefault="00B47610" w:rsidP="00B47610">
      <w:pPr>
        <w:jc w:val="both"/>
        <w:rPr>
          <w:rFonts w:ascii="Times New Roman" w:hAnsi="Times New Roman" w:cs="Times New Roman"/>
          <w:sz w:val="20"/>
          <w:szCs w:val="20"/>
        </w:rPr>
      </w:pPr>
    </w:p>
    <w:sectPr w:rsidR="00B4761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3AFD" w:rsidRDefault="00EA3AFD">
      <w:r>
        <w:separator/>
      </w:r>
    </w:p>
  </w:endnote>
  <w:endnote w:type="continuationSeparator" w:id="0">
    <w:p w:rsidR="00EA3AFD" w:rsidRDefault="00EA3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3000509000000000000"/>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3AFD" w:rsidRDefault="00EA3AFD">
      <w:r>
        <w:separator/>
      </w:r>
    </w:p>
  </w:footnote>
  <w:footnote w:type="continuationSeparator" w:id="0">
    <w:p w:rsidR="00EA3AFD" w:rsidRDefault="00EA3A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5pt;height:9.5pt" o:bullet="t">
        <v:imagedata r:id="rId1" o:title="BD14583_"/>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12236B"/>
    <w:multiLevelType w:val="hybridMultilevel"/>
    <w:tmpl w:val="9C76F73E"/>
    <w:lvl w:ilvl="0" w:tplc="64265C0C">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051AF"/>
    <w:multiLevelType w:val="hybridMultilevel"/>
    <w:tmpl w:val="D6B681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362B0"/>
    <w:multiLevelType w:val="hybridMultilevel"/>
    <w:tmpl w:val="2E66552E"/>
    <w:lvl w:ilvl="0" w:tplc="4B381A74">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BE31BF"/>
    <w:multiLevelType w:val="hybridMultilevel"/>
    <w:tmpl w:val="2A1AAC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53F81"/>
    <w:multiLevelType w:val="hybridMultilevel"/>
    <w:tmpl w:val="D46E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523735"/>
    <w:multiLevelType w:val="hybridMultilevel"/>
    <w:tmpl w:val="23EC7148"/>
    <w:lvl w:ilvl="0" w:tplc="B2D06CB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07DDB"/>
    <w:multiLevelType w:val="hybridMultilevel"/>
    <w:tmpl w:val="7288384E"/>
    <w:lvl w:ilvl="0" w:tplc="ED7076BC">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FC6429"/>
    <w:multiLevelType w:val="hybridMultilevel"/>
    <w:tmpl w:val="925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7739C2"/>
    <w:multiLevelType w:val="hybridMultilevel"/>
    <w:tmpl w:val="D528E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81206B6"/>
    <w:multiLevelType w:val="hybridMultilevel"/>
    <w:tmpl w:val="8E608BAE"/>
    <w:lvl w:ilvl="0" w:tplc="743C9DD6">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3D6B4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83E6BED"/>
    <w:multiLevelType w:val="hybridMultilevel"/>
    <w:tmpl w:val="3ECEEDE2"/>
    <w:lvl w:ilvl="0" w:tplc="81842D70">
      <w:start w:val="1"/>
      <w:numFmt w:val="bullet"/>
      <w:lvlText w:val="›"/>
      <w:lvlJc w:val="left"/>
      <w:pPr>
        <w:tabs>
          <w:tab w:val="num" w:pos="720"/>
        </w:tabs>
        <w:ind w:left="720" w:hanging="360"/>
      </w:pPr>
      <w:rPr>
        <w:rFonts w:ascii="Arial" w:hAnsi="Arial" w:hint="default"/>
      </w:rPr>
    </w:lvl>
    <w:lvl w:ilvl="1" w:tplc="8CF62C8A">
      <w:numFmt w:val="bullet"/>
      <w:lvlText w:val="–"/>
      <w:lvlJc w:val="left"/>
      <w:pPr>
        <w:tabs>
          <w:tab w:val="num" w:pos="1440"/>
        </w:tabs>
        <w:ind w:left="1440" w:hanging="360"/>
      </w:pPr>
      <w:rPr>
        <w:rFonts w:ascii="Ericsson Capital TT" w:hAnsi="Ericsson Capital TT" w:hint="default"/>
      </w:rPr>
    </w:lvl>
    <w:lvl w:ilvl="2" w:tplc="18FE499A">
      <w:numFmt w:val="bullet"/>
      <w:lvlText w:val="›"/>
      <w:lvlJc w:val="left"/>
      <w:pPr>
        <w:tabs>
          <w:tab w:val="num" w:pos="2160"/>
        </w:tabs>
        <w:ind w:left="2160" w:hanging="360"/>
      </w:pPr>
      <w:rPr>
        <w:rFonts w:ascii="Ericsson Capital TT" w:hAnsi="Ericsson Capital TT" w:hint="default"/>
      </w:rPr>
    </w:lvl>
    <w:lvl w:ilvl="3" w:tplc="1720A06C" w:tentative="1">
      <w:start w:val="1"/>
      <w:numFmt w:val="bullet"/>
      <w:lvlText w:val="›"/>
      <w:lvlJc w:val="left"/>
      <w:pPr>
        <w:tabs>
          <w:tab w:val="num" w:pos="2880"/>
        </w:tabs>
        <w:ind w:left="2880" w:hanging="360"/>
      </w:pPr>
      <w:rPr>
        <w:rFonts w:ascii="Arial" w:hAnsi="Arial" w:hint="default"/>
      </w:rPr>
    </w:lvl>
    <w:lvl w:ilvl="4" w:tplc="E006CE9E" w:tentative="1">
      <w:start w:val="1"/>
      <w:numFmt w:val="bullet"/>
      <w:lvlText w:val="›"/>
      <w:lvlJc w:val="left"/>
      <w:pPr>
        <w:tabs>
          <w:tab w:val="num" w:pos="3600"/>
        </w:tabs>
        <w:ind w:left="3600" w:hanging="360"/>
      </w:pPr>
      <w:rPr>
        <w:rFonts w:ascii="Arial" w:hAnsi="Arial" w:hint="default"/>
      </w:rPr>
    </w:lvl>
    <w:lvl w:ilvl="5" w:tplc="1BDABABA" w:tentative="1">
      <w:start w:val="1"/>
      <w:numFmt w:val="bullet"/>
      <w:lvlText w:val="›"/>
      <w:lvlJc w:val="left"/>
      <w:pPr>
        <w:tabs>
          <w:tab w:val="num" w:pos="4320"/>
        </w:tabs>
        <w:ind w:left="4320" w:hanging="360"/>
      </w:pPr>
      <w:rPr>
        <w:rFonts w:ascii="Arial" w:hAnsi="Arial" w:hint="default"/>
      </w:rPr>
    </w:lvl>
    <w:lvl w:ilvl="6" w:tplc="0D2EE708" w:tentative="1">
      <w:start w:val="1"/>
      <w:numFmt w:val="bullet"/>
      <w:lvlText w:val="›"/>
      <w:lvlJc w:val="left"/>
      <w:pPr>
        <w:tabs>
          <w:tab w:val="num" w:pos="5040"/>
        </w:tabs>
        <w:ind w:left="5040" w:hanging="360"/>
      </w:pPr>
      <w:rPr>
        <w:rFonts w:ascii="Arial" w:hAnsi="Arial" w:hint="default"/>
      </w:rPr>
    </w:lvl>
    <w:lvl w:ilvl="7" w:tplc="CCB48AB8" w:tentative="1">
      <w:start w:val="1"/>
      <w:numFmt w:val="bullet"/>
      <w:lvlText w:val="›"/>
      <w:lvlJc w:val="left"/>
      <w:pPr>
        <w:tabs>
          <w:tab w:val="num" w:pos="5760"/>
        </w:tabs>
        <w:ind w:left="5760" w:hanging="360"/>
      </w:pPr>
      <w:rPr>
        <w:rFonts w:ascii="Arial" w:hAnsi="Arial" w:hint="default"/>
      </w:rPr>
    </w:lvl>
    <w:lvl w:ilvl="8" w:tplc="4DD8AC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3D5660"/>
    <w:multiLevelType w:val="hybridMultilevel"/>
    <w:tmpl w:val="F8E624D6"/>
    <w:lvl w:ilvl="0" w:tplc="D5222232">
      <w:numFmt w:val="bullet"/>
      <w:lvlText w:val="-"/>
      <w:lvlJc w:val="left"/>
      <w:pPr>
        <w:ind w:left="450" w:hanging="360"/>
      </w:pPr>
      <w:rPr>
        <w:rFonts w:ascii="Calibri" w:eastAsia="Malgun Gothic" w:hAnsi="Calibri" w:cs="Times New Roman" w:hint="default"/>
      </w:rPr>
    </w:lvl>
    <w:lvl w:ilvl="1" w:tplc="D5222232">
      <w:numFmt w:val="bullet"/>
      <w:lvlText w:val="-"/>
      <w:lvlJc w:val="left"/>
      <w:pPr>
        <w:ind w:left="1170" w:hanging="360"/>
      </w:pPr>
      <w:rPr>
        <w:rFonts w:ascii="Calibri" w:eastAsia="Malgun Gothic" w:hAnsi="Calibri" w:cs="Times New Roman"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20" w15:restartNumberingAfterBreak="0">
    <w:nsid w:val="3DE131E7"/>
    <w:multiLevelType w:val="hybridMultilevel"/>
    <w:tmpl w:val="2A40466A"/>
    <w:lvl w:ilvl="0" w:tplc="DDDAA3E8">
      <w:start w:val="1"/>
      <w:numFmt w:val="bullet"/>
      <w:lvlText w:val="•"/>
      <w:lvlJc w:val="left"/>
      <w:pPr>
        <w:tabs>
          <w:tab w:val="num" w:pos="720"/>
        </w:tabs>
        <w:ind w:left="720" w:hanging="360"/>
      </w:pPr>
      <w:rPr>
        <w:rFonts w:ascii="Arial" w:hAnsi="Arial" w:hint="default"/>
      </w:rPr>
    </w:lvl>
    <w:lvl w:ilvl="1" w:tplc="82E2BC68">
      <w:numFmt w:val="bullet"/>
      <w:lvlText w:val="–"/>
      <w:lvlJc w:val="left"/>
      <w:pPr>
        <w:tabs>
          <w:tab w:val="num" w:pos="1440"/>
        </w:tabs>
        <w:ind w:left="1440" w:hanging="360"/>
      </w:pPr>
      <w:rPr>
        <w:rFonts w:ascii="Arial" w:hAnsi="Arial" w:hint="default"/>
      </w:rPr>
    </w:lvl>
    <w:lvl w:ilvl="2" w:tplc="8ED61166">
      <w:numFmt w:val="bullet"/>
      <w:lvlText w:val="•"/>
      <w:lvlJc w:val="left"/>
      <w:pPr>
        <w:tabs>
          <w:tab w:val="num" w:pos="2160"/>
        </w:tabs>
        <w:ind w:left="2160" w:hanging="360"/>
      </w:pPr>
      <w:rPr>
        <w:rFonts w:ascii="Arial" w:hAnsi="Arial" w:hint="default"/>
      </w:rPr>
    </w:lvl>
    <w:lvl w:ilvl="3" w:tplc="BB60C586">
      <w:start w:val="1"/>
      <w:numFmt w:val="bullet"/>
      <w:lvlText w:val="•"/>
      <w:lvlJc w:val="left"/>
      <w:pPr>
        <w:tabs>
          <w:tab w:val="num" w:pos="2880"/>
        </w:tabs>
        <w:ind w:left="2880" w:hanging="360"/>
      </w:pPr>
      <w:rPr>
        <w:rFonts w:ascii="Arial" w:hAnsi="Arial" w:hint="default"/>
      </w:rPr>
    </w:lvl>
    <w:lvl w:ilvl="4" w:tplc="4E0A474C" w:tentative="1">
      <w:start w:val="1"/>
      <w:numFmt w:val="bullet"/>
      <w:lvlText w:val="•"/>
      <w:lvlJc w:val="left"/>
      <w:pPr>
        <w:tabs>
          <w:tab w:val="num" w:pos="3600"/>
        </w:tabs>
        <w:ind w:left="3600" w:hanging="360"/>
      </w:pPr>
      <w:rPr>
        <w:rFonts w:ascii="Arial" w:hAnsi="Arial" w:hint="default"/>
      </w:rPr>
    </w:lvl>
    <w:lvl w:ilvl="5" w:tplc="A5425B70" w:tentative="1">
      <w:start w:val="1"/>
      <w:numFmt w:val="bullet"/>
      <w:lvlText w:val="•"/>
      <w:lvlJc w:val="left"/>
      <w:pPr>
        <w:tabs>
          <w:tab w:val="num" w:pos="4320"/>
        </w:tabs>
        <w:ind w:left="4320" w:hanging="360"/>
      </w:pPr>
      <w:rPr>
        <w:rFonts w:ascii="Arial" w:hAnsi="Arial" w:hint="default"/>
      </w:rPr>
    </w:lvl>
    <w:lvl w:ilvl="6" w:tplc="3E42CB02" w:tentative="1">
      <w:start w:val="1"/>
      <w:numFmt w:val="bullet"/>
      <w:lvlText w:val="•"/>
      <w:lvlJc w:val="left"/>
      <w:pPr>
        <w:tabs>
          <w:tab w:val="num" w:pos="5040"/>
        </w:tabs>
        <w:ind w:left="5040" w:hanging="360"/>
      </w:pPr>
      <w:rPr>
        <w:rFonts w:ascii="Arial" w:hAnsi="Arial" w:hint="default"/>
      </w:rPr>
    </w:lvl>
    <w:lvl w:ilvl="7" w:tplc="A740E0D6" w:tentative="1">
      <w:start w:val="1"/>
      <w:numFmt w:val="bullet"/>
      <w:lvlText w:val="•"/>
      <w:lvlJc w:val="left"/>
      <w:pPr>
        <w:tabs>
          <w:tab w:val="num" w:pos="5760"/>
        </w:tabs>
        <w:ind w:left="5760" w:hanging="360"/>
      </w:pPr>
      <w:rPr>
        <w:rFonts w:ascii="Arial" w:hAnsi="Arial" w:hint="default"/>
      </w:rPr>
    </w:lvl>
    <w:lvl w:ilvl="8" w:tplc="EC34426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475B6C"/>
    <w:multiLevelType w:val="hybridMultilevel"/>
    <w:tmpl w:val="FECA3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B617D2"/>
    <w:multiLevelType w:val="hybridMultilevel"/>
    <w:tmpl w:val="ECE80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C96A3F"/>
    <w:multiLevelType w:val="hybridMultilevel"/>
    <w:tmpl w:val="CD8ABF36"/>
    <w:lvl w:ilvl="0" w:tplc="49A8FEF0">
      <w:start w:val="18"/>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E163DC"/>
    <w:multiLevelType w:val="hybridMultilevel"/>
    <w:tmpl w:val="C5364B1C"/>
    <w:lvl w:ilvl="0" w:tplc="11F40666">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EF130EC"/>
    <w:multiLevelType w:val="hybridMultilevel"/>
    <w:tmpl w:val="0B4246BE"/>
    <w:lvl w:ilvl="0" w:tplc="5D44978C">
      <w:start w:val="1"/>
      <w:numFmt w:val="bullet"/>
      <w:lvlText w:val="•"/>
      <w:lvlJc w:val="left"/>
      <w:pPr>
        <w:tabs>
          <w:tab w:val="num" w:pos="720"/>
        </w:tabs>
        <w:ind w:left="720" w:hanging="360"/>
      </w:pPr>
      <w:rPr>
        <w:rFonts w:ascii="Arial" w:hAnsi="Arial" w:hint="default"/>
      </w:rPr>
    </w:lvl>
    <w:lvl w:ilvl="1" w:tplc="3A924B78">
      <w:numFmt w:val="bullet"/>
      <w:lvlText w:val="–"/>
      <w:lvlJc w:val="left"/>
      <w:pPr>
        <w:tabs>
          <w:tab w:val="num" w:pos="1440"/>
        </w:tabs>
        <w:ind w:left="1440" w:hanging="360"/>
      </w:pPr>
      <w:rPr>
        <w:rFonts w:ascii="Arial" w:hAnsi="Arial" w:hint="default"/>
      </w:rPr>
    </w:lvl>
    <w:lvl w:ilvl="2" w:tplc="C17060AE">
      <w:numFmt w:val="bullet"/>
      <w:lvlText w:val="•"/>
      <w:lvlJc w:val="left"/>
      <w:pPr>
        <w:tabs>
          <w:tab w:val="num" w:pos="2160"/>
        </w:tabs>
        <w:ind w:left="2160" w:hanging="360"/>
      </w:pPr>
      <w:rPr>
        <w:rFonts w:ascii="Arial" w:hAnsi="Arial" w:hint="default"/>
      </w:rPr>
    </w:lvl>
    <w:lvl w:ilvl="3" w:tplc="81A6271C">
      <w:numFmt w:val="bullet"/>
      <w:lvlText w:val="–"/>
      <w:lvlJc w:val="left"/>
      <w:pPr>
        <w:tabs>
          <w:tab w:val="num" w:pos="2880"/>
        </w:tabs>
        <w:ind w:left="2880" w:hanging="360"/>
      </w:pPr>
      <w:rPr>
        <w:rFonts w:ascii="Arial" w:hAnsi="Arial" w:hint="default"/>
      </w:rPr>
    </w:lvl>
    <w:lvl w:ilvl="4" w:tplc="C2E20390" w:tentative="1">
      <w:start w:val="1"/>
      <w:numFmt w:val="bullet"/>
      <w:lvlText w:val="•"/>
      <w:lvlJc w:val="left"/>
      <w:pPr>
        <w:tabs>
          <w:tab w:val="num" w:pos="3600"/>
        </w:tabs>
        <w:ind w:left="3600" w:hanging="360"/>
      </w:pPr>
      <w:rPr>
        <w:rFonts w:ascii="Arial" w:hAnsi="Arial" w:hint="default"/>
      </w:rPr>
    </w:lvl>
    <w:lvl w:ilvl="5" w:tplc="08561180" w:tentative="1">
      <w:start w:val="1"/>
      <w:numFmt w:val="bullet"/>
      <w:lvlText w:val="•"/>
      <w:lvlJc w:val="left"/>
      <w:pPr>
        <w:tabs>
          <w:tab w:val="num" w:pos="4320"/>
        </w:tabs>
        <w:ind w:left="4320" w:hanging="360"/>
      </w:pPr>
      <w:rPr>
        <w:rFonts w:ascii="Arial" w:hAnsi="Arial" w:hint="default"/>
      </w:rPr>
    </w:lvl>
    <w:lvl w:ilvl="6" w:tplc="D21866F4" w:tentative="1">
      <w:start w:val="1"/>
      <w:numFmt w:val="bullet"/>
      <w:lvlText w:val="•"/>
      <w:lvlJc w:val="left"/>
      <w:pPr>
        <w:tabs>
          <w:tab w:val="num" w:pos="5040"/>
        </w:tabs>
        <w:ind w:left="5040" w:hanging="360"/>
      </w:pPr>
      <w:rPr>
        <w:rFonts w:ascii="Arial" w:hAnsi="Arial" w:hint="default"/>
      </w:rPr>
    </w:lvl>
    <w:lvl w:ilvl="7" w:tplc="36E662F6" w:tentative="1">
      <w:start w:val="1"/>
      <w:numFmt w:val="bullet"/>
      <w:lvlText w:val="•"/>
      <w:lvlJc w:val="left"/>
      <w:pPr>
        <w:tabs>
          <w:tab w:val="num" w:pos="5760"/>
        </w:tabs>
        <w:ind w:left="5760" w:hanging="360"/>
      </w:pPr>
      <w:rPr>
        <w:rFonts w:ascii="Arial" w:hAnsi="Arial" w:hint="default"/>
      </w:rPr>
    </w:lvl>
    <w:lvl w:ilvl="8" w:tplc="CEB6CC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23146"/>
    <w:multiLevelType w:val="hybridMultilevel"/>
    <w:tmpl w:val="9A96FDF0"/>
    <w:lvl w:ilvl="0" w:tplc="CB90EB68">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582B7C"/>
    <w:multiLevelType w:val="hybridMultilevel"/>
    <w:tmpl w:val="13529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9B253E"/>
    <w:multiLevelType w:val="hybridMultilevel"/>
    <w:tmpl w:val="E08C1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DB5D87"/>
    <w:multiLevelType w:val="hybridMultilevel"/>
    <w:tmpl w:val="94A64402"/>
    <w:lvl w:ilvl="0" w:tplc="0D945FBE">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3"/>
  </w:num>
  <w:num w:numId="2">
    <w:abstractNumId w:val="7"/>
  </w:num>
  <w:num w:numId="3">
    <w:abstractNumId w:val="11"/>
  </w:num>
  <w:num w:numId="4">
    <w:abstractNumId w:val="17"/>
  </w:num>
  <w:num w:numId="5">
    <w:abstractNumId w:val="32"/>
  </w:num>
  <w:num w:numId="6">
    <w:abstractNumId w:val="12"/>
  </w:num>
  <w:num w:numId="7">
    <w:abstractNumId w:val="30"/>
  </w:num>
  <w:num w:numId="8">
    <w:abstractNumId w:val="31"/>
  </w:num>
  <w:num w:numId="9">
    <w:abstractNumId w:val="0"/>
  </w:num>
  <w:num w:numId="10">
    <w:abstractNumId w:val="18"/>
  </w:num>
  <w:num w:numId="11">
    <w:abstractNumId w:val="5"/>
  </w:num>
  <w:num w:numId="12">
    <w:abstractNumId w:val="21"/>
  </w:num>
  <w:num w:numId="13">
    <w:abstractNumId w:val="29"/>
  </w:num>
  <w:num w:numId="14">
    <w:abstractNumId w:val="23"/>
  </w:num>
  <w:num w:numId="15">
    <w:abstractNumId w:val="20"/>
  </w:num>
  <w:num w:numId="16">
    <w:abstractNumId w:val="4"/>
  </w:num>
  <w:num w:numId="17">
    <w:abstractNumId w:val="2"/>
  </w:num>
  <w:num w:numId="18">
    <w:abstractNumId w:val="6"/>
  </w:num>
  <w:num w:numId="19">
    <w:abstractNumId w:val="28"/>
  </w:num>
  <w:num w:numId="20">
    <w:abstractNumId w:val="15"/>
  </w:num>
  <w:num w:numId="21">
    <w:abstractNumId w:val="16"/>
  </w:num>
  <w:num w:numId="22">
    <w:abstractNumId w:val="3"/>
  </w:num>
  <w:num w:numId="23">
    <w:abstractNumId w:val="26"/>
  </w:num>
  <w:num w:numId="24">
    <w:abstractNumId w:val="25"/>
  </w:num>
  <w:num w:numId="25">
    <w:abstractNumId w:val="22"/>
  </w:num>
  <w:num w:numId="26">
    <w:abstractNumId w:val="33"/>
  </w:num>
  <w:num w:numId="27">
    <w:abstractNumId w:val="10"/>
  </w:num>
  <w:num w:numId="28">
    <w:abstractNumId w:val="19"/>
  </w:num>
  <w:num w:numId="29">
    <w:abstractNumId w:val="24"/>
  </w:num>
  <w:num w:numId="30">
    <w:abstractNumId w:val="9"/>
  </w:num>
  <w:num w:numId="31">
    <w:abstractNumId w:val="8"/>
  </w:num>
  <w:num w:numId="32">
    <w:abstractNumId w:val="14"/>
  </w:num>
  <w:num w:numId="33">
    <w:abstractNumId w:val="1"/>
  </w:num>
  <w:num w:numId="34">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D9"/>
    <w:rsid w:val="00000853"/>
    <w:rsid w:val="00000CE7"/>
    <w:rsid w:val="00000ED8"/>
    <w:rsid w:val="0000141D"/>
    <w:rsid w:val="000023A6"/>
    <w:rsid w:val="00002DEC"/>
    <w:rsid w:val="000032D6"/>
    <w:rsid w:val="000033ED"/>
    <w:rsid w:val="00003811"/>
    <w:rsid w:val="00003F15"/>
    <w:rsid w:val="00004367"/>
    <w:rsid w:val="00006BB1"/>
    <w:rsid w:val="00006DE9"/>
    <w:rsid w:val="000074C4"/>
    <w:rsid w:val="000075F3"/>
    <w:rsid w:val="00007CA2"/>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2EB3"/>
    <w:rsid w:val="000231A4"/>
    <w:rsid w:val="000246C6"/>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5D0"/>
    <w:rsid w:val="00031AD4"/>
    <w:rsid w:val="00031C8B"/>
    <w:rsid w:val="00032497"/>
    <w:rsid w:val="00032523"/>
    <w:rsid w:val="000332E5"/>
    <w:rsid w:val="0003396B"/>
    <w:rsid w:val="0003525C"/>
    <w:rsid w:val="00036747"/>
    <w:rsid w:val="00036CB2"/>
    <w:rsid w:val="000374FD"/>
    <w:rsid w:val="000403A2"/>
    <w:rsid w:val="00040C6B"/>
    <w:rsid w:val="00041E94"/>
    <w:rsid w:val="00042225"/>
    <w:rsid w:val="000427FB"/>
    <w:rsid w:val="000438B8"/>
    <w:rsid w:val="00043CB2"/>
    <w:rsid w:val="00043E81"/>
    <w:rsid w:val="00044439"/>
    <w:rsid w:val="00044EE5"/>
    <w:rsid w:val="000452CB"/>
    <w:rsid w:val="00045A94"/>
    <w:rsid w:val="00046A1B"/>
    <w:rsid w:val="00047AD5"/>
    <w:rsid w:val="00047E2C"/>
    <w:rsid w:val="0005018D"/>
    <w:rsid w:val="000502B8"/>
    <w:rsid w:val="0005062B"/>
    <w:rsid w:val="00050C10"/>
    <w:rsid w:val="000511F9"/>
    <w:rsid w:val="00051454"/>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5C9"/>
    <w:rsid w:val="00057A9C"/>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3ED1"/>
    <w:rsid w:val="0007453F"/>
    <w:rsid w:val="00074659"/>
    <w:rsid w:val="00074AE4"/>
    <w:rsid w:val="0007526D"/>
    <w:rsid w:val="000755B4"/>
    <w:rsid w:val="00075E55"/>
    <w:rsid w:val="0007612E"/>
    <w:rsid w:val="00076DB1"/>
    <w:rsid w:val="000801F9"/>
    <w:rsid w:val="00081E47"/>
    <w:rsid w:val="00082170"/>
    <w:rsid w:val="0008247E"/>
    <w:rsid w:val="00082CDA"/>
    <w:rsid w:val="00083593"/>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32E8"/>
    <w:rsid w:val="000933D6"/>
    <w:rsid w:val="00093520"/>
    <w:rsid w:val="00093745"/>
    <w:rsid w:val="00093F86"/>
    <w:rsid w:val="0009401C"/>
    <w:rsid w:val="000945F8"/>
    <w:rsid w:val="00095576"/>
    <w:rsid w:val="00095C80"/>
    <w:rsid w:val="00095DEB"/>
    <w:rsid w:val="000962CD"/>
    <w:rsid w:val="00097058"/>
    <w:rsid w:val="000973FA"/>
    <w:rsid w:val="00097924"/>
    <w:rsid w:val="00097F98"/>
    <w:rsid w:val="000A20BA"/>
    <w:rsid w:val="000A2249"/>
    <w:rsid w:val="000A239B"/>
    <w:rsid w:val="000A29A1"/>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7DA"/>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6AE2"/>
    <w:rsid w:val="000C7659"/>
    <w:rsid w:val="000D019D"/>
    <w:rsid w:val="000D0254"/>
    <w:rsid w:val="000D0276"/>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058"/>
    <w:rsid w:val="000E0D66"/>
    <w:rsid w:val="000E0ECC"/>
    <w:rsid w:val="000E13E9"/>
    <w:rsid w:val="000E16F8"/>
    <w:rsid w:val="000E1A2E"/>
    <w:rsid w:val="000E3440"/>
    <w:rsid w:val="000E3442"/>
    <w:rsid w:val="000E3DEF"/>
    <w:rsid w:val="000E41A9"/>
    <w:rsid w:val="000E5108"/>
    <w:rsid w:val="000E53D3"/>
    <w:rsid w:val="000E6331"/>
    <w:rsid w:val="000E6470"/>
    <w:rsid w:val="000E6473"/>
    <w:rsid w:val="000E66CE"/>
    <w:rsid w:val="000E70A8"/>
    <w:rsid w:val="000E72FB"/>
    <w:rsid w:val="000E73C1"/>
    <w:rsid w:val="000E7633"/>
    <w:rsid w:val="000E7A9D"/>
    <w:rsid w:val="000E7D56"/>
    <w:rsid w:val="000E7DD5"/>
    <w:rsid w:val="000E7F73"/>
    <w:rsid w:val="000F0635"/>
    <w:rsid w:val="000F0B4B"/>
    <w:rsid w:val="000F0E8D"/>
    <w:rsid w:val="000F1095"/>
    <w:rsid w:val="000F19D4"/>
    <w:rsid w:val="000F2D63"/>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0F5"/>
    <w:rsid w:val="0011577E"/>
    <w:rsid w:val="00115EB2"/>
    <w:rsid w:val="001175AD"/>
    <w:rsid w:val="00120B9B"/>
    <w:rsid w:val="00120BA3"/>
    <w:rsid w:val="00120E81"/>
    <w:rsid w:val="001213C9"/>
    <w:rsid w:val="00121632"/>
    <w:rsid w:val="00122B4F"/>
    <w:rsid w:val="001231CA"/>
    <w:rsid w:val="001243CE"/>
    <w:rsid w:val="001257EF"/>
    <w:rsid w:val="00125DEF"/>
    <w:rsid w:val="00126F1D"/>
    <w:rsid w:val="0012781D"/>
    <w:rsid w:val="00130BE1"/>
    <w:rsid w:val="001318E7"/>
    <w:rsid w:val="00131F8B"/>
    <w:rsid w:val="00132744"/>
    <w:rsid w:val="00132D60"/>
    <w:rsid w:val="00133784"/>
    <w:rsid w:val="00133880"/>
    <w:rsid w:val="00133AC7"/>
    <w:rsid w:val="0013602C"/>
    <w:rsid w:val="001365B7"/>
    <w:rsid w:val="00137143"/>
    <w:rsid w:val="001372EA"/>
    <w:rsid w:val="00137B0E"/>
    <w:rsid w:val="00137D78"/>
    <w:rsid w:val="00140063"/>
    <w:rsid w:val="00140456"/>
    <w:rsid w:val="00140807"/>
    <w:rsid w:val="00142501"/>
    <w:rsid w:val="00142522"/>
    <w:rsid w:val="00142941"/>
    <w:rsid w:val="00142A67"/>
    <w:rsid w:val="00143129"/>
    <w:rsid w:val="0014328D"/>
    <w:rsid w:val="001432F2"/>
    <w:rsid w:val="00143809"/>
    <w:rsid w:val="00144D43"/>
    <w:rsid w:val="00144D9D"/>
    <w:rsid w:val="00145152"/>
    <w:rsid w:val="001454B3"/>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728"/>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6751"/>
    <w:rsid w:val="00166EAD"/>
    <w:rsid w:val="001670EA"/>
    <w:rsid w:val="00167108"/>
    <w:rsid w:val="00167347"/>
    <w:rsid w:val="001674A0"/>
    <w:rsid w:val="0017004F"/>
    <w:rsid w:val="001707D2"/>
    <w:rsid w:val="00170A4B"/>
    <w:rsid w:val="00170A88"/>
    <w:rsid w:val="00170B3C"/>
    <w:rsid w:val="00172D1A"/>
    <w:rsid w:val="00174152"/>
    <w:rsid w:val="001765F6"/>
    <w:rsid w:val="00176D2D"/>
    <w:rsid w:val="001779E5"/>
    <w:rsid w:val="001779F1"/>
    <w:rsid w:val="00177F0E"/>
    <w:rsid w:val="001802CA"/>
    <w:rsid w:val="0018129E"/>
    <w:rsid w:val="001816EF"/>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FFA"/>
    <w:rsid w:val="0018712B"/>
    <w:rsid w:val="00187135"/>
    <w:rsid w:val="001900A2"/>
    <w:rsid w:val="00191226"/>
    <w:rsid w:val="001915E3"/>
    <w:rsid w:val="00191DC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BDF"/>
    <w:rsid w:val="001A0C55"/>
    <w:rsid w:val="001A103E"/>
    <w:rsid w:val="001A111A"/>
    <w:rsid w:val="001A11A8"/>
    <w:rsid w:val="001A1940"/>
    <w:rsid w:val="001A20CF"/>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2BFF"/>
    <w:rsid w:val="001B383B"/>
    <w:rsid w:val="001B3C14"/>
    <w:rsid w:val="001B4BB4"/>
    <w:rsid w:val="001B4DE0"/>
    <w:rsid w:val="001B5269"/>
    <w:rsid w:val="001B547E"/>
    <w:rsid w:val="001B639E"/>
    <w:rsid w:val="001B6BA0"/>
    <w:rsid w:val="001B75A9"/>
    <w:rsid w:val="001B7D0D"/>
    <w:rsid w:val="001B7D63"/>
    <w:rsid w:val="001C011F"/>
    <w:rsid w:val="001C0134"/>
    <w:rsid w:val="001C01B9"/>
    <w:rsid w:val="001C054A"/>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B60"/>
    <w:rsid w:val="001D2E13"/>
    <w:rsid w:val="001D2F62"/>
    <w:rsid w:val="001D363B"/>
    <w:rsid w:val="001D36C0"/>
    <w:rsid w:val="001D3B95"/>
    <w:rsid w:val="001D41AD"/>
    <w:rsid w:val="001D6678"/>
    <w:rsid w:val="001D7B4A"/>
    <w:rsid w:val="001E065E"/>
    <w:rsid w:val="001E2449"/>
    <w:rsid w:val="001E249B"/>
    <w:rsid w:val="001E2641"/>
    <w:rsid w:val="001E26E9"/>
    <w:rsid w:val="001E3C32"/>
    <w:rsid w:val="001E3D9E"/>
    <w:rsid w:val="001E3DBD"/>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360"/>
    <w:rsid w:val="001F264F"/>
    <w:rsid w:val="001F30EF"/>
    <w:rsid w:val="001F3136"/>
    <w:rsid w:val="001F3625"/>
    <w:rsid w:val="001F3FB3"/>
    <w:rsid w:val="001F4259"/>
    <w:rsid w:val="001F4660"/>
    <w:rsid w:val="001F4898"/>
    <w:rsid w:val="001F5019"/>
    <w:rsid w:val="001F50D7"/>
    <w:rsid w:val="001F62A4"/>
    <w:rsid w:val="001F6DC7"/>
    <w:rsid w:val="0020061F"/>
    <w:rsid w:val="00200870"/>
    <w:rsid w:val="00202151"/>
    <w:rsid w:val="002023B9"/>
    <w:rsid w:val="002026A7"/>
    <w:rsid w:val="00202AEC"/>
    <w:rsid w:val="00203461"/>
    <w:rsid w:val="002036D3"/>
    <w:rsid w:val="0020418C"/>
    <w:rsid w:val="00204B3A"/>
    <w:rsid w:val="00204BEC"/>
    <w:rsid w:val="00205969"/>
    <w:rsid w:val="00206164"/>
    <w:rsid w:val="00206773"/>
    <w:rsid w:val="002070DF"/>
    <w:rsid w:val="00207194"/>
    <w:rsid w:val="00207806"/>
    <w:rsid w:val="002101E0"/>
    <w:rsid w:val="002103E3"/>
    <w:rsid w:val="00210C30"/>
    <w:rsid w:val="00210C32"/>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6BF0"/>
    <w:rsid w:val="00226F4B"/>
    <w:rsid w:val="002279FC"/>
    <w:rsid w:val="00230232"/>
    <w:rsid w:val="0023031F"/>
    <w:rsid w:val="00230375"/>
    <w:rsid w:val="00230459"/>
    <w:rsid w:val="002312F4"/>
    <w:rsid w:val="002313F1"/>
    <w:rsid w:val="00231513"/>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2520"/>
    <w:rsid w:val="00242553"/>
    <w:rsid w:val="00242798"/>
    <w:rsid w:val="002427D6"/>
    <w:rsid w:val="0024336B"/>
    <w:rsid w:val="00243B9B"/>
    <w:rsid w:val="00243B9D"/>
    <w:rsid w:val="00243C6C"/>
    <w:rsid w:val="00243C7D"/>
    <w:rsid w:val="00244C44"/>
    <w:rsid w:val="00244CFE"/>
    <w:rsid w:val="00244DDE"/>
    <w:rsid w:val="0024560D"/>
    <w:rsid w:val="002458BB"/>
    <w:rsid w:val="00245C9B"/>
    <w:rsid w:val="00245CF8"/>
    <w:rsid w:val="00246068"/>
    <w:rsid w:val="00246081"/>
    <w:rsid w:val="00246913"/>
    <w:rsid w:val="00246AA2"/>
    <w:rsid w:val="00246AB8"/>
    <w:rsid w:val="00247832"/>
    <w:rsid w:val="00247DEE"/>
    <w:rsid w:val="00250E1A"/>
    <w:rsid w:val="00252C17"/>
    <w:rsid w:val="0025303A"/>
    <w:rsid w:val="0025334E"/>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C1E"/>
    <w:rsid w:val="002612FE"/>
    <w:rsid w:val="0026147E"/>
    <w:rsid w:val="00261AED"/>
    <w:rsid w:val="0026222F"/>
    <w:rsid w:val="00262960"/>
    <w:rsid w:val="00262AB8"/>
    <w:rsid w:val="002631C3"/>
    <w:rsid w:val="002634B5"/>
    <w:rsid w:val="002635BC"/>
    <w:rsid w:val="002653AE"/>
    <w:rsid w:val="002669FB"/>
    <w:rsid w:val="00266F6D"/>
    <w:rsid w:val="002674A5"/>
    <w:rsid w:val="002678A0"/>
    <w:rsid w:val="0027030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901"/>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21A"/>
    <w:rsid w:val="00285488"/>
    <w:rsid w:val="00285510"/>
    <w:rsid w:val="00285C0D"/>
    <w:rsid w:val="00285D5C"/>
    <w:rsid w:val="002860D9"/>
    <w:rsid w:val="00286212"/>
    <w:rsid w:val="00286612"/>
    <w:rsid w:val="00286C86"/>
    <w:rsid w:val="00286E9E"/>
    <w:rsid w:val="00286FE0"/>
    <w:rsid w:val="002873A2"/>
    <w:rsid w:val="00287709"/>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ECF"/>
    <w:rsid w:val="002A0F96"/>
    <w:rsid w:val="002A1126"/>
    <w:rsid w:val="002A169A"/>
    <w:rsid w:val="002A205D"/>
    <w:rsid w:val="002A352A"/>
    <w:rsid w:val="002A35C4"/>
    <w:rsid w:val="002A3EA6"/>
    <w:rsid w:val="002A4433"/>
    <w:rsid w:val="002A4B5A"/>
    <w:rsid w:val="002A525B"/>
    <w:rsid w:val="002A5B38"/>
    <w:rsid w:val="002A5D87"/>
    <w:rsid w:val="002A5F34"/>
    <w:rsid w:val="002A70E1"/>
    <w:rsid w:val="002A785E"/>
    <w:rsid w:val="002B0A8F"/>
    <w:rsid w:val="002B132E"/>
    <w:rsid w:val="002B1560"/>
    <w:rsid w:val="002B21CE"/>
    <w:rsid w:val="002B241B"/>
    <w:rsid w:val="002B2813"/>
    <w:rsid w:val="002B2AB9"/>
    <w:rsid w:val="002B3667"/>
    <w:rsid w:val="002B3A79"/>
    <w:rsid w:val="002B420A"/>
    <w:rsid w:val="002B4D11"/>
    <w:rsid w:val="002B50EA"/>
    <w:rsid w:val="002B60E3"/>
    <w:rsid w:val="002B610C"/>
    <w:rsid w:val="002B6C25"/>
    <w:rsid w:val="002B6DD1"/>
    <w:rsid w:val="002B7215"/>
    <w:rsid w:val="002B74ED"/>
    <w:rsid w:val="002B7773"/>
    <w:rsid w:val="002B78F8"/>
    <w:rsid w:val="002B7F6C"/>
    <w:rsid w:val="002C06B7"/>
    <w:rsid w:val="002C139E"/>
    <w:rsid w:val="002C180A"/>
    <w:rsid w:val="002C39FE"/>
    <w:rsid w:val="002C3A16"/>
    <w:rsid w:val="002C4EA6"/>
    <w:rsid w:val="002C5280"/>
    <w:rsid w:val="002C55A6"/>
    <w:rsid w:val="002C5D11"/>
    <w:rsid w:val="002C6255"/>
    <w:rsid w:val="002C6E3E"/>
    <w:rsid w:val="002D0F79"/>
    <w:rsid w:val="002D1214"/>
    <w:rsid w:val="002D2B0D"/>
    <w:rsid w:val="002D2B82"/>
    <w:rsid w:val="002D2F36"/>
    <w:rsid w:val="002D32CC"/>
    <w:rsid w:val="002D365F"/>
    <w:rsid w:val="002D36B6"/>
    <w:rsid w:val="002D398F"/>
    <w:rsid w:val="002D3BF5"/>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5C"/>
    <w:rsid w:val="002E73C0"/>
    <w:rsid w:val="002E7C85"/>
    <w:rsid w:val="002E7FEB"/>
    <w:rsid w:val="002F05CB"/>
    <w:rsid w:val="002F11B9"/>
    <w:rsid w:val="002F143E"/>
    <w:rsid w:val="002F144D"/>
    <w:rsid w:val="002F18A9"/>
    <w:rsid w:val="002F1E06"/>
    <w:rsid w:val="002F3968"/>
    <w:rsid w:val="002F3CD5"/>
    <w:rsid w:val="002F411A"/>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2AA"/>
    <w:rsid w:val="00310E98"/>
    <w:rsid w:val="0031128C"/>
    <w:rsid w:val="00311594"/>
    <w:rsid w:val="00312957"/>
    <w:rsid w:val="00312CEC"/>
    <w:rsid w:val="00313A59"/>
    <w:rsid w:val="00313A5B"/>
    <w:rsid w:val="00313CB0"/>
    <w:rsid w:val="00313F96"/>
    <w:rsid w:val="00313FD2"/>
    <w:rsid w:val="003151C8"/>
    <w:rsid w:val="003163A9"/>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6DAB"/>
    <w:rsid w:val="00327DEB"/>
    <w:rsid w:val="003302A3"/>
    <w:rsid w:val="003302DF"/>
    <w:rsid w:val="00330AFE"/>
    <w:rsid w:val="003315AB"/>
    <w:rsid w:val="00331C86"/>
    <w:rsid w:val="00332CA2"/>
    <w:rsid w:val="003344D2"/>
    <w:rsid w:val="00335235"/>
    <w:rsid w:val="00335B31"/>
    <w:rsid w:val="00335C2D"/>
    <w:rsid w:val="00340328"/>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390"/>
    <w:rsid w:val="00351B52"/>
    <w:rsid w:val="00351E40"/>
    <w:rsid w:val="003521FB"/>
    <w:rsid w:val="00352D21"/>
    <w:rsid w:val="003532D4"/>
    <w:rsid w:val="003536FE"/>
    <w:rsid w:val="00353A08"/>
    <w:rsid w:val="00354A52"/>
    <w:rsid w:val="0035592D"/>
    <w:rsid w:val="0035756B"/>
    <w:rsid w:val="00357B29"/>
    <w:rsid w:val="00357B9C"/>
    <w:rsid w:val="00360E66"/>
    <w:rsid w:val="00361310"/>
    <w:rsid w:val="0036140A"/>
    <w:rsid w:val="00362676"/>
    <w:rsid w:val="00363D73"/>
    <w:rsid w:val="003642A6"/>
    <w:rsid w:val="003647F5"/>
    <w:rsid w:val="00364BBC"/>
    <w:rsid w:val="00364BDE"/>
    <w:rsid w:val="00364D63"/>
    <w:rsid w:val="0036620B"/>
    <w:rsid w:val="003666FD"/>
    <w:rsid w:val="003673B3"/>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0DB"/>
    <w:rsid w:val="00376050"/>
    <w:rsid w:val="003763EE"/>
    <w:rsid w:val="00376AB4"/>
    <w:rsid w:val="00377017"/>
    <w:rsid w:val="0037751C"/>
    <w:rsid w:val="0037782C"/>
    <w:rsid w:val="00377D2D"/>
    <w:rsid w:val="00377F01"/>
    <w:rsid w:val="0038007A"/>
    <w:rsid w:val="00380266"/>
    <w:rsid w:val="00380306"/>
    <w:rsid w:val="00380E9D"/>
    <w:rsid w:val="00382191"/>
    <w:rsid w:val="003828F1"/>
    <w:rsid w:val="00383F09"/>
    <w:rsid w:val="003840EA"/>
    <w:rsid w:val="00385AD5"/>
    <w:rsid w:val="003860C3"/>
    <w:rsid w:val="00386264"/>
    <w:rsid w:val="0038735A"/>
    <w:rsid w:val="00387666"/>
    <w:rsid w:val="00387683"/>
    <w:rsid w:val="0038795B"/>
    <w:rsid w:val="00387DD5"/>
    <w:rsid w:val="003900F3"/>
    <w:rsid w:val="0039015E"/>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FD5"/>
    <w:rsid w:val="00397186"/>
    <w:rsid w:val="003A00F4"/>
    <w:rsid w:val="003A09DE"/>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767C"/>
    <w:rsid w:val="003E05FF"/>
    <w:rsid w:val="003E1325"/>
    <w:rsid w:val="003E2708"/>
    <w:rsid w:val="003E275E"/>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2826"/>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3A7"/>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3A60"/>
    <w:rsid w:val="00454106"/>
    <w:rsid w:val="00455E4E"/>
    <w:rsid w:val="004567B7"/>
    <w:rsid w:val="00456D13"/>
    <w:rsid w:val="00457671"/>
    <w:rsid w:val="00457A67"/>
    <w:rsid w:val="0046048D"/>
    <w:rsid w:val="0046080B"/>
    <w:rsid w:val="00460FCA"/>
    <w:rsid w:val="00461210"/>
    <w:rsid w:val="00461E37"/>
    <w:rsid w:val="0046285A"/>
    <w:rsid w:val="00462F68"/>
    <w:rsid w:val="004632B6"/>
    <w:rsid w:val="00463B13"/>
    <w:rsid w:val="00464589"/>
    <w:rsid w:val="004661A7"/>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BCB"/>
    <w:rsid w:val="00475C63"/>
    <w:rsid w:val="00475F22"/>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A3A"/>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2AE4"/>
    <w:rsid w:val="004A32EB"/>
    <w:rsid w:val="004A3581"/>
    <w:rsid w:val="004A4185"/>
    <w:rsid w:val="004A4BC3"/>
    <w:rsid w:val="004A4D1B"/>
    <w:rsid w:val="004A59C7"/>
    <w:rsid w:val="004A5B59"/>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2D5"/>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1CBE"/>
    <w:rsid w:val="004C20B0"/>
    <w:rsid w:val="004C3507"/>
    <w:rsid w:val="004C3A83"/>
    <w:rsid w:val="004C473C"/>
    <w:rsid w:val="004C4B8F"/>
    <w:rsid w:val="004C4F58"/>
    <w:rsid w:val="004C5555"/>
    <w:rsid w:val="004C5E0E"/>
    <w:rsid w:val="004C6BED"/>
    <w:rsid w:val="004C7072"/>
    <w:rsid w:val="004C72E1"/>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4343"/>
    <w:rsid w:val="004E49C1"/>
    <w:rsid w:val="004E52D3"/>
    <w:rsid w:val="004E5308"/>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34C"/>
    <w:rsid w:val="004F43EA"/>
    <w:rsid w:val="004F4C0C"/>
    <w:rsid w:val="004F5835"/>
    <w:rsid w:val="004F6291"/>
    <w:rsid w:val="004F6D60"/>
    <w:rsid w:val="004F6D6D"/>
    <w:rsid w:val="004F75CE"/>
    <w:rsid w:val="004F7B4B"/>
    <w:rsid w:val="005000B0"/>
    <w:rsid w:val="00500684"/>
    <w:rsid w:val="0050071D"/>
    <w:rsid w:val="00501857"/>
    <w:rsid w:val="00501CBA"/>
    <w:rsid w:val="005021E2"/>
    <w:rsid w:val="00502A20"/>
    <w:rsid w:val="00502A5B"/>
    <w:rsid w:val="005039D8"/>
    <w:rsid w:val="00504083"/>
    <w:rsid w:val="005042BD"/>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761"/>
    <w:rsid w:val="00515519"/>
    <w:rsid w:val="00516D12"/>
    <w:rsid w:val="00516FD9"/>
    <w:rsid w:val="0051727D"/>
    <w:rsid w:val="0051734D"/>
    <w:rsid w:val="00517C73"/>
    <w:rsid w:val="005205C9"/>
    <w:rsid w:val="005205F8"/>
    <w:rsid w:val="0052113F"/>
    <w:rsid w:val="00522140"/>
    <w:rsid w:val="00522255"/>
    <w:rsid w:val="005225E4"/>
    <w:rsid w:val="00522867"/>
    <w:rsid w:val="00522C84"/>
    <w:rsid w:val="00522FAD"/>
    <w:rsid w:val="00523764"/>
    <w:rsid w:val="00524572"/>
    <w:rsid w:val="0052500C"/>
    <w:rsid w:val="005256FD"/>
    <w:rsid w:val="0052595A"/>
    <w:rsid w:val="00525B52"/>
    <w:rsid w:val="00525D5F"/>
    <w:rsid w:val="00526FB5"/>
    <w:rsid w:val="005276BC"/>
    <w:rsid w:val="00527E6D"/>
    <w:rsid w:val="0053050F"/>
    <w:rsid w:val="00530AED"/>
    <w:rsid w:val="00532ADE"/>
    <w:rsid w:val="0053421D"/>
    <w:rsid w:val="005342F0"/>
    <w:rsid w:val="005346A5"/>
    <w:rsid w:val="005352D4"/>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34"/>
    <w:rsid w:val="0055120C"/>
    <w:rsid w:val="005512C3"/>
    <w:rsid w:val="00551303"/>
    <w:rsid w:val="0055140D"/>
    <w:rsid w:val="0055195C"/>
    <w:rsid w:val="0055267C"/>
    <w:rsid w:val="00552A89"/>
    <w:rsid w:val="00553289"/>
    <w:rsid w:val="00553335"/>
    <w:rsid w:val="00553448"/>
    <w:rsid w:val="00553E6C"/>
    <w:rsid w:val="005542C2"/>
    <w:rsid w:val="00554BEA"/>
    <w:rsid w:val="00554C82"/>
    <w:rsid w:val="0055647A"/>
    <w:rsid w:val="00556AA8"/>
    <w:rsid w:val="00556B8A"/>
    <w:rsid w:val="00556BDF"/>
    <w:rsid w:val="00556DC5"/>
    <w:rsid w:val="00557E83"/>
    <w:rsid w:val="00557FAE"/>
    <w:rsid w:val="0056008F"/>
    <w:rsid w:val="0056016C"/>
    <w:rsid w:val="0056032A"/>
    <w:rsid w:val="00560599"/>
    <w:rsid w:val="0056162A"/>
    <w:rsid w:val="00561812"/>
    <w:rsid w:val="005619C5"/>
    <w:rsid w:val="00561F89"/>
    <w:rsid w:val="005623AE"/>
    <w:rsid w:val="00562675"/>
    <w:rsid w:val="00562952"/>
    <w:rsid w:val="00562DF2"/>
    <w:rsid w:val="00563831"/>
    <w:rsid w:val="00565157"/>
    <w:rsid w:val="00565408"/>
    <w:rsid w:val="00565B34"/>
    <w:rsid w:val="00565BCC"/>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EEA"/>
    <w:rsid w:val="00577F4E"/>
    <w:rsid w:val="005802EE"/>
    <w:rsid w:val="005807DF"/>
    <w:rsid w:val="00580D6E"/>
    <w:rsid w:val="00580E26"/>
    <w:rsid w:val="005815FD"/>
    <w:rsid w:val="005818F0"/>
    <w:rsid w:val="005840AE"/>
    <w:rsid w:val="005843CA"/>
    <w:rsid w:val="0058496C"/>
    <w:rsid w:val="00585B15"/>
    <w:rsid w:val="00585BDC"/>
    <w:rsid w:val="00585C54"/>
    <w:rsid w:val="00585F5F"/>
    <w:rsid w:val="005866AE"/>
    <w:rsid w:val="00586F51"/>
    <w:rsid w:val="00587209"/>
    <w:rsid w:val="00587583"/>
    <w:rsid w:val="00590508"/>
    <w:rsid w:val="005910FF"/>
    <w:rsid w:val="00591182"/>
    <w:rsid w:val="00591C67"/>
    <w:rsid w:val="005923DC"/>
    <w:rsid w:val="00592553"/>
    <w:rsid w:val="005929A4"/>
    <w:rsid w:val="00592A63"/>
    <w:rsid w:val="00592E78"/>
    <w:rsid w:val="00592EB2"/>
    <w:rsid w:val="005951B6"/>
    <w:rsid w:val="00595D0E"/>
    <w:rsid w:val="0059645C"/>
    <w:rsid w:val="005966B3"/>
    <w:rsid w:val="005975F5"/>
    <w:rsid w:val="00597EBB"/>
    <w:rsid w:val="005A0173"/>
    <w:rsid w:val="005A1C50"/>
    <w:rsid w:val="005A2A83"/>
    <w:rsid w:val="005A36A5"/>
    <w:rsid w:val="005A510C"/>
    <w:rsid w:val="005A5709"/>
    <w:rsid w:val="005A58FF"/>
    <w:rsid w:val="005A5C67"/>
    <w:rsid w:val="005A5FE6"/>
    <w:rsid w:val="005A6290"/>
    <w:rsid w:val="005A70F8"/>
    <w:rsid w:val="005B104B"/>
    <w:rsid w:val="005B1B58"/>
    <w:rsid w:val="005B247D"/>
    <w:rsid w:val="005B324E"/>
    <w:rsid w:val="005B361D"/>
    <w:rsid w:val="005B3643"/>
    <w:rsid w:val="005B37D2"/>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06FB"/>
    <w:rsid w:val="005C11C0"/>
    <w:rsid w:val="005C2162"/>
    <w:rsid w:val="005C2261"/>
    <w:rsid w:val="005C2684"/>
    <w:rsid w:val="005C2EAB"/>
    <w:rsid w:val="005C2FE5"/>
    <w:rsid w:val="005C492F"/>
    <w:rsid w:val="005C50BD"/>
    <w:rsid w:val="005C55F6"/>
    <w:rsid w:val="005C5A5E"/>
    <w:rsid w:val="005C6471"/>
    <w:rsid w:val="005C76DF"/>
    <w:rsid w:val="005C7C25"/>
    <w:rsid w:val="005D08ED"/>
    <w:rsid w:val="005D1092"/>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0F36"/>
    <w:rsid w:val="00601116"/>
    <w:rsid w:val="00601227"/>
    <w:rsid w:val="00601B65"/>
    <w:rsid w:val="00601BD4"/>
    <w:rsid w:val="00602E4E"/>
    <w:rsid w:val="00602ED7"/>
    <w:rsid w:val="0060346C"/>
    <w:rsid w:val="006038A6"/>
    <w:rsid w:val="00603E9F"/>
    <w:rsid w:val="00604129"/>
    <w:rsid w:val="00604258"/>
    <w:rsid w:val="0060483B"/>
    <w:rsid w:val="006049A8"/>
    <w:rsid w:val="006055A9"/>
    <w:rsid w:val="00605AA9"/>
    <w:rsid w:val="00605C62"/>
    <w:rsid w:val="00605DDB"/>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28B"/>
    <w:rsid w:val="00624A16"/>
    <w:rsid w:val="00625597"/>
    <w:rsid w:val="006258FF"/>
    <w:rsid w:val="00630A61"/>
    <w:rsid w:val="00630AB5"/>
    <w:rsid w:val="00631296"/>
    <w:rsid w:val="00631321"/>
    <w:rsid w:val="0063173B"/>
    <w:rsid w:val="006319D2"/>
    <w:rsid w:val="006324FF"/>
    <w:rsid w:val="00632708"/>
    <w:rsid w:val="00632DB9"/>
    <w:rsid w:val="00633040"/>
    <w:rsid w:val="006331B1"/>
    <w:rsid w:val="006332BB"/>
    <w:rsid w:val="0063350E"/>
    <w:rsid w:val="006336BE"/>
    <w:rsid w:val="00633755"/>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1FCC"/>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B5B"/>
    <w:rsid w:val="00654CCF"/>
    <w:rsid w:val="00655D1E"/>
    <w:rsid w:val="00655E42"/>
    <w:rsid w:val="00655F0E"/>
    <w:rsid w:val="0065682D"/>
    <w:rsid w:val="0065732C"/>
    <w:rsid w:val="00660670"/>
    <w:rsid w:val="006607D5"/>
    <w:rsid w:val="00660B01"/>
    <w:rsid w:val="00661412"/>
    <w:rsid w:val="00661851"/>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1DF"/>
    <w:rsid w:val="006853D4"/>
    <w:rsid w:val="00685B89"/>
    <w:rsid w:val="00685F9A"/>
    <w:rsid w:val="006861FD"/>
    <w:rsid w:val="0068647B"/>
    <w:rsid w:val="0068655E"/>
    <w:rsid w:val="00686D65"/>
    <w:rsid w:val="00686DDB"/>
    <w:rsid w:val="00687270"/>
    <w:rsid w:val="0068783A"/>
    <w:rsid w:val="006905B1"/>
    <w:rsid w:val="006907DB"/>
    <w:rsid w:val="00690C7E"/>
    <w:rsid w:val="00690E94"/>
    <w:rsid w:val="00691E2A"/>
    <w:rsid w:val="00692561"/>
    <w:rsid w:val="006928F3"/>
    <w:rsid w:val="00692B08"/>
    <w:rsid w:val="00693F7D"/>
    <w:rsid w:val="00694270"/>
    <w:rsid w:val="006944F3"/>
    <w:rsid w:val="0069496A"/>
    <w:rsid w:val="00694C3E"/>
    <w:rsid w:val="006950E8"/>
    <w:rsid w:val="00695F8B"/>
    <w:rsid w:val="00696093"/>
    <w:rsid w:val="006973F6"/>
    <w:rsid w:val="006974AC"/>
    <w:rsid w:val="006975A7"/>
    <w:rsid w:val="006A0D77"/>
    <w:rsid w:val="006A0DF4"/>
    <w:rsid w:val="006A196A"/>
    <w:rsid w:val="006A216A"/>
    <w:rsid w:val="006A2BA8"/>
    <w:rsid w:val="006A2EEE"/>
    <w:rsid w:val="006A3441"/>
    <w:rsid w:val="006A37DD"/>
    <w:rsid w:val="006A409D"/>
    <w:rsid w:val="006A458B"/>
    <w:rsid w:val="006A4807"/>
    <w:rsid w:val="006A4E28"/>
    <w:rsid w:val="006A50AC"/>
    <w:rsid w:val="006A5E1B"/>
    <w:rsid w:val="006A5E84"/>
    <w:rsid w:val="006A6BB4"/>
    <w:rsid w:val="006A72C8"/>
    <w:rsid w:val="006A72E3"/>
    <w:rsid w:val="006A7FFB"/>
    <w:rsid w:val="006B05A2"/>
    <w:rsid w:val="006B2238"/>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8BB"/>
    <w:rsid w:val="006E6A0C"/>
    <w:rsid w:val="006E6AB2"/>
    <w:rsid w:val="006E6BA3"/>
    <w:rsid w:val="006E6FFE"/>
    <w:rsid w:val="006E773F"/>
    <w:rsid w:val="006E7EE5"/>
    <w:rsid w:val="006F0214"/>
    <w:rsid w:val="006F076B"/>
    <w:rsid w:val="006F123E"/>
    <w:rsid w:val="006F1ECD"/>
    <w:rsid w:val="006F2D22"/>
    <w:rsid w:val="006F310D"/>
    <w:rsid w:val="006F31FA"/>
    <w:rsid w:val="006F3589"/>
    <w:rsid w:val="006F4254"/>
    <w:rsid w:val="006F4583"/>
    <w:rsid w:val="006F4B34"/>
    <w:rsid w:val="006F5B4E"/>
    <w:rsid w:val="006F63D1"/>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213"/>
    <w:rsid w:val="007202E7"/>
    <w:rsid w:val="0072037D"/>
    <w:rsid w:val="00721336"/>
    <w:rsid w:val="0072202D"/>
    <w:rsid w:val="0072256E"/>
    <w:rsid w:val="00722DD1"/>
    <w:rsid w:val="0072313E"/>
    <w:rsid w:val="00723BD3"/>
    <w:rsid w:val="00723C15"/>
    <w:rsid w:val="007249DE"/>
    <w:rsid w:val="00724B19"/>
    <w:rsid w:val="00724F0A"/>
    <w:rsid w:val="00725709"/>
    <w:rsid w:val="0072676B"/>
    <w:rsid w:val="00726962"/>
    <w:rsid w:val="00726F7F"/>
    <w:rsid w:val="00727F52"/>
    <w:rsid w:val="007309E7"/>
    <w:rsid w:val="00730C41"/>
    <w:rsid w:val="00731064"/>
    <w:rsid w:val="00731284"/>
    <w:rsid w:val="00731E2B"/>
    <w:rsid w:val="007334FE"/>
    <w:rsid w:val="00733BDE"/>
    <w:rsid w:val="00733CC8"/>
    <w:rsid w:val="00734642"/>
    <w:rsid w:val="0073474B"/>
    <w:rsid w:val="00734850"/>
    <w:rsid w:val="007349E6"/>
    <w:rsid w:val="00735506"/>
    <w:rsid w:val="0073580A"/>
    <w:rsid w:val="00736418"/>
    <w:rsid w:val="00737322"/>
    <w:rsid w:val="007375A2"/>
    <w:rsid w:val="00737B01"/>
    <w:rsid w:val="007401FE"/>
    <w:rsid w:val="0074058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717"/>
    <w:rsid w:val="00752A90"/>
    <w:rsid w:val="00752F4E"/>
    <w:rsid w:val="0075301D"/>
    <w:rsid w:val="0075348F"/>
    <w:rsid w:val="0075373E"/>
    <w:rsid w:val="00753902"/>
    <w:rsid w:val="00754C7C"/>
    <w:rsid w:val="00755F8D"/>
    <w:rsid w:val="00756365"/>
    <w:rsid w:val="00756832"/>
    <w:rsid w:val="00756B50"/>
    <w:rsid w:val="00757052"/>
    <w:rsid w:val="007573D8"/>
    <w:rsid w:val="00757AED"/>
    <w:rsid w:val="00757E6B"/>
    <w:rsid w:val="007602E1"/>
    <w:rsid w:val="00760478"/>
    <w:rsid w:val="00760F56"/>
    <w:rsid w:val="007613F5"/>
    <w:rsid w:val="00761485"/>
    <w:rsid w:val="0076209A"/>
    <w:rsid w:val="00762498"/>
    <w:rsid w:val="007633C9"/>
    <w:rsid w:val="00763B3C"/>
    <w:rsid w:val="00763EF1"/>
    <w:rsid w:val="007645B7"/>
    <w:rsid w:val="0076496D"/>
    <w:rsid w:val="00765261"/>
    <w:rsid w:val="0076547E"/>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C4F"/>
    <w:rsid w:val="00781E6B"/>
    <w:rsid w:val="00782217"/>
    <w:rsid w:val="00782B81"/>
    <w:rsid w:val="0078327E"/>
    <w:rsid w:val="0078349C"/>
    <w:rsid w:val="0078369B"/>
    <w:rsid w:val="00783B37"/>
    <w:rsid w:val="0078457B"/>
    <w:rsid w:val="00784B2B"/>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3675"/>
    <w:rsid w:val="00793D33"/>
    <w:rsid w:val="00793E48"/>
    <w:rsid w:val="007940E3"/>
    <w:rsid w:val="00794346"/>
    <w:rsid w:val="0079566B"/>
    <w:rsid w:val="00795745"/>
    <w:rsid w:val="00795DE5"/>
    <w:rsid w:val="00796029"/>
    <w:rsid w:val="0079602D"/>
    <w:rsid w:val="0079653C"/>
    <w:rsid w:val="007965DE"/>
    <w:rsid w:val="0079760B"/>
    <w:rsid w:val="00797D62"/>
    <w:rsid w:val="007A0489"/>
    <w:rsid w:val="007A08F5"/>
    <w:rsid w:val="007A120A"/>
    <w:rsid w:val="007A14FB"/>
    <w:rsid w:val="007A1FAB"/>
    <w:rsid w:val="007A27EA"/>
    <w:rsid w:val="007A2812"/>
    <w:rsid w:val="007A2963"/>
    <w:rsid w:val="007A2E87"/>
    <w:rsid w:val="007A3290"/>
    <w:rsid w:val="007A3D3F"/>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4C"/>
    <w:rsid w:val="007B53A6"/>
    <w:rsid w:val="007B5CE8"/>
    <w:rsid w:val="007B6C76"/>
    <w:rsid w:val="007B7496"/>
    <w:rsid w:val="007B77E1"/>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370"/>
    <w:rsid w:val="007F493D"/>
    <w:rsid w:val="007F4B96"/>
    <w:rsid w:val="007F4D38"/>
    <w:rsid w:val="007F501C"/>
    <w:rsid w:val="007F5CFE"/>
    <w:rsid w:val="007F6568"/>
    <w:rsid w:val="007F67E3"/>
    <w:rsid w:val="007F6D3E"/>
    <w:rsid w:val="007F7085"/>
    <w:rsid w:val="007F746E"/>
    <w:rsid w:val="007F75DC"/>
    <w:rsid w:val="007F76A3"/>
    <w:rsid w:val="00800662"/>
    <w:rsid w:val="008006AF"/>
    <w:rsid w:val="00800C71"/>
    <w:rsid w:val="008012B9"/>
    <w:rsid w:val="0080153E"/>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F2D"/>
    <w:rsid w:val="00820163"/>
    <w:rsid w:val="0082069F"/>
    <w:rsid w:val="00820C03"/>
    <w:rsid w:val="00820CB1"/>
    <w:rsid w:val="00820D4A"/>
    <w:rsid w:val="00821120"/>
    <w:rsid w:val="00821205"/>
    <w:rsid w:val="00821698"/>
    <w:rsid w:val="00822A5F"/>
    <w:rsid w:val="00822EF0"/>
    <w:rsid w:val="008230A4"/>
    <w:rsid w:val="00823412"/>
    <w:rsid w:val="008248A4"/>
    <w:rsid w:val="0082505B"/>
    <w:rsid w:val="00826147"/>
    <w:rsid w:val="00826DD9"/>
    <w:rsid w:val="00827842"/>
    <w:rsid w:val="008278B6"/>
    <w:rsid w:val="0083001C"/>
    <w:rsid w:val="0083011C"/>
    <w:rsid w:val="00830E79"/>
    <w:rsid w:val="0083170B"/>
    <w:rsid w:val="00832017"/>
    <w:rsid w:val="00832328"/>
    <w:rsid w:val="008325BC"/>
    <w:rsid w:val="00833884"/>
    <w:rsid w:val="00833E5D"/>
    <w:rsid w:val="008341CB"/>
    <w:rsid w:val="008344AB"/>
    <w:rsid w:val="008348B5"/>
    <w:rsid w:val="00834974"/>
    <w:rsid w:val="00834B77"/>
    <w:rsid w:val="00835028"/>
    <w:rsid w:val="00835883"/>
    <w:rsid w:val="00835CAD"/>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7BA5"/>
    <w:rsid w:val="008602D0"/>
    <w:rsid w:val="00860479"/>
    <w:rsid w:val="008620E7"/>
    <w:rsid w:val="008627F9"/>
    <w:rsid w:val="00862A5C"/>
    <w:rsid w:val="00862C9D"/>
    <w:rsid w:val="008632B9"/>
    <w:rsid w:val="00863335"/>
    <w:rsid w:val="0086362F"/>
    <w:rsid w:val="00864D11"/>
    <w:rsid w:val="0086521E"/>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381"/>
    <w:rsid w:val="008836B8"/>
    <w:rsid w:val="00883DD0"/>
    <w:rsid w:val="00883F3B"/>
    <w:rsid w:val="00884C1D"/>
    <w:rsid w:val="00885499"/>
    <w:rsid w:val="0088573F"/>
    <w:rsid w:val="008868B1"/>
    <w:rsid w:val="008872E0"/>
    <w:rsid w:val="00887AFB"/>
    <w:rsid w:val="00887C46"/>
    <w:rsid w:val="008908D5"/>
    <w:rsid w:val="00890CEA"/>
    <w:rsid w:val="008913C8"/>
    <w:rsid w:val="008914ED"/>
    <w:rsid w:val="008926FE"/>
    <w:rsid w:val="0089352A"/>
    <w:rsid w:val="0089365F"/>
    <w:rsid w:val="00894FF0"/>
    <w:rsid w:val="0089558A"/>
    <w:rsid w:val="00895922"/>
    <w:rsid w:val="00896937"/>
    <w:rsid w:val="00896CB5"/>
    <w:rsid w:val="00896D4C"/>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17"/>
    <w:rsid w:val="008A66DC"/>
    <w:rsid w:val="008A68C6"/>
    <w:rsid w:val="008A7340"/>
    <w:rsid w:val="008B016F"/>
    <w:rsid w:val="008B02FA"/>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1AE"/>
    <w:rsid w:val="008C5ABD"/>
    <w:rsid w:val="008C5EC6"/>
    <w:rsid w:val="008C5EF3"/>
    <w:rsid w:val="008C62C8"/>
    <w:rsid w:val="008C6EF2"/>
    <w:rsid w:val="008D0543"/>
    <w:rsid w:val="008D0E2E"/>
    <w:rsid w:val="008D1EA2"/>
    <w:rsid w:val="008D23F5"/>
    <w:rsid w:val="008D2731"/>
    <w:rsid w:val="008D2946"/>
    <w:rsid w:val="008D29AE"/>
    <w:rsid w:val="008D2CCE"/>
    <w:rsid w:val="008D3C06"/>
    <w:rsid w:val="008D4596"/>
    <w:rsid w:val="008D51B2"/>
    <w:rsid w:val="008D5F08"/>
    <w:rsid w:val="008D707B"/>
    <w:rsid w:val="008D7795"/>
    <w:rsid w:val="008E06FE"/>
    <w:rsid w:val="008E0F52"/>
    <w:rsid w:val="008E103B"/>
    <w:rsid w:val="008E13F3"/>
    <w:rsid w:val="008E1644"/>
    <w:rsid w:val="008E1A57"/>
    <w:rsid w:val="008E1B6F"/>
    <w:rsid w:val="008E1D83"/>
    <w:rsid w:val="008E22D5"/>
    <w:rsid w:val="008E39E6"/>
    <w:rsid w:val="008E4461"/>
    <w:rsid w:val="008E4D92"/>
    <w:rsid w:val="008E5029"/>
    <w:rsid w:val="008E595F"/>
    <w:rsid w:val="008E5CE9"/>
    <w:rsid w:val="008E5F57"/>
    <w:rsid w:val="008E6395"/>
    <w:rsid w:val="008E647D"/>
    <w:rsid w:val="008E6812"/>
    <w:rsid w:val="008E752C"/>
    <w:rsid w:val="008F0068"/>
    <w:rsid w:val="008F0300"/>
    <w:rsid w:val="008F0360"/>
    <w:rsid w:val="008F0580"/>
    <w:rsid w:val="008F0A7D"/>
    <w:rsid w:val="008F0AE1"/>
    <w:rsid w:val="008F0CB7"/>
    <w:rsid w:val="008F0EB6"/>
    <w:rsid w:val="008F0F1B"/>
    <w:rsid w:val="008F0F89"/>
    <w:rsid w:val="008F15C3"/>
    <w:rsid w:val="008F1B33"/>
    <w:rsid w:val="008F2E9B"/>
    <w:rsid w:val="008F315F"/>
    <w:rsid w:val="008F336B"/>
    <w:rsid w:val="008F3700"/>
    <w:rsid w:val="008F42A5"/>
    <w:rsid w:val="008F46F4"/>
    <w:rsid w:val="008F4992"/>
    <w:rsid w:val="008F4F2A"/>
    <w:rsid w:val="008F5959"/>
    <w:rsid w:val="008F6514"/>
    <w:rsid w:val="009007BB"/>
    <w:rsid w:val="0090140C"/>
    <w:rsid w:val="00901C0D"/>
    <w:rsid w:val="00902C20"/>
    <w:rsid w:val="00902E5B"/>
    <w:rsid w:val="00903166"/>
    <w:rsid w:val="00903329"/>
    <w:rsid w:val="0090350E"/>
    <w:rsid w:val="00904A84"/>
    <w:rsid w:val="00904B3D"/>
    <w:rsid w:val="00905124"/>
    <w:rsid w:val="00905869"/>
    <w:rsid w:val="00905D35"/>
    <w:rsid w:val="00905F83"/>
    <w:rsid w:val="00906721"/>
    <w:rsid w:val="009068FB"/>
    <w:rsid w:val="00906C4E"/>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8A9"/>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825"/>
    <w:rsid w:val="00930C42"/>
    <w:rsid w:val="00931ACC"/>
    <w:rsid w:val="00931DC4"/>
    <w:rsid w:val="00932B62"/>
    <w:rsid w:val="0093373F"/>
    <w:rsid w:val="00935F4F"/>
    <w:rsid w:val="0093660A"/>
    <w:rsid w:val="00936767"/>
    <w:rsid w:val="00937883"/>
    <w:rsid w:val="00937AC7"/>
    <w:rsid w:val="00937EAA"/>
    <w:rsid w:val="00940F10"/>
    <w:rsid w:val="009413A4"/>
    <w:rsid w:val="00941BEF"/>
    <w:rsid w:val="00941D67"/>
    <w:rsid w:val="009424A0"/>
    <w:rsid w:val="00942633"/>
    <w:rsid w:val="00942B97"/>
    <w:rsid w:val="00943136"/>
    <w:rsid w:val="009437A1"/>
    <w:rsid w:val="00943C91"/>
    <w:rsid w:val="00944029"/>
    <w:rsid w:val="00944079"/>
    <w:rsid w:val="00944D8F"/>
    <w:rsid w:val="00945A3C"/>
    <w:rsid w:val="00945D9E"/>
    <w:rsid w:val="00946DE8"/>
    <w:rsid w:val="00947AC8"/>
    <w:rsid w:val="0095114B"/>
    <w:rsid w:val="00951861"/>
    <w:rsid w:val="009519EE"/>
    <w:rsid w:val="00951DEE"/>
    <w:rsid w:val="00952D5F"/>
    <w:rsid w:val="00952F25"/>
    <w:rsid w:val="009547CF"/>
    <w:rsid w:val="00954BA3"/>
    <w:rsid w:val="00954CC3"/>
    <w:rsid w:val="00954EF6"/>
    <w:rsid w:val="00955274"/>
    <w:rsid w:val="009557F7"/>
    <w:rsid w:val="009562A9"/>
    <w:rsid w:val="009564FC"/>
    <w:rsid w:val="00956889"/>
    <w:rsid w:val="00956D9D"/>
    <w:rsid w:val="0096054D"/>
    <w:rsid w:val="009605D7"/>
    <w:rsid w:val="00960A56"/>
    <w:rsid w:val="00961004"/>
    <w:rsid w:val="00961386"/>
    <w:rsid w:val="00961F37"/>
    <w:rsid w:val="00963D24"/>
    <w:rsid w:val="0096480E"/>
    <w:rsid w:val="00964F40"/>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9CC"/>
    <w:rsid w:val="00980501"/>
    <w:rsid w:val="0098092C"/>
    <w:rsid w:val="00980A3B"/>
    <w:rsid w:val="009810BE"/>
    <w:rsid w:val="00981C7B"/>
    <w:rsid w:val="0098268E"/>
    <w:rsid w:val="00983A37"/>
    <w:rsid w:val="00983AFA"/>
    <w:rsid w:val="00983C71"/>
    <w:rsid w:val="009841A0"/>
    <w:rsid w:val="00984E48"/>
    <w:rsid w:val="00985CEC"/>
    <w:rsid w:val="00985EF7"/>
    <w:rsid w:val="00986274"/>
    <w:rsid w:val="009864B1"/>
    <w:rsid w:val="00986573"/>
    <w:rsid w:val="009871DC"/>
    <w:rsid w:val="009874E8"/>
    <w:rsid w:val="00987F01"/>
    <w:rsid w:val="009901D2"/>
    <w:rsid w:val="00990D45"/>
    <w:rsid w:val="00991C38"/>
    <w:rsid w:val="00992540"/>
    <w:rsid w:val="0099279D"/>
    <w:rsid w:val="00992E50"/>
    <w:rsid w:val="00993836"/>
    <w:rsid w:val="009947DB"/>
    <w:rsid w:val="00995FB5"/>
    <w:rsid w:val="009963DE"/>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509"/>
    <w:rsid w:val="009B2AE9"/>
    <w:rsid w:val="009B2C82"/>
    <w:rsid w:val="009B3BB5"/>
    <w:rsid w:val="009B3C21"/>
    <w:rsid w:val="009B3EFF"/>
    <w:rsid w:val="009B430D"/>
    <w:rsid w:val="009B5486"/>
    <w:rsid w:val="009B5CB9"/>
    <w:rsid w:val="009B5F01"/>
    <w:rsid w:val="009B6538"/>
    <w:rsid w:val="009B7ABB"/>
    <w:rsid w:val="009C2C91"/>
    <w:rsid w:val="009C2DD2"/>
    <w:rsid w:val="009C3DB4"/>
    <w:rsid w:val="009C3FCB"/>
    <w:rsid w:val="009C4B78"/>
    <w:rsid w:val="009C4CBA"/>
    <w:rsid w:val="009C4CF1"/>
    <w:rsid w:val="009C51D5"/>
    <w:rsid w:val="009C60ED"/>
    <w:rsid w:val="009C6335"/>
    <w:rsid w:val="009C652A"/>
    <w:rsid w:val="009C73D2"/>
    <w:rsid w:val="009D0220"/>
    <w:rsid w:val="009D072E"/>
    <w:rsid w:val="009D14D0"/>
    <w:rsid w:val="009D1A9E"/>
    <w:rsid w:val="009D227F"/>
    <w:rsid w:val="009D240A"/>
    <w:rsid w:val="009D444F"/>
    <w:rsid w:val="009D4A84"/>
    <w:rsid w:val="009D4B58"/>
    <w:rsid w:val="009D4D99"/>
    <w:rsid w:val="009D53A3"/>
    <w:rsid w:val="009D621B"/>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23C"/>
    <w:rsid w:val="009E63B9"/>
    <w:rsid w:val="009E658B"/>
    <w:rsid w:val="009E65EE"/>
    <w:rsid w:val="009E776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765"/>
    <w:rsid w:val="00A118E1"/>
    <w:rsid w:val="00A1209A"/>
    <w:rsid w:val="00A12FE5"/>
    <w:rsid w:val="00A139D1"/>
    <w:rsid w:val="00A13A13"/>
    <w:rsid w:val="00A142E0"/>
    <w:rsid w:val="00A14569"/>
    <w:rsid w:val="00A14C42"/>
    <w:rsid w:val="00A14D40"/>
    <w:rsid w:val="00A1575C"/>
    <w:rsid w:val="00A15A9B"/>
    <w:rsid w:val="00A1613A"/>
    <w:rsid w:val="00A16294"/>
    <w:rsid w:val="00A16B3F"/>
    <w:rsid w:val="00A174D3"/>
    <w:rsid w:val="00A20BFC"/>
    <w:rsid w:val="00A2103E"/>
    <w:rsid w:val="00A21556"/>
    <w:rsid w:val="00A217B0"/>
    <w:rsid w:val="00A21DA8"/>
    <w:rsid w:val="00A21FE5"/>
    <w:rsid w:val="00A22906"/>
    <w:rsid w:val="00A22A65"/>
    <w:rsid w:val="00A22AC3"/>
    <w:rsid w:val="00A22C4B"/>
    <w:rsid w:val="00A23593"/>
    <w:rsid w:val="00A23D75"/>
    <w:rsid w:val="00A2406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8E"/>
    <w:rsid w:val="00A31AF6"/>
    <w:rsid w:val="00A31C5B"/>
    <w:rsid w:val="00A31E69"/>
    <w:rsid w:val="00A31E7D"/>
    <w:rsid w:val="00A31F5C"/>
    <w:rsid w:val="00A32980"/>
    <w:rsid w:val="00A32D13"/>
    <w:rsid w:val="00A32E39"/>
    <w:rsid w:val="00A32ED5"/>
    <w:rsid w:val="00A33A51"/>
    <w:rsid w:val="00A33A7D"/>
    <w:rsid w:val="00A3466A"/>
    <w:rsid w:val="00A3493B"/>
    <w:rsid w:val="00A349E6"/>
    <w:rsid w:val="00A34AB0"/>
    <w:rsid w:val="00A359A9"/>
    <w:rsid w:val="00A36541"/>
    <w:rsid w:val="00A40227"/>
    <w:rsid w:val="00A40E01"/>
    <w:rsid w:val="00A4171B"/>
    <w:rsid w:val="00A42556"/>
    <w:rsid w:val="00A42693"/>
    <w:rsid w:val="00A42B72"/>
    <w:rsid w:val="00A4307B"/>
    <w:rsid w:val="00A437E4"/>
    <w:rsid w:val="00A439F1"/>
    <w:rsid w:val="00A44AC6"/>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5E"/>
    <w:rsid w:val="00A5359F"/>
    <w:rsid w:val="00A5365A"/>
    <w:rsid w:val="00A53947"/>
    <w:rsid w:val="00A539D1"/>
    <w:rsid w:val="00A53A07"/>
    <w:rsid w:val="00A53BB4"/>
    <w:rsid w:val="00A53CB5"/>
    <w:rsid w:val="00A54471"/>
    <w:rsid w:val="00A54CF9"/>
    <w:rsid w:val="00A54F4E"/>
    <w:rsid w:val="00A5592F"/>
    <w:rsid w:val="00A55D1A"/>
    <w:rsid w:val="00A55D30"/>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695"/>
    <w:rsid w:val="00A70DDB"/>
    <w:rsid w:val="00A70F4A"/>
    <w:rsid w:val="00A71AFD"/>
    <w:rsid w:val="00A72295"/>
    <w:rsid w:val="00A72A16"/>
    <w:rsid w:val="00A72BE1"/>
    <w:rsid w:val="00A72D1C"/>
    <w:rsid w:val="00A72E57"/>
    <w:rsid w:val="00A73042"/>
    <w:rsid w:val="00A7382C"/>
    <w:rsid w:val="00A738A6"/>
    <w:rsid w:val="00A74BDC"/>
    <w:rsid w:val="00A74C53"/>
    <w:rsid w:val="00A74EBA"/>
    <w:rsid w:val="00A74F8A"/>
    <w:rsid w:val="00A75000"/>
    <w:rsid w:val="00A750BA"/>
    <w:rsid w:val="00A768B5"/>
    <w:rsid w:val="00A769DE"/>
    <w:rsid w:val="00A76A0B"/>
    <w:rsid w:val="00A774F9"/>
    <w:rsid w:val="00A7774C"/>
    <w:rsid w:val="00A77B1B"/>
    <w:rsid w:val="00A77BE1"/>
    <w:rsid w:val="00A8025E"/>
    <w:rsid w:val="00A80701"/>
    <w:rsid w:val="00A81F18"/>
    <w:rsid w:val="00A8240F"/>
    <w:rsid w:val="00A830EA"/>
    <w:rsid w:val="00A83B05"/>
    <w:rsid w:val="00A848FA"/>
    <w:rsid w:val="00A85244"/>
    <w:rsid w:val="00A854EF"/>
    <w:rsid w:val="00A860F6"/>
    <w:rsid w:val="00A86A82"/>
    <w:rsid w:val="00A86EE0"/>
    <w:rsid w:val="00A8748B"/>
    <w:rsid w:val="00A90025"/>
    <w:rsid w:val="00A90C07"/>
    <w:rsid w:val="00A91294"/>
    <w:rsid w:val="00A917E8"/>
    <w:rsid w:val="00A9188B"/>
    <w:rsid w:val="00A91BF8"/>
    <w:rsid w:val="00A91C13"/>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333"/>
    <w:rsid w:val="00AA0AFC"/>
    <w:rsid w:val="00AA1324"/>
    <w:rsid w:val="00AA1440"/>
    <w:rsid w:val="00AA18CB"/>
    <w:rsid w:val="00AA1AAF"/>
    <w:rsid w:val="00AA1ACE"/>
    <w:rsid w:val="00AA3051"/>
    <w:rsid w:val="00AA33A6"/>
    <w:rsid w:val="00AA3683"/>
    <w:rsid w:val="00AA447E"/>
    <w:rsid w:val="00AA48EE"/>
    <w:rsid w:val="00AA5411"/>
    <w:rsid w:val="00AA5470"/>
    <w:rsid w:val="00AA57A4"/>
    <w:rsid w:val="00AA5A9B"/>
    <w:rsid w:val="00AA5E1B"/>
    <w:rsid w:val="00AA66C7"/>
    <w:rsid w:val="00AA7104"/>
    <w:rsid w:val="00AA721E"/>
    <w:rsid w:val="00AA7819"/>
    <w:rsid w:val="00AA7FA4"/>
    <w:rsid w:val="00AB0E52"/>
    <w:rsid w:val="00AB179E"/>
    <w:rsid w:val="00AB1A65"/>
    <w:rsid w:val="00AB2574"/>
    <w:rsid w:val="00AB2697"/>
    <w:rsid w:val="00AB275F"/>
    <w:rsid w:val="00AB2CEF"/>
    <w:rsid w:val="00AB34BC"/>
    <w:rsid w:val="00AB4757"/>
    <w:rsid w:val="00AB4759"/>
    <w:rsid w:val="00AB4A8C"/>
    <w:rsid w:val="00AB5390"/>
    <w:rsid w:val="00AB57F0"/>
    <w:rsid w:val="00AB5E9A"/>
    <w:rsid w:val="00AB6E0C"/>
    <w:rsid w:val="00AB6FE9"/>
    <w:rsid w:val="00AB7DB8"/>
    <w:rsid w:val="00AB7F17"/>
    <w:rsid w:val="00AC01C1"/>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B39"/>
    <w:rsid w:val="00AC7DED"/>
    <w:rsid w:val="00AD0786"/>
    <w:rsid w:val="00AD121D"/>
    <w:rsid w:val="00AD12C8"/>
    <w:rsid w:val="00AD1FE1"/>
    <w:rsid w:val="00AD27A7"/>
    <w:rsid w:val="00AD2B0E"/>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624"/>
    <w:rsid w:val="00AF1890"/>
    <w:rsid w:val="00AF2051"/>
    <w:rsid w:val="00AF2095"/>
    <w:rsid w:val="00AF3073"/>
    <w:rsid w:val="00AF3233"/>
    <w:rsid w:val="00AF37C0"/>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54E"/>
    <w:rsid w:val="00B026C5"/>
    <w:rsid w:val="00B02D45"/>
    <w:rsid w:val="00B037B6"/>
    <w:rsid w:val="00B037F9"/>
    <w:rsid w:val="00B03816"/>
    <w:rsid w:val="00B04B60"/>
    <w:rsid w:val="00B059DE"/>
    <w:rsid w:val="00B06079"/>
    <w:rsid w:val="00B066AE"/>
    <w:rsid w:val="00B078B4"/>
    <w:rsid w:val="00B109C2"/>
    <w:rsid w:val="00B10BA1"/>
    <w:rsid w:val="00B1240F"/>
    <w:rsid w:val="00B1244A"/>
    <w:rsid w:val="00B12790"/>
    <w:rsid w:val="00B12B1E"/>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49B"/>
    <w:rsid w:val="00B229D4"/>
    <w:rsid w:val="00B23A83"/>
    <w:rsid w:val="00B24246"/>
    <w:rsid w:val="00B24E29"/>
    <w:rsid w:val="00B25023"/>
    <w:rsid w:val="00B25560"/>
    <w:rsid w:val="00B255E6"/>
    <w:rsid w:val="00B25CA4"/>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4359"/>
    <w:rsid w:val="00B346BF"/>
    <w:rsid w:val="00B3470B"/>
    <w:rsid w:val="00B3505E"/>
    <w:rsid w:val="00B36FD9"/>
    <w:rsid w:val="00B3749F"/>
    <w:rsid w:val="00B375FC"/>
    <w:rsid w:val="00B4038D"/>
    <w:rsid w:val="00B40FC2"/>
    <w:rsid w:val="00B41222"/>
    <w:rsid w:val="00B41444"/>
    <w:rsid w:val="00B415CA"/>
    <w:rsid w:val="00B41DAE"/>
    <w:rsid w:val="00B4235B"/>
    <w:rsid w:val="00B42793"/>
    <w:rsid w:val="00B42877"/>
    <w:rsid w:val="00B44A37"/>
    <w:rsid w:val="00B45355"/>
    <w:rsid w:val="00B46640"/>
    <w:rsid w:val="00B46916"/>
    <w:rsid w:val="00B4726C"/>
    <w:rsid w:val="00B47610"/>
    <w:rsid w:val="00B50D62"/>
    <w:rsid w:val="00B51741"/>
    <w:rsid w:val="00B52047"/>
    <w:rsid w:val="00B5213A"/>
    <w:rsid w:val="00B52645"/>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F55"/>
    <w:rsid w:val="00B60272"/>
    <w:rsid w:val="00B606CF"/>
    <w:rsid w:val="00B60C2A"/>
    <w:rsid w:val="00B610E4"/>
    <w:rsid w:val="00B62D28"/>
    <w:rsid w:val="00B63337"/>
    <w:rsid w:val="00B635EE"/>
    <w:rsid w:val="00B63B40"/>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33BE"/>
    <w:rsid w:val="00B83AD7"/>
    <w:rsid w:val="00B84437"/>
    <w:rsid w:val="00B84B49"/>
    <w:rsid w:val="00B870D1"/>
    <w:rsid w:val="00B87519"/>
    <w:rsid w:val="00B87BA3"/>
    <w:rsid w:val="00B91105"/>
    <w:rsid w:val="00B91FCB"/>
    <w:rsid w:val="00B924F6"/>
    <w:rsid w:val="00B92668"/>
    <w:rsid w:val="00B92D60"/>
    <w:rsid w:val="00B93008"/>
    <w:rsid w:val="00B93AA0"/>
    <w:rsid w:val="00B94E0E"/>
    <w:rsid w:val="00B94E9E"/>
    <w:rsid w:val="00B95E6A"/>
    <w:rsid w:val="00B95EF4"/>
    <w:rsid w:val="00B965BB"/>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E0F"/>
    <w:rsid w:val="00BA4F15"/>
    <w:rsid w:val="00BA53A0"/>
    <w:rsid w:val="00BA589D"/>
    <w:rsid w:val="00BA67E3"/>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574"/>
    <w:rsid w:val="00BC0A46"/>
    <w:rsid w:val="00BC0DF0"/>
    <w:rsid w:val="00BC2050"/>
    <w:rsid w:val="00BC27A2"/>
    <w:rsid w:val="00BC2E00"/>
    <w:rsid w:val="00BC358C"/>
    <w:rsid w:val="00BC3858"/>
    <w:rsid w:val="00BC3F8C"/>
    <w:rsid w:val="00BC45A6"/>
    <w:rsid w:val="00BC517E"/>
    <w:rsid w:val="00BC5599"/>
    <w:rsid w:val="00BC5990"/>
    <w:rsid w:val="00BC59EB"/>
    <w:rsid w:val="00BC66AF"/>
    <w:rsid w:val="00BC6A39"/>
    <w:rsid w:val="00BC6B9E"/>
    <w:rsid w:val="00BC6FEE"/>
    <w:rsid w:val="00BC76E8"/>
    <w:rsid w:val="00BC7AB7"/>
    <w:rsid w:val="00BD0858"/>
    <w:rsid w:val="00BD088E"/>
    <w:rsid w:val="00BD1281"/>
    <w:rsid w:val="00BD1EF4"/>
    <w:rsid w:val="00BD333C"/>
    <w:rsid w:val="00BD337C"/>
    <w:rsid w:val="00BD360C"/>
    <w:rsid w:val="00BD3AE1"/>
    <w:rsid w:val="00BD3EC0"/>
    <w:rsid w:val="00BD420A"/>
    <w:rsid w:val="00BD423F"/>
    <w:rsid w:val="00BD4A29"/>
    <w:rsid w:val="00BD4C57"/>
    <w:rsid w:val="00BD4FAC"/>
    <w:rsid w:val="00BD51DE"/>
    <w:rsid w:val="00BD5F84"/>
    <w:rsid w:val="00BD7B51"/>
    <w:rsid w:val="00BE02B4"/>
    <w:rsid w:val="00BE04FE"/>
    <w:rsid w:val="00BE05B6"/>
    <w:rsid w:val="00BE1000"/>
    <w:rsid w:val="00BE12DF"/>
    <w:rsid w:val="00BE1F1E"/>
    <w:rsid w:val="00BE2081"/>
    <w:rsid w:val="00BE2220"/>
    <w:rsid w:val="00BE2ABE"/>
    <w:rsid w:val="00BE2C45"/>
    <w:rsid w:val="00BE3594"/>
    <w:rsid w:val="00BE372B"/>
    <w:rsid w:val="00BE3F4B"/>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39A"/>
    <w:rsid w:val="00C0196A"/>
    <w:rsid w:val="00C024FC"/>
    <w:rsid w:val="00C02556"/>
    <w:rsid w:val="00C04657"/>
    <w:rsid w:val="00C04D33"/>
    <w:rsid w:val="00C054FB"/>
    <w:rsid w:val="00C05A60"/>
    <w:rsid w:val="00C06AE7"/>
    <w:rsid w:val="00C0702E"/>
    <w:rsid w:val="00C071A7"/>
    <w:rsid w:val="00C07667"/>
    <w:rsid w:val="00C07B50"/>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75B"/>
    <w:rsid w:val="00C16C4F"/>
    <w:rsid w:val="00C16CA0"/>
    <w:rsid w:val="00C17CE1"/>
    <w:rsid w:val="00C20531"/>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73C"/>
    <w:rsid w:val="00C34991"/>
    <w:rsid w:val="00C34C35"/>
    <w:rsid w:val="00C34DC6"/>
    <w:rsid w:val="00C35C47"/>
    <w:rsid w:val="00C36170"/>
    <w:rsid w:val="00C37293"/>
    <w:rsid w:val="00C37368"/>
    <w:rsid w:val="00C40A08"/>
    <w:rsid w:val="00C41E21"/>
    <w:rsid w:val="00C41E8B"/>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4F3A"/>
    <w:rsid w:val="00C452CD"/>
    <w:rsid w:val="00C456D7"/>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6671"/>
    <w:rsid w:val="00C6716C"/>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586"/>
    <w:rsid w:val="00C861AC"/>
    <w:rsid w:val="00C86255"/>
    <w:rsid w:val="00C869A7"/>
    <w:rsid w:val="00C8712C"/>
    <w:rsid w:val="00C87310"/>
    <w:rsid w:val="00C87AC4"/>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54"/>
    <w:rsid w:val="00CA31DA"/>
    <w:rsid w:val="00CA37F1"/>
    <w:rsid w:val="00CA3A30"/>
    <w:rsid w:val="00CA483A"/>
    <w:rsid w:val="00CA5583"/>
    <w:rsid w:val="00CA5E6F"/>
    <w:rsid w:val="00CA66A8"/>
    <w:rsid w:val="00CA79B4"/>
    <w:rsid w:val="00CA7E2D"/>
    <w:rsid w:val="00CB02D2"/>
    <w:rsid w:val="00CB02FC"/>
    <w:rsid w:val="00CB04B7"/>
    <w:rsid w:val="00CB09DA"/>
    <w:rsid w:val="00CB0ADE"/>
    <w:rsid w:val="00CB0E54"/>
    <w:rsid w:val="00CB0FDB"/>
    <w:rsid w:val="00CB1068"/>
    <w:rsid w:val="00CB12DE"/>
    <w:rsid w:val="00CB1319"/>
    <w:rsid w:val="00CB1797"/>
    <w:rsid w:val="00CB1CB8"/>
    <w:rsid w:val="00CB2326"/>
    <w:rsid w:val="00CB25D2"/>
    <w:rsid w:val="00CB478D"/>
    <w:rsid w:val="00CB4A8A"/>
    <w:rsid w:val="00CB5799"/>
    <w:rsid w:val="00CB5A1F"/>
    <w:rsid w:val="00CB66F5"/>
    <w:rsid w:val="00CB690B"/>
    <w:rsid w:val="00CB6F5D"/>
    <w:rsid w:val="00CB70F6"/>
    <w:rsid w:val="00CB74BD"/>
    <w:rsid w:val="00CC06DF"/>
    <w:rsid w:val="00CC0E6B"/>
    <w:rsid w:val="00CC23E5"/>
    <w:rsid w:val="00CC279F"/>
    <w:rsid w:val="00CC2B37"/>
    <w:rsid w:val="00CC32BE"/>
    <w:rsid w:val="00CC3315"/>
    <w:rsid w:val="00CC3D74"/>
    <w:rsid w:val="00CC3E3B"/>
    <w:rsid w:val="00CC3F48"/>
    <w:rsid w:val="00CC3F68"/>
    <w:rsid w:val="00CC4912"/>
    <w:rsid w:val="00CC4B64"/>
    <w:rsid w:val="00CC4D38"/>
    <w:rsid w:val="00CC4DE1"/>
    <w:rsid w:val="00CC51E4"/>
    <w:rsid w:val="00CC5800"/>
    <w:rsid w:val="00CC60C7"/>
    <w:rsid w:val="00CC6167"/>
    <w:rsid w:val="00CC64E6"/>
    <w:rsid w:val="00CC6E7A"/>
    <w:rsid w:val="00CD003E"/>
    <w:rsid w:val="00CD005E"/>
    <w:rsid w:val="00CD16FA"/>
    <w:rsid w:val="00CD177D"/>
    <w:rsid w:val="00CD259E"/>
    <w:rsid w:val="00CD25D4"/>
    <w:rsid w:val="00CD2AD8"/>
    <w:rsid w:val="00CD35E6"/>
    <w:rsid w:val="00CD3B7E"/>
    <w:rsid w:val="00CD4710"/>
    <w:rsid w:val="00CD4B26"/>
    <w:rsid w:val="00CD54A2"/>
    <w:rsid w:val="00CD629A"/>
    <w:rsid w:val="00CD6980"/>
    <w:rsid w:val="00CD7315"/>
    <w:rsid w:val="00CD7479"/>
    <w:rsid w:val="00CE10EF"/>
    <w:rsid w:val="00CE1126"/>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CFA"/>
    <w:rsid w:val="00CF1099"/>
    <w:rsid w:val="00CF1211"/>
    <w:rsid w:val="00CF15D6"/>
    <w:rsid w:val="00CF1706"/>
    <w:rsid w:val="00CF1FC3"/>
    <w:rsid w:val="00CF211C"/>
    <w:rsid w:val="00CF430B"/>
    <w:rsid w:val="00CF474F"/>
    <w:rsid w:val="00CF4BA8"/>
    <w:rsid w:val="00CF5440"/>
    <w:rsid w:val="00CF5D28"/>
    <w:rsid w:val="00CF5D72"/>
    <w:rsid w:val="00CF613D"/>
    <w:rsid w:val="00CF6AEE"/>
    <w:rsid w:val="00CF6C02"/>
    <w:rsid w:val="00CF75E7"/>
    <w:rsid w:val="00CF78AC"/>
    <w:rsid w:val="00D00DF5"/>
    <w:rsid w:val="00D013E9"/>
    <w:rsid w:val="00D01722"/>
    <w:rsid w:val="00D01830"/>
    <w:rsid w:val="00D019DB"/>
    <w:rsid w:val="00D02C40"/>
    <w:rsid w:val="00D03413"/>
    <w:rsid w:val="00D03718"/>
    <w:rsid w:val="00D039B9"/>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678E"/>
    <w:rsid w:val="00D173F5"/>
    <w:rsid w:val="00D17426"/>
    <w:rsid w:val="00D17431"/>
    <w:rsid w:val="00D17F4E"/>
    <w:rsid w:val="00D17FAC"/>
    <w:rsid w:val="00D2024A"/>
    <w:rsid w:val="00D20962"/>
    <w:rsid w:val="00D20B76"/>
    <w:rsid w:val="00D20C5A"/>
    <w:rsid w:val="00D216A7"/>
    <w:rsid w:val="00D21944"/>
    <w:rsid w:val="00D21F99"/>
    <w:rsid w:val="00D22393"/>
    <w:rsid w:val="00D2251A"/>
    <w:rsid w:val="00D22A32"/>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27891"/>
    <w:rsid w:val="00D30216"/>
    <w:rsid w:val="00D30C19"/>
    <w:rsid w:val="00D310A6"/>
    <w:rsid w:val="00D31BF6"/>
    <w:rsid w:val="00D31DEB"/>
    <w:rsid w:val="00D32059"/>
    <w:rsid w:val="00D32284"/>
    <w:rsid w:val="00D3296D"/>
    <w:rsid w:val="00D33877"/>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567"/>
    <w:rsid w:val="00D458B4"/>
    <w:rsid w:val="00D45CF5"/>
    <w:rsid w:val="00D46997"/>
    <w:rsid w:val="00D46C97"/>
    <w:rsid w:val="00D4746F"/>
    <w:rsid w:val="00D4758C"/>
    <w:rsid w:val="00D4778C"/>
    <w:rsid w:val="00D47A8D"/>
    <w:rsid w:val="00D47B2A"/>
    <w:rsid w:val="00D47C16"/>
    <w:rsid w:val="00D50245"/>
    <w:rsid w:val="00D50248"/>
    <w:rsid w:val="00D505A6"/>
    <w:rsid w:val="00D50C12"/>
    <w:rsid w:val="00D51749"/>
    <w:rsid w:val="00D5181B"/>
    <w:rsid w:val="00D5183D"/>
    <w:rsid w:val="00D51BC1"/>
    <w:rsid w:val="00D53232"/>
    <w:rsid w:val="00D539E6"/>
    <w:rsid w:val="00D556A1"/>
    <w:rsid w:val="00D5577E"/>
    <w:rsid w:val="00D56CE0"/>
    <w:rsid w:val="00D574B4"/>
    <w:rsid w:val="00D574BF"/>
    <w:rsid w:val="00D5790C"/>
    <w:rsid w:val="00D60BA3"/>
    <w:rsid w:val="00D60C0C"/>
    <w:rsid w:val="00D6196C"/>
    <w:rsid w:val="00D61E61"/>
    <w:rsid w:val="00D62439"/>
    <w:rsid w:val="00D62D0A"/>
    <w:rsid w:val="00D63597"/>
    <w:rsid w:val="00D63ABC"/>
    <w:rsid w:val="00D6443E"/>
    <w:rsid w:val="00D64472"/>
    <w:rsid w:val="00D64935"/>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CE4"/>
    <w:rsid w:val="00D81E6F"/>
    <w:rsid w:val="00D833EE"/>
    <w:rsid w:val="00D8375C"/>
    <w:rsid w:val="00D83EB8"/>
    <w:rsid w:val="00D842C2"/>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700"/>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39D"/>
    <w:rsid w:val="00DA6405"/>
    <w:rsid w:val="00DA6FA3"/>
    <w:rsid w:val="00DA75E5"/>
    <w:rsid w:val="00DB0363"/>
    <w:rsid w:val="00DB0473"/>
    <w:rsid w:val="00DB08C6"/>
    <w:rsid w:val="00DB0CC8"/>
    <w:rsid w:val="00DB1971"/>
    <w:rsid w:val="00DB1D3F"/>
    <w:rsid w:val="00DB1D8E"/>
    <w:rsid w:val="00DB2C1E"/>
    <w:rsid w:val="00DB328E"/>
    <w:rsid w:val="00DB335A"/>
    <w:rsid w:val="00DB351A"/>
    <w:rsid w:val="00DB3A47"/>
    <w:rsid w:val="00DB3D92"/>
    <w:rsid w:val="00DB449C"/>
    <w:rsid w:val="00DB47E8"/>
    <w:rsid w:val="00DB4B88"/>
    <w:rsid w:val="00DB5ECC"/>
    <w:rsid w:val="00DB5ED4"/>
    <w:rsid w:val="00DB6165"/>
    <w:rsid w:val="00DB6D3F"/>
    <w:rsid w:val="00DB7730"/>
    <w:rsid w:val="00DC0A03"/>
    <w:rsid w:val="00DC0CBA"/>
    <w:rsid w:val="00DC0F03"/>
    <w:rsid w:val="00DC20CE"/>
    <w:rsid w:val="00DC20E3"/>
    <w:rsid w:val="00DC222C"/>
    <w:rsid w:val="00DC248C"/>
    <w:rsid w:val="00DC2F8C"/>
    <w:rsid w:val="00DC338E"/>
    <w:rsid w:val="00DC38E0"/>
    <w:rsid w:val="00DC49AC"/>
    <w:rsid w:val="00DC4E5E"/>
    <w:rsid w:val="00DC5EC2"/>
    <w:rsid w:val="00DC61F5"/>
    <w:rsid w:val="00DC63D3"/>
    <w:rsid w:val="00DC63D7"/>
    <w:rsid w:val="00DC70C2"/>
    <w:rsid w:val="00DC7C91"/>
    <w:rsid w:val="00DC7D84"/>
    <w:rsid w:val="00DC7FE6"/>
    <w:rsid w:val="00DD02EC"/>
    <w:rsid w:val="00DD07D2"/>
    <w:rsid w:val="00DD0F34"/>
    <w:rsid w:val="00DD14BB"/>
    <w:rsid w:val="00DD1984"/>
    <w:rsid w:val="00DD1B7B"/>
    <w:rsid w:val="00DD208B"/>
    <w:rsid w:val="00DD229E"/>
    <w:rsid w:val="00DD2FF4"/>
    <w:rsid w:val="00DD30EC"/>
    <w:rsid w:val="00DD3C41"/>
    <w:rsid w:val="00DD4D8F"/>
    <w:rsid w:val="00DD55E0"/>
    <w:rsid w:val="00DD5FAA"/>
    <w:rsid w:val="00DD603D"/>
    <w:rsid w:val="00DE0D05"/>
    <w:rsid w:val="00DE0E24"/>
    <w:rsid w:val="00DE16D4"/>
    <w:rsid w:val="00DE1B2A"/>
    <w:rsid w:val="00DE1FBC"/>
    <w:rsid w:val="00DE1FC0"/>
    <w:rsid w:val="00DE22B5"/>
    <w:rsid w:val="00DE25C6"/>
    <w:rsid w:val="00DE26D0"/>
    <w:rsid w:val="00DE3669"/>
    <w:rsid w:val="00DE3C97"/>
    <w:rsid w:val="00DE3DBB"/>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6D94"/>
    <w:rsid w:val="00DF70CE"/>
    <w:rsid w:val="00DF747F"/>
    <w:rsid w:val="00DF777C"/>
    <w:rsid w:val="00DF77C6"/>
    <w:rsid w:val="00DF7ED2"/>
    <w:rsid w:val="00E00A22"/>
    <w:rsid w:val="00E00AC0"/>
    <w:rsid w:val="00E03203"/>
    <w:rsid w:val="00E03EBD"/>
    <w:rsid w:val="00E043C0"/>
    <w:rsid w:val="00E04778"/>
    <w:rsid w:val="00E04F40"/>
    <w:rsid w:val="00E05017"/>
    <w:rsid w:val="00E053E3"/>
    <w:rsid w:val="00E0576C"/>
    <w:rsid w:val="00E05CAD"/>
    <w:rsid w:val="00E06B86"/>
    <w:rsid w:val="00E07351"/>
    <w:rsid w:val="00E074BE"/>
    <w:rsid w:val="00E100B8"/>
    <w:rsid w:val="00E11788"/>
    <w:rsid w:val="00E11882"/>
    <w:rsid w:val="00E11A19"/>
    <w:rsid w:val="00E1359E"/>
    <w:rsid w:val="00E13A07"/>
    <w:rsid w:val="00E13CA8"/>
    <w:rsid w:val="00E13CB7"/>
    <w:rsid w:val="00E142A4"/>
    <w:rsid w:val="00E154BD"/>
    <w:rsid w:val="00E155C9"/>
    <w:rsid w:val="00E1576F"/>
    <w:rsid w:val="00E15A59"/>
    <w:rsid w:val="00E16258"/>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F13"/>
    <w:rsid w:val="00E320F3"/>
    <w:rsid w:val="00E32470"/>
    <w:rsid w:val="00E32958"/>
    <w:rsid w:val="00E329BB"/>
    <w:rsid w:val="00E3388B"/>
    <w:rsid w:val="00E34118"/>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3B5F"/>
    <w:rsid w:val="00E43F8E"/>
    <w:rsid w:val="00E44997"/>
    <w:rsid w:val="00E44D5C"/>
    <w:rsid w:val="00E45FB6"/>
    <w:rsid w:val="00E46037"/>
    <w:rsid w:val="00E464DA"/>
    <w:rsid w:val="00E4675F"/>
    <w:rsid w:val="00E469DD"/>
    <w:rsid w:val="00E47226"/>
    <w:rsid w:val="00E476C5"/>
    <w:rsid w:val="00E479C9"/>
    <w:rsid w:val="00E500BA"/>
    <w:rsid w:val="00E5039C"/>
    <w:rsid w:val="00E506A0"/>
    <w:rsid w:val="00E508D4"/>
    <w:rsid w:val="00E51205"/>
    <w:rsid w:val="00E51AFB"/>
    <w:rsid w:val="00E51CE8"/>
    <w:rsid w:val="00E51E73"/>
    <w:rsid w:val="00E51F46"/>
    <w:rsid w:val="00E52365"/>
    <w:rsid w:val="00E524D6"/>
    <w:rsid w:val="00E52EC8"/>
    <w:rsid w:val="00E54D5E"/>
    <w:rsid w:val="00E5663D"/>
    <w:rsid w:val="00E57508"/>
    <w:rsid w:val="00E57BAF"/>
    <w:rsid w:val="00E60F7B"/>
    <w:rsid w:val="00E6141A"/>
    <w:rsid w:val="00E61B79"/>
    <w:rsid w:val="00E62033"/>
    <w:rsid w:val="00E62369"/>
    <w:rsid w:val="00E626CB"/>
    <w:rsid w:val="00E630D7"/>
    <w:rsid w:val="00E63979"/>
    <w:rsid w:val="00E63D2A"/>
    <w:rsid w:val="00E640CC"/>
    <w:rsid w:val="00E65B52"/>
    <w:rsid w:val="00E66098"/>
    <w:rsid w:val="00E665CD"/>
    <w:rsid w:val="00E6686F"/>
    <w:rsid w:val="00E674C4"/>
    <w:rsid w:val="00E675D3"/>
    <w:rsid w:val="00E67B54"/>
    <w:rsid w:val="00E67C1A"/>
    <w:rsid w:val="00E70045"/>
    <w:rsid w:val="00E71E56"/>
    <w:rsid w:val="00E723A7"/>
    <w:rsid w:val="00E729DE"/>
    <w:rsid w:val="00E7338E"/>
    <w:rsid w:val="00E73EAD"/>
    <w:rsid w:val="00E74212"/>
    <w:rsid w:val="00E744E6"/>
    <w:rsid w:val="00E748A8"/>
    <w:rsid w:val="00E74DCB"/>
    <w:rsid w:val="00E74FAF"/>
    <w:rsid w:val="00E74FD1"/>
    <w:rsid w:val="00E7679C"/>
    <w:rsid w:val="00E769F7"/>
    <w:rsid w:val="00E76A94"/>
    <w:rsid w:val="00E76CD5"/>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10F"/>
    <w:rsid w:val="00E954EC"/>
    <w:rsid w:val="00E95610"/>
    <w:rsid w:val="00E9575B"/>
    <w:rsid w:val="00E95E3B"/>
    <w:rsid w:val="00E96745"/>
    <w:rsid w:val="00E9707C"/>
    <w:rsid w:val="00E97137"/>
    <w:rsid w:val="00EA017E"/>
    <w:rsid w:val="00EA073A"/>
    <w:rsid w:val="00EA0FCF"/>
    <w:rsid w:val="00EA1D43"/>
    <w:rsid w:val="00EA25CF"/>
    <w:rsid w:val="00EA28F9"/>
    <w:rsid w:val="00EA290D"/>
    <w:rsid w:val="00EA2A6C"/>
    <w:rsid w:val="00EA2BFD"/>
    <w:rsid w:val="00EA2DBF"/>
    <w:rsid w:val="00EA3AFD"/>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A9"/>
    <w:rsid w:val="00EB241D"/>
    <w:rsid w:val="00EB2D87"/>
    <w:rsid w:val="00EB2E14"/>
    <w:rsid w:val="00EB3511"/>
    <w:rsid w:val="00EB3773"/>
    <w:rsid w:val="00EB3D4B"/>
    <w:rsid w:val="00EB3F39"/>
    <w:rsid w:val="00EB584A"/>
    <w:rsid w:val="00EB5AE2"/>
    <w:rsid w:val="00EB6399"/>
    <w:rsid w:val="00EB728A"/>
    <w:rsid w:val="00EB763C"/>
    <w:rsid w:val="00EB7AED"/>
    <w:rsid w:val="00EC1BA5"/>
    <w:rsid w:val="00EC1E88"/>
    <w:rsid w:val="00EC1E9A"/>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0C16"/>
    <w:rsid w:val="00EE1325"/>
    <w:rsid w:val="00EE1329"/>
    <w:rsid w:val="00EE1E49"/>
    <w:rsid w:val="00EE1E51"/>
    <w:rsid w:val="00EE2643"/>
    <w:rsid w:val="00EE2891"/>
    <w:rsid w:val="00EE2B0F"/>
    <w:rsid w:val="00EE3229"/>
    <w:rsid w:val="00EE413F"/>
    <w:rsid w:val="00EE4732"/>
    <w:rsid w:val="00EE4EB1"/>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B90"/>
    <w:rsid w:val="00EF2E2F"/>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9DD"/>
    <w:rsid w:val="00F01C15"/>
    <w:rsid w:val="00F02218"/>
    <w:rsid w:val="00F0264D"/>
    <w:rsid w:val="00F02857"/>
    <w:rsid w:val="00F03232"/>
    <w:rsid w:val="00F036D7"/>
    <w:rsid w:val="00F04563"/>
    <w:rsid w:val="00F0670C"/>
    <w:rsid w:val="00F06859"/>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3763"/>
    <w:rsid w:val="00F14A1A"/>
    <w:rsid w:val="00F15435"/>
    <w:rsid w:val="00F15774"/>
    <w:rsid w:val="00F162CB"/>
    <w:rsid w:val="00F17208"/>
    <w:rsid w:val="00F174DB"/>
    <w:rsid w:val="00F17E89"/>
    <w:rsid w:val="00F2078F"/>
    <w:rsid w:val="00F21801"/>
    <w:rsid w:val="00F22353"/>
    <w:rsid w:val="00F23E98"/>
    <w:rsid w:val="00F24293"/>
    <w:rsid w:val="00F24AEE"/>
    <w:rsid w:val="00F24E08"/>
    <w:rsid w:val="00F26319"/>
    <w:rsid w:val="00F2637A"/>
    <w:rsid w:val="00F274EE"/>
    <w:rsid w:val="00F27AF8"/>
    <w:rsid w:val="00F27B45"/>
    <w:rsid w:val="00F27DFB"/>
    <w:rsid w:val="00F306D6"/>
    <w:rsid w:val="00F3146E"/>
    <w:rsid w:val="00F3182D"/>
    <w:rsid w:val="00F320B0"/>
    <w:rsid w:val="00F326B2"/>
    <w:rsid w:val="00F357EE"/>
    <w:rsid w:val="00F360E9"/>
    <w:rsid w:val="00F4040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0B33"/>
    <w:rsid w:val="00F513AA"/>
    <w:rsid w:val="00F514B0"/>
    <w:rsid w:val="00F520BC"/>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E87"/>
    <w:rsid w:val="00F62FA4"/>
    <w:rsid w:val="00F63549"/>
    <w:rsid w:val="00F647DE"/>
    <w:rsid w:val="00F6586F"/>
    <w:rsid w:val="00F66123"/>
    <w:rsid w:val="00F665FA"/>
    <w:rsid w:val="00F66A34"/>
    <w:rsid w:val="00F7026B"/>
    <w:rsid w:val="00F7039A"/>
    <w:rsid w:val="00F70B4D"/>
    <w:rsid w:val="00F719CA"/>
    <w:rsid w:val="00F72BAF"/>
    <w:rsid w:val="00F73782"/>
    <w:rsid w:val="00F74453"/>
    <w:rsid w:val="00F744C7"/>
    <w:rsid w:val="00F747CF"/>
    <w:rsid w:val="00F74EB5"/>
    <w:rsid w:val="00F75338"/>
    <w:rsid w:val="00F76353"/>
    <w:rsid w:val="00F76C9A"/>
    <w:rsid w:val="00F77622"/>
    <w:rsid w:val="00F803D4"/>
    <w:rsid w:val="00F80605"/>
    <w:rsid w:val="00F80A0F"/>
    <w:rsid w:val="00F8305A"/>
    <w:rsid w:val="00F840AA"/>
    <w:rsid w:val="00F8449B"/>
    <w:rsid w:val="00F84A73"/>
    <w:rsid w:val="00F85968"/>
    <w:rsid w:val="00F859BE"/>
    <w:rsid w:val="00F85F83"/>
    <w:rsid w:val="00F85F8C"/>
    <w:rsid w:val="00F8626B"/>
    <w:rsid w:val="00F863E2"/>
    <w:rsid w:val="00F86434"/>
    <w:rsid w:val="00F86745"/>
    <w:rsid w:val="00F8680B"/>
    <w:rsid w:val="00F86844"/>
    <w:rsid w:val="00F86A4B"/>
    <w:rsid w:val="00F8730F"/>
    <w:rsid w:val="00F8735D"/>
    <w:rsid w:val="00F87C0E"/>
    <w:rsid w:val="00F9063A"/>
    <w:rsid w:val="00F908C2"/>
    <w:rsid w:val="00F90A62"/>
    <w:rsid w:val="00F91321"/>
    <w:rsid w:val="00F92443"/>
    <w:rsid w:val="00F9339F"/>
    <w:rsid w:val="00F94182"/>
    <w:rsid w:val="00F9443F"/>
    <w:rsid w:val="00F94559"/>
    <w:rsid w:val="00F94CBE"/>
    <w:rsid w:val="00F95061"/>
    <w:rsid w:val="00F95166"/>
    <w:rsid w:val="00F952B4"/>
    <w:rsid w:val="00F95F6B"/>
    <w:rsid w:val="00F9606B"/>
    <w:rsid w:val="00F96550"/>
    <w:rsid w:val="00F9657A"/>
    <w:rsid w:val="00F96E5C"/>
    <w:rsid w:val="00F97679"/>
    <w:rsid w:val="00FA0072"/>
    <w:rsid w:val="00FA042F"/>
    <w:rsid w:val="00FA1E4D"/>
    <w:rsid w:val="00FA3278"/>
    <w:rsid w:val="00FA3428"/>
    <w:rsid w:val="00FA381E"/>
    <w:rsid w:val="00FA3AEF"/>
    <w:rsid w:val="00FA3F46"/>
    <w:rsid w:val="00FA3FAB"/>
    <w:rsid w:val="00FA432C"/>
    <w:rsid w:val="00FA4E8F"/>
    <w:rsid w:val="00FA5005"/>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C7FF0"/>
    <w:rsid w:val="00FD0411"/>
    <w:rsid w:val="00FD053E"/>
    <w:rsid w:val="00FD06C1"/>
    <w:rsid w:val="00FD077B"/>
    <w:rsid w:val="00FD0A05"/>
    <w:rsid w:val="00FD175D"/>
    <w:rsid w:val="00FD1880"/>
    <w:rsid w:val="00FD21CB"/>
    <w:rsid w:val="00FD27CB"/>
    <w:rsid w:val="00FD3CFA"/>
    <w:rsid w:val="00FD3FE1"/>
    <w:rsid w:val="00FD4D36"/>
    <w:rsid w:val="00FD69BA"/>
    <w:rsid w:val="00FD6C26"/>
    <w:rsid w:val="00FD7526"/>
    <w:rsid w:val="00FD7B34"/>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FC0CF28E-F21F-42AC-AB63-0A690C6CE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53A3"/>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D53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53A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rsid w:val="00F15435"/>
    <w:rPr>
      <w:rFonts w:asciiTheme="minorHAnsi" w:eastAsiaTheme="minorEastAsia" w:hAnsiTheme="minorHAnsi" w:cstheme="minorBidi"/>
      <w:sz w:val="22"/>
      <w:szCs w:val="22"/>
    </w:rPr>
  </w:style>
  <w:style w:type="paragraph" w:customStyle="1" w:styleId="RAN1bullet2">
    <w:name w:val="RAN1 bullet2"/>
    <w:basedOn w:val="Normal"/>
    <w:link w:val="RAN1bullet2Char"/>
    <w:qFormat/>
    <w:rsid w:val="00AA7104"/>
    <w:pPr>
      <w:numPr>
        <w:ilvl w:val="1"/>
        <w:numId w:val="9"/>
      </w:numPr>
      <w:tabs>
        <w:tab w:val="left" w:pos="1440"/>
      </w:tabs>
      <w:spacing w:line="240" w:lineRule="auto"/>
    </w:pPr>
    <w:rPr>
      <w:rFonts w:ascii="Times" w:eastAsia="Batang" w:hAnsi="Times" w:cs="Times New Roman"/>
      <w:szCs w:val="20"/>
    </w:rPr>
  </w:style>
  <w:style w:type="character" w:customStyle="1" w:styleId="RAN1bullet2Char">
    <w:name w:val="RAN1 bullet2 Char"/>
    <w:link w:val="RAN1bullet2"/>
    <w:rsid w:val="00AA7104"/>
    <w:rPr>
      <w:rFonts w:ascii="Times" w:eastAsia="Batang" w:hAnsi="Times"/>
      <w:lang w:eastAsia="en-US"/>
    </w:rPr>
  </w:style>
  <w:style w:type="paragraph" w:customStyle="1" w:styleId="RAN1text">
    <w:name w:val="RAN1 text"/>
    <w:basedOn w:val="BodyText"/>
    <w:link w:val="RAN1textChar"/>
    <w:qFormat/>
    <w:rsid w:val="00AA7104"/>
    <w:pPr>
      <w:spacing w:after="0" w:line="240" w:lineRule="auto"/>
      <w:jc w:val="both"/>
    </w:pPr>
    <w:rPr>
      <w:rFonts w:eastAsia="MS Mincho" w:cs="Times New Roman"/>
      <w:szCs w:val="24"/>
      <w:lang w:val="x-none" w:eastAsia="x-none"/>
    </w:rPr>
  </w:style>
  <w:style w:type="character" w:customStyle="1" w:styleId="RAN1textChar">
    <w:name w:val="RAN1 text Char"/>
    <w:link w:val="RAN1text"/>
    <w:rsid w:val="00AA7104"/>
    <w:rPr>
      <w:rFonts w:ascii="Times New Roman" w:eastAsia="MS Mincho" w:hAnsi="Times New Roman"/>
      <w:szCs w:val="24"/>
      <w:lang w:val="x-none" w:eastAsia="x-none"/>
    </w:rPr>
  </w:style>
  <w:style w:type="paragraph" w:styleId="BodyText">
    <w:name w:val="Body Text"/>
    <w:basedOn w:val="Normal"/>
    <w:link w:val="BodyTextChar"/>
    <w:rsid w:val="00AA7104"/>
    <w:pPr>
      <w:spacing w:after="120"/>
    </w:pPr>
  </w:style>
  <w:style w:type="character" w:customStyle="1" w:styleId="BodyTextChar">
    <w:name w:val="Body Text Char"/>
    <w:basedOn w:val="DefaultParagraphFont"/>
    <w:link w:val="BodyText"/>
    <w:rsid w:val="00AA7104"/>
    <w:rPr>
      <w:rFonts w:asciiTheme="minorHAnsi" w:eastAsiaTheme="minorEastAsia" w:hAnsiTheme="minorHAnsi" w:cstheme="minorBidi"/>
      <w:sz w:val="22"/>
      <w:szCs w:val="22"/>
    </w:rPr>
  </w:style>
  <w:style w:type="paragraph" w:customStyle="1" w:styleId="m1688756359928511317gmail-msonormal">
    <w:name w:val="m_1688756359928511317gmail-msonormal"/>
    <w:basedOn w:val="Normal"/>
    <w:rsid w:val="00E95610"/>
    <w:pPr>
      <w:spacing w:before="100" w:beforeAutospacing="1" w:after="100" w:afterAutospacing="1" w:line="240" w:lineRule="auto"/>
    </w:pPr>
    <w:rPr>
      <w:rFonts w:ascii="Calibri" w:hAnsi="Calibri" w:cs="Calibri"/>
    </w:rPr>
  </w:style>
  <w:style w:type="paragraph" w:customStyle="1" w:styleId="m1688756359928511317gmail-m-8159134361528303805msolistparagraph">
    <w:name w:val="m_1688756359928511317gmail-m-8159134361528303805msolistparagraph"/>
    <w:basedOn w:val="Normal"/>
    <w:rsid w:val="00E95610"/>
    <w:pPr>
      <w:spacing w:before="100" w:beforeAutospacing="1" w:after="100" w:afterAutospacing="1" w:line="240" w:lineRule="auto"/>
    </w:pPr>
    <w:rPr>
      <w:rFonts w:ascii="Calibri" w:hAnsi="Calibri" w:cs="Calibri"/>
    </w:rPr>
  </w:style>
  <w:style w:type="character" w:customStyle="1" w:styleId="TACChar">
    <w:name w:val="TAC Char"/>
    <w:link w:val="TAC"/>
    <w:qFormat/>
    <w:locked/>
    <w:rsid w:val="00022EB3"/>
    <w:rPr>
      <w:rFonts w:ascii="Arial" w:eastAsiaTheme="minorEastAsia" w:hAnsi="Arial" w:cstheme="minorBidi"/>
      <w:sz w:val="18"/>
      <w:szCs w:val="22"/>
    </w:rPr>
  </w:style>
  <w:style w:type="character" w:customStyle="1" w:styleId="THChar">
    <w:name w:val="TH Char"/>
    <w:link w:val="TH"/>
    <w:qFormat/>
    <w:locked/>
    <w:rsid w:val="00A3466A"/>
    <w:rPr>
      <w:rFonts w:ascii="Arial" w:eastAsiaTheme="minorEastAsia" w:hAnsi="Arial" w:cstheme="minorBidi"/>
      <w:b/>
      <w:sz w:val="22"/>
      <w:szCs w:val="22"/>
    </w:rPr>
  </w:style>
  <w:style w:type="character" w:customStyle="1" w:styleId="TAHCar">
    <w:name w:val="TAH Car"/>
    <w:link w:val="TAH"/>
    <w:qFormat/>
    <w:locked/>
    <w:rsid w:val="00A3466A"/>
    <w:rPr>
      <w:rFonts w:ascii="Arial" w:eastAsiaTheme="minorEastAsia" w:hAnsi="Arial" w:cstheme="minorBidi"/>
      <w:b/>
      <w:sz w:val="18"/>
      <w:szCs w:val="22"/>
    </w:rPr>
  </w:style>
  <w:style w:type="paragraph" w:customStyle="1" w:styleId="Statement">
    <w:name w:val="Statement"/>
    <w:basedOn w:val="Normal"/>
    <w:rsid w:val="00781C4F"/>
    <w:pPr>
      <w:keepNext/>
      <w:spacing w:after="0" w:line="240" w:lineRule="auto"/>
      <w:ind w:left="601" w:hanging="601"/>
    </w:pPr>
    <w:rPr>
      <w:rFonts w:ascii="Times New Roman" w:eastAsia="Batang" w:hAnsi="Times New Roman" w:cs="Times New Roman"/>
      <w:b/>
      <w:i/>
      <w:sz w:val="20"/>
      <w:szCs w:val="24"/>
      <w:lang w:eastAsia="ko-KR"/>
    </w:rPr>
  </w:style>
  <w:style w:type="paragraph" w:customStyle="1" w:styleId="Observation">
    <w:name w:val="Observation"/>
    <w:basedOn w:val="Normal"/>
    <w:qFormat/>
    <w:rsid w:val="00781C4F"/>
    <w:pPr>
      <w:numPr>
        <w:numId w:val="23"/>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rPr>
  </w:style>
  <w:style w:type="character" w:customStyle="1" w:styleId="Heading4Char">
    <w:name w:val="Heading 4 Char"/>
    <w:link w:val="Heading4"/>
    <w:rsid w:val="004C1CBE"/>
    <w:rPr>
      <w:rFonts w:ascii="Arial" w:hAnsi="Arial"/>
      <w:sz w:val="24"/>
      <w:lang w:val="en-GB" w:eastAsia="en-US"/>
    </w:rPr>
  </w:style>
  <w:style w:type="character" w:customStyle="1" w:styleId="B1Char1">
    <w:name w:val="B1 Char1"/>
    <w:qFormat/>
    <w:rsid w:val="00A70695"/>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17839781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047023">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7874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814398">
      <w:bodyDiv w:val="1"/>
      <w:marLeft w:val="0"/>
      <w:marRight w:val="0"/>
      <w:marTop w:val="0"/>
      <w:marBottom w:val="0"/>
      <w:divBdr>
        <w:top w:val="none" w:sz="0" w:space="0" w:color="auto"/>
        <w:left w:val="none" w:sz="0" w:space="0" w:color="auto"/>
        <w:bottom w:val="none" w:sz="0" w:space="0" w:color="auto"/>
        <w:right w:val="none" w:sz="0" w:space="0" w:color="auto"/>
      </w:divBdr>
      <w:divsChild>
        <w:div w:id="1243443241">
          <w:marLeft w:val="547"/>
          <w:marRight w:val="0"/>
          <w:marTop w:val="58"/>
          <w:marBottom w:val="120"/>
          <w:divBdr>
            <w:top w:val="none" w:sz="0" w:space="0" w:color="auto"/>
            <w:left w:val="none" w:sz="0" w:space="0" w:color="auto"/>
            <w:bottom w:val="none" w:sz="0" w:space="0" w:color="auto"/>
            <w:right w:val="none" w:sz="0" w:space="0" w:color="auto"/>
          </w:divBdr>
        </w:div>
        <w:div w:id="1456363968">
          <w:marLeft w:val="1166"/>
          <w:marRight w:val="0"/>
          <w:marTop w:val="58"/>
          <w:marBottom w:val="120"/>
          <w:divBdr>
            <w:top w:val="none" w:sz="0" w:space="0" w:color="auto"/>
            <w:left w:val="none" w:sz="0" w:space="0" w:color="auto"/>
            <w:bottom w:val="none" w:sz="0" w:space="0" w:color="auto"/>
            <w:right w:val="none" w:sz="0" w:space="0" w:color="auto"/>
          </w:divBdr>
        </w:div>
        <w:div w:id="182520810">
          <w:marLeft w:val="1800"/>
          <w:marRight w:val="0"/>
          <w:marTop w:val="58"/>
          <w:marBottom w:val="120"/>
          <w:divBdr>
            <w:top w:val="none" w:sz="0" w:space="0" w:color="auto"/>
            <w:left w:val="none" w:sz="0" w:space="0" w:color="auto"/>
            <w:bottom w:val="none" w:sz="0" w:space="0" w:color="auto"/>
            <w:right w:val="none" w:sz="0" w:space="0" w:color="auto"/>
          </w:divBdr>
        </w:div>
        <w:div w:id="1356152032">
          <w:marLeft w:val="1166"/>
          <w:marRight w:val="0"/>
          <w:marTop w:val="58"/>
          <w:marBottom w:val="120"/>
          <w:divBdr>
            <w:top w:val="none" w:sz="0" w:space="0" w:color="auto"/>
            <w:left w:val="none" w:sz="0" w:space="0" w:color="auto"/>
            <w:bottom w:val="none" w:sz="0" w:space="0" w:color="auto"/>
            <w:right w:val="none" w:sz="0" w:space="0" w:color="auto"/>
          </w:divBdr>
        </w:div>
        <w:div w:id="361132405">
          <w:marLeft w:val="1166"/>
          <w:marRight w:val="0"/>
          <w:marTop w:val="58"/>
          <w:marBottom w:val="120"/>
          <w:divBdr>
            <w:top w:val="none" w:sz="0" w:space="0" w:color="auto"/>
            <w:left w:val="none" w:sz="0" w:space="0" w:color="auto"/>
            <w:bottom w:val="none" w:sz="0" w:space="0" w:color="auto"/>
            <w:right w:val="none" w:sz="0" w:space="0" w:color="auto"/>
          </w:divBdr>
        </w:div>
        <w:div w:id="2119176239">
          <w:marLeft w:val="1166"/>
          <w:marRight w:val="0"/>
          <w:marTop w:val="58"/>
          <w:marBottom w:val="120"/>
          <w:divBdr>
            <w:top w:val="none" w:sz="0" w:space="0" w:color="auto"/>
            <w:left w:val="none" w:sz="0" w:space="0" w:color="auto"/>
            <w:bottom w:val="none" w:sz="0" w:space="0" w:color="auto"/>
            <w:right w:val="none" w:sz="0" w:space="0" w:color="auto"/>
          </w:divBdr>
        </w:div>
        <w:div w:id="952974870">
          <w:marLeft w:val="1166"/>
          <w:marRight w:val="0"/>
          <w:marTop w:val="58"/>
          <w:marBottom w:val="120"/>
          <w:divBdr>
            <w:top w:val="none" w:sz="0" w:space="0" w:color="auto"/>
            <w:left w:val="none" w:sz="0" w:space="0" w:color="auto"/>
            <w:bottom w:val="none" w:sz="0" w:space="0" w:color="auto"/>
            <w:right w:val="none" w:sz="0" w:space="0" w:color="auto"/>
          </w:divBdr>
        </w:div>
        <w:div w:id="785270387">
          <w:marLeft w:val="1800"/>
          <w:marRight w:val="0"/>
          <w:marTop w:val="58"/>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270307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49386214">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38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oleObject" Target="embeddings/oleObject8.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14.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wmf"/><Relationship Id="rId32" Type="http://schemas.openxmlformats.org/officeDocument/2006/relationships/image" Target="media/image13.wmf"/><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image" Target="media/image10.w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2.bin"/><Relationship Id="rId31" Type="http://schemas.openxmlformats.org/officeDocument/2006/relationships/image" Target="media/image12.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image" Target="media/image11.wmf"/><Relationship Id="rId35" Type="http://schemas.openxmlformats.org/officeDocument/2006/relationships/oleObject" Target="embeddings/oleObject9.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5AIRPNAIUNRU-1830940522-4304</_dlc_DocId>
    <_dlc_DocIdUrl xmlns="71c5aaf6-e6ce-465b-b873-5148d2a4c105">
      <Url>https://nokia.sharepoint.com/sites/c5g/5gradio/_layouts/15/DocIdRedir.aspx?ID=5AIRPNAIUNRU-1830940522-4304</Url>
      <Description>5AIRPNAIUNRU-1830940522-4304</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2.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3.xml><?xml version="1.0" encoding="utf-8"?>
<ds:datastoreItem xmlns:ds="http://schemas.openxmlformats.org/officeDocument/2006/customXml" ds:itemID="{44B07C54-D67E-497E-A8B0-118F430DA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578843-FAD0-4829-8EB7-F7E97F320249}">
  <ds:schemaRefs>
    <ds:schemaRef ds:uri="http://schemas.microsoft.com/sharepoint/events"/>
  </ds:schemaRefs>
</ds:datastoreItem>
</file>

<file path=customXml/itemProps5.xml><?xml version="1.0" encoding="utf-8"?>
<ds:datastoreItem xmlns:ds="http://schemas.openxmlformats.org/officeDocument/2006/customXml" ds:itemID="{DB65ECE7-5824-4F44-84EB-0C86F81EAA7A}">
  <ds:schemaRefs>
    <ds:schemaRef ds:uri="Microsoft.SharePoint.Taxonomy.ContentTypeSync"/>
  </ds:schemaRefs>
</ds:datastoreItem>
</file>

<file path=customXml/itemProps6.xml><?xml version="1.0" encoding="utf-8"?>
<ds:datastoreItem xmlns:ds="http://schemas.openxmlformats.org/officeDocument/2006/customXml" ds:itemID="{9ABC279B-EBCF-426A-9CD1-F844E842889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865FAB63-CD53-471F-B43C-A57A6B62C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736</TotalTime>
  <Pages>4</Pages>
  <Words>1256</Words>
  <Characters>7164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tuomas.1.hiltunen.ext@nokia.com</dc:creator>
  <cp:keywords/>
  <dc:description/>
  <cp:lastModifiedBy>Mihai Enescu - after RAN1#84bis</cp:lastModifiedBy>
  <cp:revision>32</cp:revision>
  <dcterms:created xsi:type="dcterms:W3CDTF">2018-08-10T05:23:00Z</dcterms:created>
  <dcterms:modified xsi:type="dcterms:W3CDTF">2018-11-02T20:48:00Z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3dbcaebb-5cdf-42af-b8dc-a2926b104947</vt:lpwstr>
  </property>
</Properties>
</file>