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1A36CE" w14:textId="70154B99" w:rsidR="009C0564" w:rsidRPr="00CF195E" w:rsidRDefault="00B67BBF"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18F0D508" wp14:editId="14ADD8E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EC4E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735D0C">
        <w:rPr>
          <w:b/>
          <w:kern w:val="2"/>
          <w:lang w:eastAsia="zh-CN"/>
        </w:rPr>
        <w:t>5</w:t>
      </w:r>
      <w:r w:rsidR="00972929" w:rsidRPr="00CF195E">
        <w:rPr>
          <w:b/>
          <w:kern w:val="2"/>
          <w:lang w:eastAsia="zh-CN"/>
        </w:rPr>
        <w:tab/>
      </w:r>
      <w:r w:rsidR="00B52A9F" w:rsidRPr="00B52A9F">
        <w:rPr>
          <w:b/>
          <w:kern w:val="2"/>
          <w:lang w:eastAsia="zh-CN"/>
        </w:rPr>
        <w:t>R1-1812686</w:t>
      </w:r>
    </w:p>
    <w:p w14:paraId="3EB55208" w14:textId="606CB894" w:rsidR="009C0564" w:rsidRPr="00CF195E" w:rsidRDefault="00735D0C" w:rsidP="00CF195E">
      <w:pPr>
        <w:jc w:val="left"/>
        <w:rPr>
          <w:b/>
          <w:kern w:val="2"/>
          <w:lang w:eastAsia="zh-CN"/>
        </w:rPr>
      </w:pPr>
      <w:r>
        <w:rPr>
          <w:b/>
          <w:kern w:val="2"/>
          <w:lang w:eastAsia="zh-CN"/>
        </w:rPr>
        <w:t>Spokane</w:t>
      </w:r>
      <w:r w:rsidR="00F16BF2">
        <w:rPr>
          <w:b/>
          <w:kern w:val="2"/>
          <w:lang w:eastAsia="zh-CN"/>
        </w:rPr>
        <w:t xml:space="preserve">, </w:t>
      </w:r>
      <w:r>
        <w:rPr>
          <w:b/>
          <w:kern w:val="2"/>
          <w:lang w:eastAsia="zh-CN"/>
        </w:rPr>
        <w:t>US</w:t>
      </w:r>
      <w:r w:rsidR="00C51616">
        <w:rPr>
          <w:b/>
          <w:kern w:val="2"/>
          <w:lang w:eastAsia="zh-CN"/>
        </w:rPr>
        <w:t>A</w:t>
      </w:r>
      <w:bookmarkStart w:id="0" w:name="_GoBack"/>
      <w:bookmarkEnd w:id="0"/>
      <w:r w:rsidR="00486936">
        <w:rPr>
          <w:b/>
          <w:kern w:val="2"/>
          <w:lang w:eastAsia="zh-CN"/>
        </w:rPr>
        <w:t xml:space="preserve">, </w:t>
      </w:r>
      <w:r>
        <w:rPr>
          <w:b/>
          <w:kern w:val="2"/>
          <w:lang w:eastAsia="zh-CN"/>
        </w:rPr>
        <w:t>Nov</w:t>
      </w:r>
      <w:r w:rsidR="00F16BF2">
        <w:rPr>
          <w:b/>
          <w:kern w:val="2"/>
          <w:lang w:eastAsia="zh-CN"/>
        </w:rPr>
        <w:t xml:space="preserve"> </w:t>
      </w:r>
      <w:r>
        <w:rPr>
          <w:b/>
          <w:kern w:val="2"/>
          <w:lang w:eastAsia="zh-CN"/>
        </w:rPr>
        <w:t>12</w:t>
      </w:r>
      <w:r w:rsidR="00486936">
        <w:rPr>
          <w:b/>
          <w:kern w:val="2"/>
          <w:lang w:eastAsia="zh-CN"/>
        </w:rPr>
        <w:t xml:space="preserve"> –</w:t>
      </w:r>
      <w:r w:rsidR="00F16BF2">
        <w:rPr>
          <w:b/>
          <w:kern w:val="2"/>
          <w:lang w:eastAsia="zh-CN"/>
        </w:rPr>
        <w:t xml:space="preserve"> </w:t>
      </w:r>
      <w:r>
        <w:rPr>
          <w:b/>
          <w:kern w:val="2"/>
          <w:lang w:eastAsia="zh-CN"/>
        </w:rPr>
        <w:t>Nov</w:t>
      </w:r>
      <w:r w:rsidR="00486936">
        <w:rPr>
          <w:b/>
          <w:kern w:val="2"/>
          <w:lang w:eastAsia="zh-CN"/>
        </w:rPr>
        <w:t xml:space="preserve"> </w:t>
      </w:r>
      <w:r>
        <w:rPr>
          <w:b/>
          <w:kern w:val="2"/>
          <w:lang w:eastAsia="zh-CN"/>
        </w:rPr>
        <w:t>16</w:t>
      </w:r>
      <w:r w:rsidR="00F16BF2">
        <w:rPr>
          <w:b/>
          <w:kern w:val="2"/>
          <w:lang w:eastAsia="zh-CN"/>
        </w:rPr>
        <w:t>, 2018</w:t>
      </w:r>
    </w:p>
    <w:p w14:paraId="4D18C48A" w14:textId="77777777" w:rsidR="009C0564" w:rsidRPr="00CF195E" w:rsidRDefault="009C0564" w:rsidP="00CF195E">
      <w:pPr>
        <w:pBdr>
          <w:top w:val="single" w:sz="4" w:space="1" w:color="auto"/>
        </w:pBdr>
        <w:spacing w:after="0"/>
        <w:jc w:val="left"/>
        <w:rPr>
          <w:b/>
          <w:kern w:val="2"/>
          <w:sz w:val="16"/>
          <w:szCs w:val="16"/>
          <w:lang w:eastAsia="zh-CN"/>
        </w:rPr>
      </w:pPr>
    </w:p>
    <w:p w14:paraId="4A38AE7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35D0C" w:rsidRPr="00291735">
        <w:rPr>
          <w:b/>
          <w:kern w:val="2"/>
          <w:lang w:eastAsia="zh-CN"/>
        </w:rPr>
        <w:t>7.2.10</w:t>
      </w:r>
      <w:r w:rsidR="00291735" w:rsidRPr="00291735">
        <w:rPr>
          <w:b/>
          <w:kern w:val="2"/>
          <w:lang w:eastAsia="zh-CN"/>
        </w:rPr>
        <w:t>.4</w:t>
      </w:r>
    </w:p>
    <w:p w14:paraId="7B8AA867"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C2EAF">
        <w:rPr>
          <w:rFonts w:hint="eastAsia"/>
          <w:b/>
          <w:kern w:val="2"/>
          <w:lang w:eastAsia="zh-CN"/>
        </w:rPr>
        <w:t xml:space="preserve">, </w:t>
      </w:r>
      <w:r w:rsidR="007C2EAF" w:rsidRPr="00B04045">
        <w:rPr>
          <w:rFonts w:hint="eastAsia"/>
          <w:b/>
          <w:kern w:val="2"/>
          <w:lang w:eastAsia="zh-CN"/>
        </w:rPr>
        <w:t>HiSilicon</w:t>
      </w:r>
    </w:p>
    <w:p w14:paraId="116B8410"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1735" w:rsidRPr="00291735">
        <w:rPr>
          <w:b/>
          <w:kern w:val="2"/>
          <w:lang w:eastAsia="zh-CN"/>
        </w:rPr>
        <w:t>Additional considerations on channel modeling and deployment</w:t>
      </w:r>
    </w:p>
    <w:p w14:paraId="64B60B0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6D2656F" w14:textId="77777777" w:rsidR="009C0564" w:rsidRPr="00CF195E" w:rsidRDefault="009C0564" w:rsidP="00CF195E">
      <w:pPr>
        <w:pBdr>
          <w:bottom w:val="single" w:sz="4" w:space="1" w:color="auto"/>
        </w:pBdr>
        <w:spacing w:after="0"/>
        <w:jc w:val="left"/>
        <w:rPr>
          <w:b/>
          <w:kern w:val="2"/>
          <w:sz w:val="16"/>
          <w:szCs w:val="16"/>
          <w:lang w:eastAsia="zh-CN"/>
        </w:rPr>
      </w:pPr>
    </w:p>
    <w:p w14:paraId="408A3541" w14:textId="77777777" w:rsidR="00F86EBB" w:rsidRPr="00291735" w:rsidRDefault="009C0564" w:rsidP="00C12BC1">
      <w:pPr>
        <w:pStyle w:val="Heading1"/>
      </w:pPr>
      <w:bookmarkStart w:id="1" w:name="_Ref124589705"/>
      <w:bookmarkStart w:id="2" w:name="_Ref129681862"/>
      <w:r w:rsidRPr="00CF195E">
        <w:t>Introduction</w:t>
      </w:r>
      <w:bookmarkEnd w:id="1"/>
      <w:bookmarkEnd w:id="2"/>
    </w:p>
    <w:p w14:paraId="0FB4B10C" w14:textId="04957CAA" w:rsidR="002B5DE9" w:rsidRDefault="00F62E52" w:rsidP="00C12BC1">
      <w:pPr>
        <w:rPr>
          <w:rFonts w:eastAsiaTheme="minorEastAsia"/>
          <w:lang w:eastAsia="zh-CN"/>
        </w:rPr>
      </w:pPr>
      <w:r>
        <w:rPr>
          <w:rFonts w:eastAsiaTheme="minorEastAsia"/>
          <w:lang w:eastAsia="zh-CN"/>
        </w:rPr>
        <w:t xml:space="preserve">At </w:t>
      </w:r>
      <w:r w:rsidR="001912BD">
        <w:rPr>
          <w:rFonts w:eastAsiaTheme="minorEastAsia"/>
          <w:lang w:eastAsia="zh-CN"/>
        </w:rPr>
        <w:t xml:space="preserve">RAN1#94b, the simulation assumptions for NR positioning were agreed in </w:t>
      </w:r>
      <w:r w:rsidR="00B97F46">
        <w:rPr>
          <w:rFonts w:eastAsiaTheme="minorEastAsia"/>
          <w:lang w:eastAsia="zh-CN"/>
        </w:rPr>
        <w:fldChar w:fldCharType="begin"/>
      </w:r>
      <w:r w:rsidR="001912BD">
        <w:rPr>
          <w:rFonts w:eastAsiaTheme="minorEastAsia"/>
          <w:lang w:eastAsia="zh-CN"/>
        </w:rPr>
        <w:instrText xml:space="preserve"> REF _Ref528329529 \r \h </w:instrText>
      </w:r>
      <w:r w:rsidR="00B97F46">
        <w:rPr>
          <w:rFonts w:eastAsiaTheme="minorEastAsia"/>
          <w:lang w:eastAsia="zh-CN"/>
        </w:rPr>
      </w:r>
      <w:r w:rsidR="00B97F46">
        <w:rPr>
          <w:rFonts w:eastAsiaTheme="minorEastAsia"/>
          <w:lang w:eastAsia="zh-CN"/>
        </w:rPr>
        <w:fldChar w:fldCharType="separate"/>
      </w:r>
      <w:r w:rsidR="001912BD">
        <w:rPr>
          <w:rFonts w:eastAsiaTheme="minorEastAsia"/>
          <w:lang w:eastAsia="zh-CN"/>
        </w:rPr>
        <w:t>[1]</w:t>
      </w:r>
      <w:r w:rsidR="00B97F46">
        <w:rPr>
          <w:rFonts w:eastAsiaTheme="minorEastAsia"/>
          <w:lang w:eastAsia="zh-CN"/>
        </w:rPr>
        <w:fldChar w:fldCharType="end"/>
      </w:r>
      <w:r w:rsidR="001912BD">
        <w:rPr>
          <w:rFonts w:eastAsiaTheme="minorEastAsia"/>
          <w:lang w:eastAsia="zh-CN"/>
        </w:rPr>
        <w:t>.</w:t>
      </w:r>
      <w:r w:rsidR="00B53E4D">
        <w:rPr>
          <w:rFonts w:eastAsiaTheme="minorEastAsia"/>
          <w:lang w:eastAsia="zh-CN"/>
        </w:rPr>
        <w:t xml:space="preserve"> </w:t>
      </w:r>
      <w:r w:rsidR="001912BD">
        <w:rPr>
          <w:rFonts w:eastAsiaTheme="minorEastAsia"/>
          <w:lang w:eastAsia="zh-CN"/>
        </w:rPr>
        <w:t xml:space="preserve">During the meeting, </w:t>
      </w:r>
      <w:r w:rsidR="00B67BBF">
        <w:rPr>
          <w:rFonts w:eastAsiaTheme="minorEastAsia"/>
          <w:lang w:eastAsia="zh-CN"/>
        </w:rPr>
        <w:t xml:space="preserve">a </w:t>
      </w:r>
      <w:r w:rsidR="001912BD">
        <w:rPr>
          <w:rFonts w:eastAsiaTheme="minorEastAsia"/>
          <w:lang w:eastAsia="zh-CN"/>
        </w:rPr>
        <w:t xml:space="preserve">modification to the channel model in TR 38.901 </w:t>
      </w:r>
      <w:r w:rsidR="00B97F46">
        <w:rPr>
          <w:rFonts w:eastAsiaTheme="minorEastAsia"/>
          <w:lang w:eastAsia="zh-CN"/>
        </w:rPr>
        <w:fldChar w:fldCharType="begin"/>
      </w:r>
      <w:r w:rsidR="001912BD">
        <w:rPr>
          <w:rFonts w:eastAsiaTheme="minorEastAsia"/>
          <w:lang w:eastAsia="zh-CN"/>
        </w:rPr>
        <w:instrText xml:space="preserve"> REF _Ref528329673 \r \h </w:instrText>
      </w:r>
      <w:r w:rsidR="00B97F46">
        <w:rPr>
          <w:rFonts w:eastAsiaTheme="minorEastAsia"/>
          <w:lang w:eastAsia="zh-CN"/>
        </w:rPr>
      </w:r>
      <w:r w:rsidR="00B97F46">
        <w:rPr>
          <w:rFonts w:eastAsiaTheme="minorEastAsia"/>
          <w:lang w:eastAsia="zh-CN"/>
        </w:rPr>
        <w:fldChar w:fldCharType="separate"/>
      </w:r>
      <w:r w:rsidR="001912BD">
        <w:rPr>
          <w:rFonts w:eastAsiaTheme="minorEastAsia"/>
          <w:lang w:eastAsia="zh-CN"/>
        </w:rPr>
        <w:t>[2]</w:t>
      </w:r>
      <w:r w:rsidR="00B97F46">
        <w:rPr>
          <w:rFonts w:eastAsiaTheme="minorEastAsia"/>
          <w:lang w:eastAsia="zh-CN"/>
        </w:rPr>
        <w:fldChar w:fldCharType="end"/>
      </w:r>
      <w:r w:rsidR="001912BD">
        <w:rPr>
          <w:rFonts w:eastAsiaTheme="minorEastAsia"/>
          <w:lang w:eastAsia="zh-CN"/>
        </w:rPr>
        <w:t xml:space="preserve"> was discussed. In our companion contribution </w:t>
      </w:r>
      <w:r w:rsidR="00B97F46">
        <w:rPr>
          <w:rFonts w:eastAsiaTheme="minorEastAsia"/>
          <w:lang w:eastAsia="zh-CN"/>
        </w:rPr>
        <w:fldChar w:fldCharType="begin"/>
      </w:r>
      <w:r w:rsidR="001912BD">
        <w:rPr>
          <w:rFonts w:eastAsiaTheme="minorEastAsia"/>
          <w:lang w:eastAsia="zh-CN"/>
        </w:rPr>
        <w:instrText xml:space="preserve"> REF _Ref528317277 \r \h </w:instrText>
      </w:r>
      <w:r w:rsidR="00B97F46">
        <w:rPr>
          <w:rFonts w:eastAsiaTheme="minorEastAsia"/>
          <w:lang w:eastAsia="zh-CN"/>
        </w:rPr>
      </w:r>
      <w:r w:rsidR="00B97F46">
        <w:rPr>
          <w:rFonts w:eastAsiaTheme="minorEastAsia"/>
          <w:lang w:eastAsia="zh-CN"/>
        </w:rPr>
        <w:fldChar w:fldCharType="separate"/>
      </w:r>
      <w:r w:rsidR="001912BD">
        <w:rPr>
          <w:rFonts w:eastAsiaTheme="minorEastAsia"/>
          <w:lang w:eastAsia="zh-CN"/>
        </w:rPr>
        <w:t>[3]</w:t>
      </w:r>
      <w:r w:rsidR="00B97F46">
        <w:rPr>
          <w:rFonts w:eastAsiaTheme="minorEastAsia"/>
          <w:lang w:eastAsia="zh-CN"/>
        </w:rPr>
        <w:fldChar w:fldCharType="end"/>
      </w:r>
      <w:r w:rsidR="001912BD">
        <w:rPr>
          <w:rFonts w:eastAsiaTheme="minorEastAsia"/>
          <w:lang w:eastAsia="zh-CN"/>
        </w:rPr>
        <w:t>, we propose to adjust the angle of the first cluster to the LOS direction</w:t>
      </w:r>
      <w:r w:rsidR="00B53E4D">
        <w:rPr>
          <w:rFonts w:eastAsiaTheme="minorEastAsia"/>
          <w:lang w:eastAsia="zh-CN"/>
        </w:rPr>
        <w:t xml:space="preserve"> as per the discussion in RAN1#94b</w:t>
      </w:r>
      <w:r w:rsidR="001912BD">
        <w:rPr>
          <w:rFonts w:eastAsiaTheme="minorEastAsia"/>
          <w:lang w:eastAsia="zh-CN"/>
        </w:rPr>
        <w:t xml:space="preserve">. </w:t>
      </w:r>
      <w:r w:rsidR="00B53E4D">
        <w:rPr>
          <w:rFonts w:eastAsiaTheme="minorEastAsia"/>
          <w:lang w:eastAsia="zh-CN"/>
        </w:rPr>
        <w:t>However</w:t>
      </w:r>
      <w:r w:rsidR="001912BD">
        <w:rPr>
          <w:rFonts w:eastAsiaTheme="minorEastAsia"/>
          <w:lang w:eastAsia="zh-CN"/>
        </w:rPr>
        <w:t xml:space="preserve">, </w:t>
      </w:r>
      <w:r>
        <w:rPr>
          <w:rFonts w:eastAsiaTheme="minorEastAsia"/>
          <w:lang w:eastAsia="zh-CN"/>
        </w:rPr>
        <w:t xml:space="preserve">additional changes </w:t>
      </w:r>
      <w:r w:rsidR="00B53E4D">
        <w:rPr>
          <w:rFonts w:eastAsiaTheme="minorEastAsia"/>
          <w:lang w:eastAsia="zh-CN"/>
        </w:rPr>
        <w:t xml:space="preserve">of the channel model for positioning evaluations </w:t>
      </w:r>
      <w:r w:rsidR="001912BD">
        <w:rPr>
          <w:rFonts w:eastAsiaTheme="minorEastAsia"/>
          <w:lang w:eastAsia="zh-CN"/>
        </w:rPr>
        <w:t>may be needed</w:t>
      </w:r>
      <w:r>
        <w:rPr>
          <w:rFonts w:eastAsiaTheme="minorEastAsia"/>
          <w:lang w:eastAsia="zh-CN"/>
        </w:rPr>
        <w:t>. These changes are described in this contribution.</w:t>
      </w:r>
    </w:p>
    <w:p w14:paraId="5F69EFD6" w14:textId="77777777" w:rsidR="005E394D" w:rsidRPr="00F86EBB" w:rsidRDefault="005E394D" w:rsidP="00C12BC1">
      <w:pPr>
        <w:rPr>
          <w:rFonts w:eastAsiaTheme="minorEastAsia"/>
          <w:lang w:eastAsia="zh-CN"/>
        </w:rPr>
      </w:pPr>
    </w:p>
    <w:p w14:paraId="7E22D6C8" w14:textId="104C8F92" w:rsidR="002B5DE9" w:rsidRPr="00CF195E" w:rsidRDefault="00291735" w:rsidP="002B5DE9">
      <w:pPr>
        <w:pStyle w:val="Heading1"/>
      </w:pPr>
      <w:r>
        <w:t>C</w:t>
      </w:r>
      <w:r w:rsidR="00B53E4D">
        <w:t>h</w:t>
      </w:r>
      <w:r>
        <w:t xml:space="preserve">annel </w:t>
      </w:r>
      <w:r w:rsidR="00B53E4D">
        <w:t>Mo</w:t>
      </w:r>
      <w:r>
        <w:t>del</w:t>
      </w:r>
    </w:p>
    <w:p w14:paraId="1996A208" w14:textId="642C953A" w:rsidR="00F86EBB" w:rsidRDefault="005E394D" w:rsidP="005E394D">
      <w:pPr>
        <w:pStyle w:val="Heading2"/>
        <w:rPr>
          <w:lang w:eastAsia="ja-JP"/>
        </w:rPr>
      </w:pPr>
      <w:r>
        <w:rPr>
          <w:lang w:eastAsia="ja-JP"/>
        </w:rPr>
        <w:t>Delay adjustment for cluster removal</w:t>
      </w:r>
    </w:p>
    <w:p w14:paraId="42D2CB9F" w14:textId="248171B8" w:rsidR="005E394D" w:rsidRDefault="005E394D" w:rsidP="005E394D">
      <w:pPr>
        <w:rPr>
          <w:lang w:eastAsia="ja-JP"/>
        </w:rPr>
      </w:pPr>
      <w:r>
        <w:rPr>
          <w:lang w:eastAsia="ja-JP"/>
        </w:rPr>
        <w:t>In Step</w:t>
      </w:r>
      <w:r w:rsidR="008C5FF3">
        <w:rPr>
          <w:lang w:eastAsia="ja-JP"/>
        </w:rPr>
        <w:t xml:space="preserve"> </w:t>
      </w:r>
      <w:r>
        <w:rPr>
          <w:lang w:eastAsia="ja-JP"/>
        </w:rPr>
        <w:t xml:space="preserve">6 of sub-clause 7.5 in </w:t>
      </w:r>
      <w:r w:rsidR="00B97F46">
        <w:rPr>
          <w:lang w:eastAsia="ja-JP"/>
        </w:rPr>
        <w:fldChar w:fldCharType="begin"/>
      </w:r>
      <w:r>
        <w:rPr>
          <w:lang w:eastAsia="ja-JP"/>
        </w:rPr>
        <w:instrText xml:space="preserve"> REF _Ref528329673 \r \h </w:instrText>
      </w:r>
      <w:r w:rsidR="00B97F46">
        <w:rPr>
          <w:lang w:eastAsia="ja-JP"/>
        </w:rPr>
      </w:r>
      <w:r w:rsidR="00B97F46">
        <w:rPr>
          <w:lang w:eastAsia="ja-JP"/>
        </w:rPr>
        <w:fldChar w:fldCharType="separate"/>
      </w:r>
      <w:r>
        <w:rPr>
          <w:lang w:eastAsia="ja-JP"/>
        </w:rPr>
        <w:t>[2]</w:t>
      </w:r>
      <w:r w:rsidR="00B97F46">
        <w:rPr>
          <w:lang w:eastAsia="ja-JP"/>
        </w:rPr>
        <w:fldChar w:fldCharType="end"/>
      </w:r>
      <w:r>
        <w:rPr>
          <w:lang w:eastAsia="ja-JP"/>
        </w:rPr>
        <w:t>, the following procedure is described for removing the cluster with small power</w:t>
      </w:r>
      <w:r w:rsidR="00B53E4D">
        <w:rPr>
          <w:lang w:eastAsia="ja-JP"/>
        </w:rPr>
        <w:t>:</w:t>
      </w:r>
    </w:p>
    <w:tbl>
      <w:tblPr>
        <w:tblStyle w:val="TableGrid"/>
        <w:tblW w:w="0" w:type="auto"/>
        <w:tblLook w:val="04A0" w:firstRow="1" w:lastRow="0" w:firstColumn="1" w:lastColumn="0" w:noHBand="0" w:noVBand="1"/>
      </w:tblPr>
      <w:tblGrid>
        <w:gridCol w:w="9307"/>
      </w:tblGrid>
      <w:tr w:rsidR="005E394D" w14:paraId="75B5FF6A" w14:textId="77777777" w:rsidTr="005E394D">
        <w:tc>
          <w:tcPr>
            <w:tcW w:w="9307" w:type="dxa"/>
          </w:tcPr>
          <w:p w14:paraId="2BDA6DE0" w14:textId="77777777" w:rsidR="005E394D" w:rsidRDefault="005E394D" w:rsidP="005E394D">
            <w:r w:rsidRPr="00147F39">
              <w:t>Remove clusters with less than -25 dB power compared to the maximum cluster power. The scaling factors need not be changed after cluster elimination.</w:t>
            </w:r>
          </w:p>
        </w:tc>
      </w:tr>
    </w:tbl>
    <w:p w14:paraId="62148BED" w14:textId="77777777" w:rsidR="005E394D" w:rsidRPr="005E394D" w:rsidRDefault="005E394D" w:rsidP="005E394D">
      <w:pPr>
        <w:rPr>
          <w:lang w:eastAsia="ja-JP"/>
        </w:rPr>
      </w:pPr>
    </w:p>
    <w:p w14:paraId="5AAAC678" w14:textId="64BFF82D" w:rsidR="00B53E4D" w:rsidRDefault="005E394D" w:rsidP="009753E5">
      <w:pPr>
        <w:rPr>
          <w:b/>
          <w:i/>
          <w:lang w:eastAsia="ja-JP"/>
        </w:rPr>
      </w:pPr>
      <w:r>
        <w:rPr>
          <w:lang w:eastAsia="ja-JP"/>
        </w:rPr>
        <w:t>Since the delay generation of each cluster is prior to the cluster removal, the delay is not affected by the procedure. The problem comes when the first cluster, whose delay is normalized to zero in Step 5, is removed. In such a case, the remaining first cluster has an extra delay in addition to the propagation delay, which may cause RSTD estimation error.</w:t>
      </w:r>
      <w:r w:rsidR="00F62E52">
        <w:rPr>
          <w:lang w:eastAsia="ja-JP"/>
        </w:rPr>
        <w:t xml:space="preserve"> In order to solve the problem, we suggest to </w:t>
      </w:r>
      <w:r w:rsidR="00281501">
        <w:rPr>
          <w:lang w:eastAsia="ja-JP"/>
        </w:rPr>
        <w:t>subtract the delay of the first remaining cluster from the delays of all remaining clusters</w:t>
      </w:r>
      <w:r w:rsidR="00F62E52">
        <w:rPr>
          <w:lang w:eastAsia="ja-JP"/>
        </w:rPr>
        <w:t>.</w:t>
      </w:r>
    </w:p>
    <w:p w14:paraId="704846F3" w14:textId="5D96A351" w:rsidR="009753E5" w:rsidRPr="002E514B" w:rsidRDefault="009753E5" w:rsidP="002E514B">
      <w:pPr>
        <w:rPr>
          <w:b/>
          <w:i/>
          <w:lang w:eastAsia="ja-JP"/>
        </w:rPr>
      </w:pPr>
      <w:r>
        <w:rPr>
          <w:b/>
          <w:i/>
          <w:lang w:eastAsia="ja-JP"/>
        </w:rPr>
        <w:t xml:space="preserve">Proposal 1: </w:t>
      </w:r>
      <w:r w:rsidR="00281501" w:rsidRPr="00281501">
        <w:rPr>
          <w:b/>
          <w:i/>
          <w:lang w:eastAsia="ja-JP"/>
        </w:rPr>
        <w:t>Subtract the delay of the first remaining cluster from the delays of all remaining clusters</w:t>
      </w:r>
      <w:r w:rsidR="00281501">
        <w:rPr>
          <w:b/>
          <w:i/>
          <w:lang w:eastAsia="ja-JP"/>
        </w:rPr>
        <w:t xml:space="preserve"> if the first cluster is removed due to the low power.</w:t>
      </w:r>
    </w:p>
    <w:p w14:paraId="1FD6C59A" w14:textId="77777777" w:rsidR="009753E5" w:rsidRPr="009753E5" w:rsidRDefault="009753E5" w:rsidP="009753E5">
      <w:pPr>
        <w:rPr>
          <w:b/>
          <w:lang w:eastAsia="ja-JP"/>
        </w:rPr>
      </w:pPr>
    </w:p>
    <w:p w14:paraId="0D675906" w14:textId="2EEC2E16" w:rsidR="009753E5" w:rsidRDefault="009753E5" w:rsidP="009753E5">
      <w:pPr>
        <w:pStyle w:val="Heading2"/>
        <w:rPr>
          <w:lang w:eastAsia="ja-JP"/>
        </w:rPr>
      </w:pPr>
      <w:r>
        <w:rPr>
          <w:lang w:eastAsia="ja-JP"/>
        </w:rPr>
        <w:t>Angle adjustment for the first cluster</w:t>
      </w:r>
    </w:p>
    <w:p w14:paraId="50CEF7DF" w14:textId="42661191" w:rsidR="009753E5" w:rsidRDefault="009753E5" w:rsidP="009753E5">
      <w:pPr>
        <w:rPr>
          <w:lang w:eastAsia="ja-JP"/>
        </w:rPr>
      </w:pPr>
      <w:r>
        <w:rPr>
          <w:lang w:eastAsia="ja-JP"/>
        </w:rPr>
        <w:t xml:space="preserve">In </w:t>
      </w:r>
      <w:r w:rsidR="00B97F46">
        <w:rPr>
          <w:lang w:eastAsia="ja-JP"/>
        </w:rPr>
        <w:fldChar w:fldCharType="begin"/>
      </w:r>
      <w:r>
        <w:rPr>
          <w:lang w:eastAsia="ja-JP"/>
        </w:rPr>
        <w:instrText xml:space="preserve"> REF _Ref528317277 \r \h </w:instrText>
      </w:r>
      <w:r w:rsidR="00B97F46">
        <w:rPr>
          <w:lang w:eastAsia="ja-JP"/>
        </w:rPr>
      </w:r>
      <w:r w:rsidR="00B97F46">
        <w:rPr>
          <w:lang w:eastAsia="ja-JP"/>
        </w:rPr>
        <w:fldChar w:fldCharType="separate"/>
      </w:r>
      <w:r>
        <w:rPr>
          <w:lang w:eastAsia="ja-JP"/>
        </w:rPr>
        <w:t>[3]</w:t>
      </w:r>
      <w:r w:rsidR="00B97F46">
        <w:rPr>
          <w:lang w:eastAsia="ja-JP"/>
        </w:rPr>
        <w:fldChar w:fldCharType="end"/>
      </w:r>
      <w:r>
        <w:rPr>
          <w:lang w:eastAsia="ja-JP"/>
        </w:rPr>
        <w:t xml:space="preserve">, we propose to </w:t>
      </w:r>
      <w:r w:rsidR="00E3369E">
        <w:rPr>
          <w:lang w:eastAsia="ja-JP"/>
        </w:rPr>
        <w:t xml:space="preserve">have </w:t>
      </w:r>
      <w:r>
        <w:rPr>
          <w:lang w:eastAsia="ja-JP"/>
        </w:rPr>
        <w:t xml:space="preserve">the first cluster </w:t>
      </w:r>
      <w:r w:rsidR="00E3369E">
        <w:rPr>
          <w:lang w:eastAsia="ja-JP"/>
        </w:rPr>
        <w:t xml:space="preserve">having </w:t>
      </w:r>
      <w:r>
        <w:rPr>
          <w:lang w:eastAsia="ja-JP"/>
        </w:rPr>
        <w:t xml:space="preserve">the LOS direction. </w:t>
      </w:r>
      <w:r w:rsidR="00E3369E">
        <w:rPr>
          <w:lang w:eastAsia="ja-JP"/>
        </w:rPr>
        <w:t>In addition, t</w:t>
      </w:r>
      <w:r w:rsidR="00B67BBF">
        <w:rPr>
          <w:lang w:eastAsia="ja-JP"/>
        </w:rPr>
        <w:t>he</w:t>
      </w:r>
      <w:r>
        <w:rPr>
          <w:lang w:eastAsia="ja-JP"/>
        </w:rPr>
        <w:t xml:space="preserve"> first cluster </w:t>
      </w:r>
      <w:r w:rsidR="00E3369E">
        <w:rPr>
          <w:lang w:eastAsia="ja-JP"/>
        </w:rPr>
        <w:t xml:space="preserve">should have </w:t>
      </w:r>
      <w:r>
        <w:rPr>
          <w:lang w:eastAsia="ja-JP"/>
        </w:rPr>
        <w:t>a direct path transmitting from the LOS direction but suffering from penetration loss due to obstruction</w:t>
      </w:r>
      <w:r w:rsidR="001041D6">
        <w:rPr>
          <w:lang w:eastAsia="ja-JP"/>
        </w:rPr>
        <w:t xml:space="preserve"> in case of NLOS. </w:t>
      </w:r>
      <w:r w:rsidR="00B67BBF">
        <w:rPr>
          <w:lang w:eastAsia="ja-JP"/>
        </w:rPr>
        <w:t>Thus, this cluster should have a behavior similar to a LOS cluster:</w:t>
      </w:r>
    </w:p>
    <w:p w14:paraId="2F0804CC" w14:textId="77777777" w:rsidR="001041D6" w:rsidRDefault="002B2698" w:rsidP="001041D6">
      <w:pPr>
        <w:pStyle w:val="ListParagraph"/>
        <w:numPr>
          <w:ilvl w:val="0"/>
          <w:numId w:val="35"/>
        </w:numPr>
        <w:rPr>
          <w:lang w:eastAsia="ja-JP"/>
        </w:rPr>
      </w:pPr>
      <w:r>
        <w:rPr>
          <w:lang w:eastAsia="ja-JP"/>
        </w:rPr>
        <w:t>Small</w:t>
      </w:r>
      <w:r w:rsidR="001041D6">
        <w:rPr>
          <w:lang w:eastAsia="ja-JP"/>
        </w:rPr>
        <w:t xml:space="preserve"> number of rays</w:t>
      </w:r>
      <w:r>
        <w:rPr>
          <w:lang w:eastAsia="ja-JP"/>
        </w:rPr>
        <w:t xml:space="preserve"> or single ray</w:t>
      </w:r>
      <w:r w:rsidR="001041D6">
        <w:rPr>
          <w:lang w:eastAsia="ja-JP"/>
        </w:rPr>
        <w:t xml:space="preserve"> within the cluster</w:t>
      </w:r>
    </w:p>
    <w:p w14:paraId="61ACD754" w14:textId="0F9DCC1B" w:rsidR="001041D6" w:rsidRDefault="001041D6" w:rsidP="001041D6">
      <w:pPr>
        <w:pStyle w:val="ListParagraph"/>
        <w:numPr>
          <w:ilvl w:val="0"/>
          <w:numId w:val="35"/>
        </w:numPr>
        <w:rPr>
          <w:lang w:eastAsia="ja-JP"/>
        </w:rPr>
      </w:pPr>
      <w:r>
        <w:rPr>
          <w:lang w:eastAsia="ja-JP"/>
        </w:rPr>
        <w:t>Small intra-cluster angle spread or zero intra-cluster angle spread</w:t>
      </w:r>
    </w:p>
    <w:p w14:paraId="3ECDADD2" w14:textId="77777777" w:rsidR="001041D6" w:rsidRDefault="001041D6" w:rsidP="001041D6">
      <w:pPr>
        <w:pStyle w:val="ListParagraph"/>
        <w:numPr>
          <w:ilvl w:val="0"/>
          <w:numId w:val="35"/>
        </w:numPr>
        <w:rPr>
          <w:lang w:eastAsia="ja-JP"/>
        </w:rPr>
      </w:pPr>
      <w:r>
        <w:rPr>
          <w:lang w:eastAsia="ja-JP"/>
        </w:rPr>
        <w:t xml:space="preserve">Random initial phase </w:t>
      </w:r>
      <w:r w:rsidRPr="00147F39">
        <w:rPr>
          <w:position w:val="-14"/>
        </w:rPr>
        <w:object w:dxaOrig="2260" w:dyaOrig="400" w14:anchorId="6A295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5pt;height:18.3pt" o:ole="">
            <v:imagedata r:id="rId8" o:title=""/>
          </v:shape>
          <o:OLEObject Type="Embed" ProgID="Equation.3" ShapeID="_x0000_i1025" DrawAspect="Content" ObjectID="_1602662985" r:id="rId9"/>
        </w:object>
      </w:r>
      <w:r>
        <w:t xml:space="preserve"> and </w:t>
      </w:r>
      <w:r w:rsidRPr="00147F39">
        <w:rPr>
          <w:lang w:eastAsia="zh-CN"/>
        </w:rPr>
        <w:t>cross polarization power ratios</w:t>
      </w:r>
    </w:p>
    <w:p w14:paraId="7392383D" w14:textId="62505977" w:rsidR="001041D6" w:rsidRDefault="002B2698" w:rsidP="001041D6">
      <w:pPr>
        <w:rPr>
          <w:lang w:eastAsia="ja-JP"/>
        </w:rPr>
      </w:pPr>
      <w:r>
        <w:rPr>
          <w:lang w:eastAsia="ja-JP"/>
        </w:rPr>
        <w:t>T</w:t>
      </w:r>
      <w:r w:rsidR="00B53E4D">
        <w:rPr>
          <w:lang w:eastAsia="ja-JP"/>
        </w:rPr>
        <w:t xml:space="preserve">he easiest adaptation is to use a </w:t>
      </w:r>
      <w:r>
        <w:rPr>
          <w:lang w:eastAsia="ja-JP"/>
        </w:rPr>
        <w:t xml:space="preserve">single </w:t>
      </w:r>
      <w:r w:rsidR="00E33F34">
        <w:rPr>
          <w:lang w:eastAsia="ja-JP"/>
        </w:rPr>
        <w:t xml:space="preserve">intra-cluster ray angle (e.g. AOA, AOD, ZOA and ZOD ) </w:t>
      </w:r>
      <w:r>
        <w:rPr>
          <w:lang w:eastAsia="ja-JP"/>
        </w:rPr>
        <w:t>for first cluster, which implies that the intra-cluster angle spread is 0, without changing the random initial phase and XPR coefficients.</w:t>
      </w:r>
    </w:p>
    <w:p w14:paraId="4B846C07" w14:textId="3246DCAE" w:rsidR="002B2698" w:rsidRPr="002B2698" w:rsidRDefault="002B2698" w:rsidP="001041D6">
      <w:pPr>
        <w:rPr>
          <w:b/>
          <w:i/>
          <w:lang w:eastAsia="ja-JP"/>
        </w:rPr>
      </w:pPr>
      <w:r>
        <w:rPr>
          <w:b/>
          <w:i/>
          <w:lang w:eastAsia="ja-JP"/>
        </w:rPr>
        <w:t>Proposal 2: Consider using</w:t>
      </w:r>
      <w:r w:rsidR="00CA44B9">
        <w:rPr>
          <w:b/>
          <w:i/>
          <w:lang w:eastAsia="ja-JP"/>
        </w:rPr>
        <w:t xml:space="preserve"> a</w:t>
      </w:r>
      <w:r>
        <w:rPr>
          <w:b/>
          <w:i/>
          <w:lang w:eastAsia="ja-JP"/>
        </w:rPr>
        <w:t xml:space="preserve"> </w:t>
      </w:r>
      <w:r w:rsidR="00CA44B9">
        <w:rPr>
          <w:b/>
          <w:i/>
          <w:lang w:eastAsia="ja-JP"/>
        </w:rPr>
        <w:t xml:space="preserve">single </w:t>
      </w:r>
      <w:r w:rsidR="00B97F46" w:rsidRPr="009A6D7D">
        <w:rPr>
          <w:b/>
          <w:i/>
          <w:lang w:eastAsia="ja-JP"/>
        </w:rPr>
        <w:t xml:space="preserve">intra-cluster ray angle </w:t>
      </w:r>
      <w:r>
        <w:rPr>
          <w:b/>
          <w:i/>
          <w:lang w:eastAsia="ja-JP"/>
        </w:rPr>
        <w:t xml:space="preserve">within the first cluster </w:t>
      </w:r>
      <w:r w:rsidR="00B67BBF">
        <w:rPr>
          <w:b/>
          <w:i/>
          <w:lang w:eastAsia="ja-JP"/>
        </w:rPr>
        <w:t>for</w:t>
      </w:r>
      <w:r>
        <w:rPr>
          <w:b/>
          <w:i/>
          <w:lang w:eastAsia="ja-JP"/>
        </w:rPr>
        <w:t xml:space="preserve"> NLOS condition</w:t>
      </w:r>
      <w:r w:rsidR="00B67BBF">
        <w:rPr>
          <w:b/>
          <w:i/>
          <w:lang w:eastAsia="ja-JP"/>
        </w:rPr>
        <w:t>s</w:t>
      </w:r>
      <w:r>
        <w:rPr>
          <w:b/>
          <w:i/>
          <w:lang w:eastAsia="ja-JP"/>
        </w:rPr>
        <w:t>.</w:t>
      </w:r>
    </w:p>
    <w:p w14:paraId="323129BA" w14:textId="77777777" w:rsidR="005E394D" w:rsidRPr="00CF195E" w:rsidRDefault="005E394D" w:rsidP="00C12BC1">
      <w:pPr>
        <w:rPr>
          <w:rFonts w:eastAsia="MS Mincho"/>
          <w:lang w:eastAsia="ja-JP"/>
        </w:rPr>
      </w:pPr>
    </w:p>
    <w:p w14:paraId="231A8E9A" w14:textId="77777777" w:rsidR="009A3A86" w:rsidRDefault="00291735" w:rsidP="00CF195E">
      <w:pPr>
        <w:pStyle w:val="Heading1"/>
      </w:pPr>
      <w:bookmarkStart w:id="3" w:name="_Ref129681832"/>
      <w:r>
        <w:lastRenderedPageBreak/>
        <w:t>Considerations on indoor deployment</w:t>
      </w:r>
    </w:p>
    <w:p w14:paraId="4CDD6F1B" w14:textId="77777777" w:rsidR="00A857A5" w:rsidRDefault="00E33F34" w:rsidP="009A6D7D">
      <w:r>
        <w:t>It is well-known that the deployment geometry of BSs will have an impact on the positioning accuracy. Generally, the Geometrical Dilution of Precision (GDOP) is used to assess the dependency between the error of measurements (e.g. angles and TOAs) and the relative geometry of UEs and BSs.</w:t>
      </w:r>
      <w:r w:rsidR="00EE71A2">
        <w:t xml:space="preserve"> To enhance the positioning performance, it is desirable to optimize the deployment w.r.t the GDOP because</w:t>
      </w:r>
      <w:r>
        <w:t xml:space="preserve"> </w:t>
      </w:r>
      <w:r w:rsidR="00EE71A2">
        <w:t>a</w:t>
      </w:r>
      <w:r>
        <w:rPr>
          <w:lang w:eastAsia="zh-CN"/>
        </w:rPr>
        <w:t xml:space="preserve"> large GDOP implies high sensitiv</w:t>
      </w:r>
      <w:r w:rsidR="00EE71A2">
        <w:rPr>
          <w:lang w:eastAsia="zh-CN"/>
        </w:rPr>
        <w:t xml:space="preserve">ity </w:t>
      </w:r>
      <w:r>
        <w:rPr>
          <w:lang w:eastAsia="zh-CN"/>
        </w:rPr>
        <w:t xml:space="preserve">to the </w:t>
      </w:r>
      <w:r w:rsidR="00EE71A2">
        <w:rPr>
          <w:lang w:eastAsia="zh-CN"/>
        </w:rPr>
        <w:t>measurement</w:t>
      </w:r>
      <w:r>
        <w:rPr>
          <w:lang w:eastAsia="zh-CN"/>
        </w:rPr>
        <w:t xml:space="preserve"> error</w:t>
      </w:r>
      <w:r w:rsidR="00EE71A2">
        <w:rPr>
          <w:lang w:eastAsia="zh-CN"/>
        </w:rPr>
        <w:t>.</w:t>
      </w:r>
      <w:r>
        <w:t xml:space="preserve"> </w:t>
      </w:r>
    </w:p>
    <w:p w14:paraId="65FC2B62" w14:textId="77777777" w:rsidR="00A857A5" w:rsidRDefault="00EE71A2" w:rsidP="009A6D7D">
      <w:pPr>
        <w:rPr>
          <w:rFonts w:eastAsiaTheme="minorEastAsia"/>
          <w:lang w:eastAsia="zh-CN"/>
        </w:rPr>
      </w:pPr>
      <w:r>
        <w:rPr>
          <w:rFonts w:eastAsiaTheme="minorEastAsia"/>
          <w:lang w:eastAsia="zh-CN"/>
        </w:rPr>
        <w:t xml:space="preserve">For the outdoor scenarios (i.e. UMa and UMi), the geometry of BSs are usually </w:t>
      </w:r>
      <w:r w:rsidR="007801F6">
        <w:rPr>
          <w:rFonts w:eastAsiaTheme="minorEastAsia"/>
          <w:lang w:eastAsia="zh-CN"/>
        </w:rPr>
        <w:t>modeled as hexagon deployment because it is basically in line with practical case. For the indoor deployment, however, there is no representative deployment geometry</w:t>
      </w:r>
      <w:r w:rsidR="00D64267">
        <w:rPr>
          <w:rFonts w:eastAsiaTheme="minorEastAsia"/>
          <w:lang w:eastAsia="zh-CN"/>
        </w:rPr>
        <w:t>. As shown in Fig. 1, different deployments may have different GDOP which leads to difference positioning performance.</w:t>
      </w:r>
      <w:r w:rsidR="007801F6">
        <w:rPr>
          <w:rFonts w:eastAsiaTheme="minorEastAsia"/>
          <w:lang w:eastAsia="zh-CN"/>
        </w:rPr>
        <w:t xml:space="preserve"> </w:t>
      </w:r>
      <w:r>
        <w:rPr>
          <w:rFonts w:eastAsiaTheme="minorEastAsia"/>
          <w:lang w:eastAsia="zh-CN"/>
        </w:rPr>
        <w:t>In RAN1#94b</w:t>
      </w:r>
      <w:r w:rsidR="00E33F34">
        <w:rPr>
          <w:rFonts w:eastAsiaTheme="minorEastAsia"/>
          <w:lang w:eastAsia="zh-CN"/>
        </w:rPr>
        <w:t xml:space="preserve">, the requirements for indoor positioning were agreed to be </w:t>
      </w:r>
      <w:r w:rsidR="006214AB">
        <w:rPr>
          <w:rFonts w:eastAsiaTheme="minorEastAsia"/>
          <w:lang w:eastAsia="zh-CN"/>
        </w:rPr>
        <w:t>&lt;</w:t>
      </w:r>
      <w:r w:rsidR="006214AB">
        <w:rPr>
          <w:rFonts w:eastAsiaTheme="minorEastAsia" w:hint="eastAsia"/>
          <w:lang w:eastAsia="zh-CN"/>
        </w:rPr>
        <w:t>[</w:t>
      </w:r>
      <w:r w:rsidR="006214AB">
        <w:rPr>
          <w:rFonts w:eastAsiaTheme="minorEastAsia"/>
          <w:lang w:eastAsia="zh-CN"/>
        </w:rPr>
        <w:t>3m</w:t>
      </w:r>
      <w:r w:rsidR="006214AB">
        <w:rPr>
          <w:rFonts w:eastAsiaTheme="minorEastAsia" w:hint="eastAsia"/>
          <w:lang w:eastAsia="zh-CN"/>
        </w:rPr>
        <w:t>]</w:t>
      </w:r>
      <w:r w:rsidR="006214AB">
        <w:rPr>
          <w:rFonts w:eastAsiaTheme="minorEastAsia"/>
          <w:lang w:eastAsia="zh-CN"/>
        </w:rPr>
        <w:t xml:space="preserve"> for 80% of UEs </w:t>
      </w:r>
      <w:r>
        <w:rPr>
          <w:rFonts w:eastAsiaTheme="minorEastAsia"/>
          <w:lang w:eastAsia="zh-CN"/>
        </w:rPr>
        <w:t xml:space="preserve">with a 12-site indoor geometry </w:t>
      </w:r>
      <w:r>
        <w:rPr>
          <w:lang w:eastAsia="ja-JP"/>
        </w:rPr>
        <w:t xml:space="preserve">in </w:t>
      </w:r>
      <w:r w:rsidR="00B97F46">
        <w:rPr>
          <w:lang w:eastAsia="ja-JP"/>
        </w:rPr>
        <w:fldChar w:fldCharType="begin"/>
      </w:r>
      <w:r>
        <w:rPr>
          <w:lang w:eastAsia="ja-JP"/>
        </w:rPr>
        <w:instrText xml:space="preserve"> REF _Ref528329673 \r \h </w:instrText>
      </w:r>
      <w:r w:rsidR="00B97F46">
        <w:rPr>
          <w:lang w:eastAsia="ja-JP"/>
        </w:rPr>
      </w:r>
      <w:r w:rsidR="00B97F46">
        <w:rPr>
          <w:lang w:eastAsia="ja-JP"/>
        </w:rPr>
        <w:fldChar w:fldCharType="separate"/>
      </w:r>
      <w:r>
        <w:rPr>
          <w:lang w:eastAsia="ja-JP"/>
        </w:rPr>
        <w:t>[2]</w:t>
      </w:r>
      <w:r w:rsidR="00B97F46">
        <w:rPr>
          <w:lang w:eastAsia="ja-JP"/>
        </w:rPr>
        <w:fldChar w:fldCharType="end"/>
      </w:r>
      <w:r w:rsidR="00D64267">
        <w:rPr>
          <w:rFonts w:eastAsiaTheme="minorEastAsia"/>
          <w:lang w:eastAsia="zh-CN"/>
        </w:rPr>
        <w:t>, but the impact of GDOP is not considered in the evaluation methodology. It is not clear whether the proposed requirements can still be met with less available sites or geometry of poorer GDOP.</w:t>
      </w:r>
    </w:p>
    <w:p w14:paraId="161940DF" w14:textId="77777777" w:rsidR="00A857A5" w:rsidRDefault="00663D16" w:rsidP="009A6D7D">
      <w:r w:rsidRPr="00663D16">
        <w:rPr>
          <w:rFonts w:hint="eastAsia"/>
        </w:rPr>
        <w:t xml:space="preserve"> </w:t>
      </w:r>
      <w:r w:rsidR="00387A4C">
        <w:rPr>
          <w:noProof/>
        </w:rPr>
        <w:drawing>
          <wp:inline distT="0" distB="0" distL="0" distR="0" wp14:anchorId="4F05B0DB" wp14:editId="285EA3A4">
            <wp:extent cx="2838735" cy="1934769"/>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2805" cy="1944359"/>
                    </a:xfrm>
                    <a:prstGeom prst="rect">
                      <a:avLst/>
                    </a:prstGeom>
                    <a:noFill/>
                    <a:ln>
                      <a:noFill/>
                    </a:ln>
                  </pic:spPr>
                </pic:pic>
              </a:graphicData>
            </a:graphic>
          </wp:inline>
        </w:drawing>
      </w:r>
      <w:r w:rsidR="00387A4C">
        <w:rPr>
          <w:noProof/>
        </w:rPr>
        <w:drawing>
          <wp:inline distT="0" distB="0" distL="0" distR="0" wp14:anchorId="51B89B80" wp14:editId="32325DEF">
            <wp:extent cx="2844000" cy="1933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4000" cy="1933200"/>
                    </a:xfrm>
                    <a:prstGeom prst="rect">
                      <a:avLst/>
                    </a:prstGeom>
                    <a:noFill/>
                    <a:ln>
                      <a:noFill/>
                    </a:ln>
                  </pic:spPr>
                </pic:pic>
              </a:graphicData>
            </a:graphic>
          </wp:inline>
        </w:drawing>
      </w:r>
      <w:r w:rsidRPr="00663D16">
        <w:rPr>
          <w:rFonts w:hint="eastAsia"/>
        </w:rPr>
        <w:t xml:space="preserve"> </w:t>
      </w:r>
    </w:p>
    <w:p w14:paraId="61DA5E90" w14:textId="77777777" w:rsidR="00A857A5" w:rsidRDefault="001738D6" w:rsidP="009A6D7D">
      <w:pPr>
        <w:jc w:val="center"/>
      </w:pPr>
      <w:r>
        <w:rPr>
          <w:rFonts w:eastAsiaTheme="minorEastAsia"/>
          <w:lang w:eastAsia="zh-CN"/>
        </w:rPr>
        <w:t>Fig. 1 GDOP comparison of different in indoor deployments</w:t>
      </w:r>
    </w:p>
    <w:p w14:paraId="116A92F5" w14:textId="77777777" w:rsidR="00D64267" w:rsidRPr="002B2698" w:rsidRDefault="00D64267" w:rsidP="00D64267">
      <w:pPr>
        <w:rPr>
          <w:b/>
          <w:i/>
          <w:lang w:eastAsia="ja-JP"/>
        </w:rPr>
      </w:pPr>
      <w:r>
        <w:rPr>
          <w:b/>
          <w:i/>
          <w:lang w:eastAsia="ja-JP"/>
        </w:rPr>
        <w:t xml:space="preserve">Proposal 3: Consider </w:t>
      </w:r>
      <w:r w:rsidR="00663D16">
        <w:rPr>
          <w:b/>
          <w:i/>
          <w:lang w:eastAsia="ja-JP"/>
        </w:rPr>
        <w:t>the GDOP impact of deployment geometry in the evaluation</w:t>
      </w:r>
      <w:r>
        <w:rPr>
          <w:b/>
          <w:i/>
          <w:lang w:eastAsia="ja-JP"/>
        </w:rPr>
        <w:t>.</w:t>
      </w:r>
    </w:p>
    <w:p w14:paraId="40946FE9" w14:textId="77777777" w:rsidR="00686F4F" w:rsidRPr="00D04AFA" w:rsidRDefault="00686F4F" w:rsidP="002E3C65">
      <w:pPr>
        <w:rPr>
          <w:kern w:val="2"/>
          <w:lang w:eastAsia="zh-CN"/>
        </w:rPr>
      </w:pPr>
    </w:p>
    <w:p w14:paraId="19960C3F" w14:textId="77777777" w:rsidR="00157FC3" w:rsidRPr="00CF195E" w:rsidRDefault="00747F48" w:rsidP="00CF195E">
      <w:pPr>
        <w:pStyle w:val="Heading1"/>
      </w:pPr>
      <w:r w:rsidRPr="00CF195E">
        <w:t>Conclusion</w:t>
      </w:r>
      <w:r w:rsidR="006B1FD5" w:rsidRPr="00CF195E">
        <w:t>s</w:t>
      </w:r>
    </w:p>
    <w:p w14:paraId="2C60951E" w14:textId="77777777" w:rsidR="001738D6" w:rsidRDefault="001738D6" w:rsidP="001738D6">
      <w:r>
        <w:t>In this contribution, we discuss our considerations on channel modeling and indoor deployment. Based on the discussion, we have the following proposals and observations.</w:t>
      </w:r>
    </w:p>
    <w:p w14:paraId="52922D95" w14:textId="4985A07F" w:rsidR="001738D6" w:rsidRDefault="00281501" w:rsidP="002E514B">
      <w:pPr>
        <w:rPr>
          <w:lang w:eastAsia="ja-JP"/>
        </w:rPr>
      </w:pPr>
      <w:r w:rsidRPr="002E514B">
        <w:rPr>
          <w:b/>
          <w:i/>
          <w:lang w:eastAsia="ja-JP"/>
        </w:rPr>
        <w:t>Proposal 1: Subtract the delay of the first remaining cluster from the delays of all remaining clusters if the first cluster is removed due to the low power.</w:t>
      </w:r>
    </w:p>
    <w:p w14:paraId="4CEB8ED6" w14:textId="68A0EF56" w:rsidR="001738D6" w:rsidRPr="002B2698" w:rsidRDefault="001738D6" w:rsidP="001738D6">
      <w:pPr>
        <w:rPr>
          <w:b/>
          <w:i/>
          <w:lang w:eastAsia="ja-JP"/>
        </w:rPr>
      </w:pPr>
      <w:r>
        <w:rPr>
          <w:b/>
          <w:i/>
          <w:lang w:eastAsia="ja-JP"/>
        </w:rPr>
        <w:t>Proposal 2: Consider using</w:t>
      </w:r>
      <w:r w:rsidR="00A529A8">
        <w:rPr>
          <w:b/>
          <w:i/>
          <w:lang w:eastAsia="ja-JP"/>
        </w:rPr>
        <w:t xml:space="preserve"> a single</w:t>
      </w:r>
      <w:r>
        <w:rPr>
          <w:b/>
          <w:i/>
          <w:lang w:eastAsia="ja-JP"/>
        </w:rPr>
        <w:t xml:space="preserve"> </w:t>
      </w:r>
      <w:r w:rsidRPr="00C42B64">
        <w:rPr>
          <w:b/>
          <w:i/>
          <w:lang w:eastAsia="ja-JP"/>
        </w:rPr>
        <w:t xml:space="preserve">intra-cluster ray angle </w:t>
      </w:r>
      <w:r>
        <w:rPr>
          <w:b/>
          <w:i/>
          <w:lang w:eastAsia="ja-JP"/>
        </w:rPr>
        <w:t xml:space="preserve">within the first cluster </w:t>
      </w:r>
      <w:r w:rsidR="00B67BBF">
        <w:rPr>
          <w:b/>
          <w:i/>
          <w:lang w:eastAsia="ja-JP"/>
        </w:rPr>
        <w:t>for</w:t>
      </w:r>
      <w:r>
        <w:rPr>
          <w:b/>
          <w:i/>
          <w:lang w:eastAsia="ja-JP"/>
        </w:rPr>
        <w:t xml:space="preserve"> NLOS condition</w:t>
      </w:r>
      <w:r w:rsidR="00B67BBF">
        <w:rPr>
          <w:b/>
          <w:i/>
          <w:lang w:eastAsia="ja-JP"/>
        </w:rPr>
        <w:t>s</w:t>
      </w:r>
      <w:r>
        <w:rPr>
          <w:b/>
          <w:i/>
          <w:lang w:eastAsia="ja-JP"/>
        </w:rPr>
        <w:t>.</w:t>
      </w:r>
    </w:p>
    <w:p w14:paraId="03D37C31" w14:textId="77777777" w:rsidR="001738D6" w:rsidRPr="002B2698" w:rsidRDefault="001738D6" w:rsidP="001738D6">
      <w:pPr>
        <w:rPr>
          <w:b/>
          <w:i/>
          <w:lang w:eastAsia="ja-JP"/>
        </w:rPr>
      </w:pPr>
      <w:r>
        <w:rPr>
          <w:b/>
          <w:i/>
          <w:lang w:eastAsia="ja-JP"/>
        </w:rPr>
        <w:t>Proposal 3: Consider the GDOP impact of deployment geometry in the evaluation.</w:t>
      </w:r>
    </w:p>
    <w:p w14:paraId="63500C1C" w14:textId="77777777" w:rsidR="001738D6" w:rsidRPr="00E003C9" w:rsidRDefault="001738D6" w:rsidP="001738D6"/>
    <w:p w14:paraId="02E39CEA" w14:textId="77777777"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p w14:paraId="710779C6" w14:textId="77777777" w:rsidR="00735D0C" w:rsidRDefault="00735D0C" w:rsidP="00735D0C">
      <w:pPr>
        <w:pStyle w:val="References"/>
      </w:pPr>
      <w:bookmarkStart w:id="7" w:name="_Ref528329529"/>
      <w:bookmarkStart w:id="8" w:name="_Ref167612875"/>
      <w:bookmarkStart w:id="9" w:name="_Ref167612671"/>
      <w:bookmarkEnd w:id="4"/>
      <w:bookmarkEnd w:id="5"/>
      <w:bookmarkEnd w:id="6"/>
      <w:r>
        <w:t xml:space="preserve">3GPP, </w:t>
      </w:r>
      <w:r w:rsidRPr="00735D0C">
        <w:t>Chairman's Notes RAN1 94b final</w:t>
      </w:r>
      <w:r>
        <w:t>, RAN1#94b, Chengdu, China, Oct. 8-12, 2018.</w:t>
      </w:r>
      <w:bookmarkEnd w:id="7"/>
    </w:p>
    <w:p w14:paraId="46D786AF" w14:textId="77777777" w:rsidR="00735D0C" w:rsidRDefault="004C7325" w:rsidP="004C7325">
      <w:pPr>
        <w:pStyle w:val="References"/>
      </w:pPr>
      <w:bookmarkStart w:id="10" w:name="_Ref528329673"/>
      <w:r>
        <w:t xml:space="preserve">TR 38.901, </w:t>
      </w:r>
      <w:r w:rsidRPr="00147F39">
        <w:rPr>
          <w:lang w:eastAsia="ko-KR"/>
        </w:rPr>
        <w:t>Study on channel model for frequencies from 0.5 to 100 GHz</w:t>
      </w:r>
      <w:r>
        <w:rPr>
          <w:lang w:eastAsia="ko-KR"/>
        </w:rPr>
        <w:t xml:space="preserve"> </w:t>
      </w:r>
      <w:r w:rsidRPr="004C7325">
        <w:rPr>
          <w:lang w:eastAsia="ko-KR"/>
        </w:rPr>
        <w:t>(Release 15)</w:t>
      </w:r>
      <w:r>
        <w:rPr>
          <w:lang w:eastAsia="ko-KR"/>
        </w:rPr>
        <w:t>, Jun. 2018.</w:t>
      </w:r>
      <w:bookmarkEnd w:id="10"/>
    </w:p>
    <w:p w14:paraId="2FBEE1DC" w14:textId="48EB8060" w:rsidR="002E514B" w:rsidRDefault="001912BD" w:rsidP="001912BD">
      <w:pPr>
        <w:pStyle w:val="References"/>
        <w:rPr>
          <w:lang w:eastAsia="zh-CN"/>
        </w:rPr>
      </w:pPr>
      <w:bookmarkStart w:id="11" w:name="_Ref528317277"/>
      <w:r w:rsidRPr="005D6259">
        <w:rPr>
          <w:lang w:eastAsia="zh-CN"/>
        </w:rPr>
        <w:t>R1-1812235</w:t>
      </w:r>
      <w:r>
        <w:rPr>
          <w:lang w:eastAsia="zh-CN"/>
        </w:rPr>
        <w:t xml:space="preserve">, </w:t>
      </w:r>
      <w:r w:rsidRPr="005D6259">
        <w:rPr>
          <w:lang w:eastAsia="zh-CN"/>
        </w:rPr>
        <w:t>Remaining details on evaluation methodology and simulation results</w:t>
      </w:r>
      <w:r>
        <w:rPr>
          <w:lang w:eastAsia="zh-CN"/>
        </w:rPr>
        <w:t>, Huawei, HiSilicon, RAN1#95, Spokane, US, Nov. 12-16, 2018.</w:t>
      </w:r>
      <w:bookmarkEnd w:id="11"/>
    </w:p>
    <w:bookmarkEnd w:id="3"/>
    <w:bookmarkEnd w:id="8"/>
    <w:bookmarkEnd w:id="9"/>
    <w:p w14:paraId="717B0EB9" w14:textId="77777777" w:rsidR="007C3FA8" w:rsidRPr="00CF195E" w:rsidRDefault="007C3FA8" w:rsidP="002E514B">
      <w:pPr>
        <w:pStyle w:val="References"/>
        <w:numPr>
          <w:ilvl w:val="0"/>
          <w:numId w:val="0"/>
        </w:numPr>
        <w:rPr>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B4969" w14:textId="77777777" w:rsidR="008E1D31" w:rsidRDefault="008E1D31">
      <w:r>
        <w:separator/>
      </w:r>
    </w:p>
  </w:endnote>
  <w:endnote w:type="continuationSeparator" w:id="0">
    <w:p w14:paraId="43934460" w14:textId="77777777" w:rsidR="008E1D31" w:rsidRDefault="008E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8ECFB" w14:textId="77777777" w:rsidR="008E1D31" w:rsidRDefault="008E1D31">
      <w:r>
        <w:separator/>
      </w:r>
    </w:p>
  </w:footnote>
  <w:footnote w:type="continuationSeparator" w:id="0">
    <w:p w14:paraId="01E992B7" w14:textId="77777777" w:rsidR="008E1D31" w:rsidRDefault="008E1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377C98"/>
    <w:multiLevelType w:val="hybridMultilevel"/>
    <w:tmpl w:val="4A20F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4DE62F1"/>
    <w:multiLevelType w:val="hybridMultilevel"/>
    <w:tmpl w:val="E7765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B42E5"/>
    <w:multiLevelType w:val="hybridMultilevel"/>
    <w:tmpl w:val="1FBA9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9"/>
  </w:num>
  <w:num w:numId="3">
    <w:abstractNumId w:val="17"/>
  </w:num>
  <w:num w:numId="4">
    <w:abstractNumId w:val="14"/>
  </w:num>
  <w:num w:numId="5">
    <w:abstractNumId w:val="9"/>
  </w:num>
  <w:num w:numId="6">
    <w:abstractNumId w:val="30"/>
  </w:num>
  <w:num w:numId="7">
    <w:abstractNumId w:val="15"/>
  </w:num>
  <w:num w:numId="8">
    <w:abstractNumId w:val="23"/>
  </w:num>
  <w:num w:numId="9">
    <w:abstractNumId w:val="28"/>
  </w:num>
  <w:num w:numId="10">
    <w:abstractNumId w:val="29"/>
  </w:num>
  <w:num w:numId="11">
    <w:abstractNumId w:val="33"/>
  </w:num>
  <w:num w:numId="12">
    <w:abstractNumId w:val="13"/>
  </w:num>
  <w:num w:numId="13">
    <w:abstractNumId w:val="25"/>
  </w:num>
  <w:num w:numId="14">
    <w:abstractNumId w:val="24"/>
  </w:num>
  <w:num w:numId="15">
    <w:abstractNumId w:val="21"/>
  </w:num>
  <w:num w:numId="16">
    <w:abstractNumId w:val="11"/>
  </w:num>
  <w:num w:numId="17">
    <w:abstractNumId w:val="20"/>
  </w:num>
  <w:num w:numId="18">
    <w:abstractNumId w:val="12"/>
  </w:num>
  <w:num w:numId="19">
    <w:abstractNumId w:val="10"/>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18"/>
  </w:num>
  <w:num w:numId="33">
    <w:abstractNumId w:val="17"/>
  </w:num>
  <w:num w:numId="34">
    <w:abstractNumId w:val="16"/>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3DD"/>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8F4"/>
    <w:rsid w:val="000F7F58"/>
    <w:rsid w:val="00100128"/>
    <w:rsid w:val="00100FF3"/>
    <w:rsid w:val="001026CA"/>
    <w:rsid w:val="001041D6"/>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24C"/>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38D6"/>
    <w:rsid w:val="001745EC"/>
    <w:rsid w:val="001747B7"/>
    <w:rsid w:val="00175C30"/>
    <w:rsid w:val="00177069"/>
    <w:rsid w:val="00177FC1"/>
    <w:rsid w:val="001815A2"/>
    <w:rsid w:val="00181FC1"/>
    <w:rsid w:val="00183034"/>
    <w:rsid w:val="001830F7"/>
    <w:rsid w:val="00183EE6"/>
    <w:rsid w:val="0018588A"/>
    <w:rsid w:val="00187252"/>
    <w:rsid w:val="001912BD"/>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501"/>
    <w:rsid w:val="00284BAE"/>
    <w:rsid w:val="002859AF"/>
    <w:rsid w:val="00286AE7"/>
    <w:rsid w:val="00287243"/>
    <w:rsid w:val="00290647"/>
    <w:rsid w:val="00291385"/>
    <w:rsid w:val="00291422"/>
    <w:rsid w:val="00291735"/>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698"/>
    <w:rsid w:val="002B2723"/>
    <w:rsid w:val="002B303A"/>
    <w:rsid w:val="002B538E"/>
    <w:rsid w:val="002B5DCA"/>
    <w:rsid w:val="002B5DE9"/>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514B"/>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06FD2"/>
    <w:rsid w:val="003100C8"/>
    <w:rsid w:val="00311161"/>
    <w:rsid w:val="00312400"/>
    <w:rsid w:val="00312739"/>
    <w:rsid w:val="00312D10"/>
    <w:rsid w:val="003178DA"/>
    <w:rsid w:val="00317DB8"/>
    <w:rsid w:val="00320618"/>
    <w:rsid w:val="0032100B"/>
    <w:rsid w:val="00321803"/>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2FD9"/>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A4C"/>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75D3"/>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0AF8"/>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5DE1"/>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598"/>
    <w:rsid w:val="00485970"/>
    <w:rsid w:val="00485C0D"/>
    <w:rsid w:val="00486575"/>
    <w:rsid w:val="004866D0"/>
    <w:rsid w:val="00486936"/>
    <w:rsid w:val="004906E1"/>
    <w:rsid w:val="004921A5"/>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325"/>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14B7"/>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19F"/>
    <w:rsid w:val="005D648A"/>
    <w:rsid w:val="005D7E0D"/>
    <w:rsid w:val="005E234A"/>
    <w:rsid w:val="005E35CC"/>
    <w:rsid w:val="005E371E"/>
    <w:rsid w:val="005E394D"/>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6E2"/>
    <w:rsid w:val="006130F7"/>
    <w:rsid w:val="00613AF8"/>
    <w:rsid w:val="00613D8E"/>
    <w:rsid w:val="006142E0"/>
    <w:rsid w:val="00616112"/>
    <w:rsid w:val="006205CA"/>
    <w:rsid w:val="006214AB"/>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3D16"/>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6F4F"/>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8CE"/>
    <w:rsid w:val="006D3BE1"/>
    <w:rsid w:val="006D48FC"/>
    <w:rsid w:val="006D62BC"/>
    <w:rsid w:val="006D6450"/>
    <w:rsid w:val="006D6939"/>
    <w:rsid w:val="006D7EB0"/>
    <w:rsid w:val="006E0138"/>
    <w:rsid w:val="006E0BB0"/>
    <w:rsid w:val="006E12C3"/>
    <w:rsid w:val="006E133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D0C"/>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1F6"/>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EAF"/>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FFA"/>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5E4"/>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5FF3"/>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1D3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53E5"/>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6D7D"/>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4114"/>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29A8"/>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7A5"/>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6F2"/>
    <w:rsid w:val="00B37D97"/>
    <w:rsid w:val="00B411BD"/>
    <w:rsid w:val="00B41559"/>
    <w:rsid w:val="00B418E8"/>
    <w:rsid w:val="00B42285"/>
    <w:rsid w:val="00B4274B"/>
    <w:rsid w:val="00B435B1"/>
    <w:rsid w:val="00B4367F"/>
    <w:rsid w:val="00B438BA"/>
    <w:rsid w:val="00B44F99"/>
    <w:rsid w:val="00B45876"/>
    <w:rsid w:val="00B51542"/>
    <w:rsid w:val="00B51D1D"/>
    <w:rsid w:val="00B52A9F"/>
    <w:rsid w:val="00B5310E"/>
    <w:rsid w:val="00B53E4D"/>
    <w:rsid w:val="00B54ACC"/>
    <w:rsid w:val="00B54DCB"/>
    <w:rsid w:val="00B55AC2"/>
    <w:rsid w:val="00B560C9"/>
    <w:rsid w:val="00B56533"/>
    <w:rsid w:val="00B56CFC"/>
    <w:rsid w:val="00B57777"/>
    <w:rsid w:val="00B57A17"/>
    <w:rsid w:val="00B61BE2"/>
    <w:rsid w:val="00B6266F"/>
    <w:rsid w:val="00B62E0B"/>
    <w:rsid w:val="00B63C32"/>
    <w:rsid w:val="00B64434"/>
    <w:rsid w:val="00B67BBF"/>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97F46"/>
    <w:rsid w:val="00BA0632"/>
    <w:rsid w:val="00BA0AAA"/>
    <w:rsid w:val="00BA0DFB"/>
    <w:rsid w:val="00BA2FEF"/>
    <w:rsid w:val="00BB1548"/>
    <w:rsid w:val="00BB1CE7"/>
    <w:rsid w:val="00BB2FD3"/>
    <w:rsid w:val="00BB2FDF"/>
    <w:rsid w:val="00BB2FFF"/>
    <w:rsid w:val="00BB5FCB"/>
    <w:rsid w:val="00BB604B"/>
    <w:rsid w:val="00BB7298"/>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616"/>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44B9"/>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4AFA"/>
    <w:rsid w:val="00D05132"/>
    <w:rsid w:val="00D05EA9"/>
    <w:rsid w:val="00D071F8"/>
    <w:rsid w:val="00D07252"/>
    <w:rsid w:val="00D074F4"/>
    <w:rsid w:val="00D07CE1"/>
    <w:rsid w:val="00D1026A"/>
    <w:rsid w:val="00D107CF"/>
    <w:rsid w:val="00D11B0B"/>
    <w:rsid w:val="00D12293"/>
    <w:rsid w:val="00D133E8"/>
    <w:rsid w:val="00D14236"/>
    <w:rsid w:val="00D14553"/>
    <w:rsid w:val="00D14DB1"/>
    <w:rsid w:val="00D15F43"/>
    <w:rsid w:val="00D16E87"/>
    <w:rsid w:val="00D20B8B"/>
    <w:rsid w:val="00D2162C"/>
    <w:rsid w:val="00D21A3C"/>
    <w:rsid w:val="00D233F1"/>
    <w:rsid w:val="00D256F8"/>
    <w:rsid w:val="00D25979"/>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267"/>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1FE2"/>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2F56"/>
    <w:rsid w:val="00E3369E"/>
    <w:rsid w:val="00E339DC"/>
    <w:rsid w:val="00E33E15"/>
    <w:rsid w:val="00E33F34"/>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5F56"/>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5D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E71A2"/>
    <w:rsid w:val="00EF0348"/>
    <w:rsid w:val="00EF0BE6"/>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2E52"/>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6EBB"/>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D54018"/>
  <w15:docId w15:val="{4371231B-09DB-4F10-A450-228242A0C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B97F46"/>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B97F46"/>
    <w:pPr>
      <w:keepNext/>
      <w:numPr>
        <w:ilvl w:val="1"/>
        <w:numId w:val="3"/>
      </w:numPr>
      <w:spacing w:before="120"/>
      <w:outlineLvl w:val="1"/>
    </w:pPr>
    <w:rPr>
      <w:b/>
      <w:bCs/>
      <w:sz w:val="24"/>
    </w:rPr>
  </w:style>
  <w:style w:type="paragraph" w:styleId="Heading3">
    <w:name w:val="heading 3"/>
    <w:basedOn w:val="Normal"/>
    <w:next w:val="Normal"/>
    <w:qFormat/>
    <w:rsid w:val="00B97F46"/>
    <w:pPr>
      <w:keepNext/>
      <w:numPr>
        <w:ilvl w:val="2"/>
        <w:numId w:val="3"/>
      </w:numPr>
      <w:tabs>
        <w:tab w:val="clear" w:pos="720"/>
      </w:tabs>
      <w:spacing w:before="120"/>
      <w:outlineLvl w:val="2"/>
    </w:pPr>
    <w:rPr>
      <w:b/>
    </w:rPr>
  </w:style>
  <w:style w:type="paragraph" w:styleId="Heading4">
    <w:name w:val="heading 4"/>
    <w:basedOn w:val="Normal"/>
    <w:next w:val="Normal"/>
    <w:qFormat/>
    <w:rsid w:val="00B97F46"/>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B97F46"/>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B97F46"/>
    <w:pPr>
      <w:numPr>
        <w:ilvl w:val="5"/>
        <w:numId w:val="3"/>
      </w:numPr>
      <w:spacing w:before="240" w:after="60"/>
      <w:outlineLvl w:val="5"/>
    </w:pPr>
    <w:rPr>
      <w:b/>
      <w:bCs/>
    </w:rPr>
  </w:style>
  <w:style w:type="paragraph" w:styleId="Heading7">
    <w:name w:val="heading 7"/>
    <w:basedOn w:val="Normal"/>
    <w:next w:val="Normal"/>
    <w:qFormat/>
    <w:rsid w:val="00B97F46"/>
    <w:pPr>
      <w:numPr>
        <w:ilvl w:val="6"/>
        <w:numId w:val="3"/>
      </w:numPr>
      <w:spacing w:before="240" w:after="60"/>
      <w:outlineLvl w:val="6"/>
    </w:pPr>
    <w:rPr>
      <w:sz w:val="24"/>
      <w:szCs w:val="24"/>
    </w:rPr>
  </w:style>
  <w:style w:type="paragraph" w:styleId="Heading8">
    <w:name w:val="heading 8"/>
    <w:basedOn w:val="Normal"/>
    <w:next w:val="Normal"/>
    <w:qFormat/>
    <w:rsid w:val="00B97F46"/>
    <w:pPr>
      <w:numPr>
        <w:ilvl w:val="7"/>
        <w:numId w:val="3"/>
      </w:numPr>
      <w:spacing w:before="240" w:after="60"/>
      <w:outlineLvl w:val="7"/>
    </w:pPr>
    <w:rPr>
      <w:i/>
      <w:iCs/>
      <w:sz w:val="24"/>
      <w:szCs w:val="24"/>
    </w:rPr>
  </w:style>
  <w:style w:type="paragraph" w:styleId="Heading9">
    <w:name w:val="heading 9"/>
    <w:basedOn w:val="Normal"/>
    <w:next w:val="Normal"/>
    <w:qFormat/>
    <w:rsid w:val="00B97F4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97F46"/>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B97F46"/>
    <w:rPr>
      <w:color w:val="0000FF"/>
      <w:u w:val="single"/>
    </w:rPr>
  </w:style>
  <w:style w:type="paragraph" w:styleId="Caption">
    <w:name w:val="caption"/>
    <w:aliases w:val="cap"/>
    <w:basedOn w:val="Normal"/>
    <w:next w:val="Normal"/>
    <w:link w:val="CaptionChar"/>
    <w:qFormat/>
    <w:rsid w:val="00B97F46"/>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B97F46"/>
    <w:pPr>
      <w:autoSpaceDE/>
      <w:autoSpaceDN/>
      <w:adjustRightInd/>
      <w:spacing w:after="180"/>
      <w:ind w:left="568" w:hanging="284"/>
      <w:jc w:val="left"/>
    </w:pPr>
    <w:rPr>
      <w:sz w:val="20"/>
      <w:szCs w:val="20"/>
      <w:lang w:val="en-GB"/>
    </w:rPr>
  </w:style>
  <w:style w:type="paragraph" w:styleId="List">
    <w:name w:val="List"/>
    <w:basedOn w:val="Normal"/>
    <w:rsid w:val="00B97F46"/>
    <w:pPr>
      <w:ind w:left="360" w:hanging="360"/>
    </w:pPr>
  </w:style>
  <w:style w:type="paragraph" w:styleId="BodyText2">
    <w:name w:val="Body Text 2"/>
    <w:basedOn w:val="Normal"/>
    <w:rsid w:val="00B97F46"/>
    <w:pPr>
      <w:spacing w:after="0"/>
      <w:jc w:val="left"/>
    </w:pPr>
    <w:rPr>
      <w:szCs w:val="20"/>
    </w:rPr>
  </w:style>
  <w:style w:type="paragraph" w:styleId="BalloonText">
    <w:name w:val="Balloon Text"/>
    <w:basedOn w:val="Normal"/>
    <w:semiHidden/>
    <w:rsid w:val="00B97F46"/>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B97F46"/>
    <w:rPr>
      <w:color w:val="800080"/>
      <w:u w:val="single"/>
    </w:rPr>
  </w:style>
  <w:style w:type="paragraph" w:styleId="FootnoteText">
    <w:name w:val="footnote text"/>
    <w:basedOn w:val="Normal"/>
    <w:semiHidden/>
    <w:rsid w:val="00B97F46"/>
    <w:rPr>
      <w:sz w:val="20"/>
      <w:szCs w:val="20"/>
    </w:rPr>
  </w:style>
  <w:style w:type="character" w:styleId="FootnoteReference">
    <w:name w:val="footnote reference"/>
    <w:basedOn w:val="DefaultParagraphFont"/>
    <w:semiHidden/>
    <w:rsid w:val="00B97F4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EQ">
    <w:name w:val="EQ"/>
    <w:basedOn w:val="Normal"/>
    <w:next w:val="Normal"/>
    <w:qFormat/>
    <w:rsid w:val="004C732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 ??,?????,????,Lista1,목록 단락,リスト段落,列出段落1,中等深浅网格 1 - 着色 21"/>
    <w:basedOn w:val="Normal"/>
    <w:link w:val="ListParagraphChar"/>
    <w:uiPriority w:val="34"/>
    <w:qFormat/>
    <w:rsid w:val="00686F4F"/>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F86EBB"/>
    <w:rPr>
      <w:sz w:val="22"/>
      <w:szCs w:val="22"/>
    </w:rPr>
  </w:style>
  <w:style w:type="character" w:styleId="CommentReference">
    <w:name w:val="annotation reference"/>
    <w:basedOn w:val="DefaultParagraphFont"/>
    <w:uiPriority w:val="99"/>
    <w:semiHidden/>
    <w:unhideWhenUsed/>
    <w:rsid w:val="00D04AFA"/>
    <w:rPr>
      <w:sz w:val="16"/>
      <w:szCs w:val="16"/>
    </w:rPr>
  </w:style>
  <w:style w:type="paragraph" w:styleId="CommentText">
    <w:name w:val="annotation text"/>
    <w:basedOn w:val="Normal"/>
    <w:link w:val="CommentTextChar"/>
    <w:uiPriority w:val="99"/>
    <w:semiHidden/>
    <w:unhideWhenUsed/>
    <w:rsid w:val="00D04AFA"/>
    <w:rPr>
      <w:sz w:val="20"/>
      <w:szCs w:val="20"/>
    </w:rPr>
  </w:style>
  <w:style w:type="character" w:customStyle="1" w:styleId="CommentTextChar">
    <w:name w:val="Comment Text Char"/>
    <w:basedOn w:val="DefaultParagraphFont"/>
    <w:link w:val="CommentText"/>
    <w:uiPriority w:val="99"/>
    <w:semiHidden/>
    <w:rsid w:val="00D04AFA"/>
  </w:style>
  <w:style w:type="paragraph" w:styleId="CommentSubject">
    <w:name w:val="annotation subject"/>
    <w:basedOn w:val="CommentText"/>
    <w:next w:val="CommentText"/>
    <w:link w:val="CommentSubjectChar"/>
    <w:semiHidden/>
    <w:unhideWhenUsed/>
    <w:rsid w:val="007801F6"/>
    <w:rPr>
      <w:b/>
      <w:bCs/>
    </w:rPr>
  </w:style>
  <w:style w:type="character" w:customStyle="1" w:styleId="CommentSubjectChar">
    <w:name w:val="Comment Subject Char"/>
    <w:basedOn w:val="CommentTextChar"/>
    <w:link w:val="CommentSubject"/>
    <w:semiHidden/>
    <w:rsid w:val="007801F6"/>
    <w:rPr>
      <w:b/>
      <w:bCs/>
    </w:rPr>
  </w:style>
  <w:style w:type="paragraph" w:styleId="Revision">
    <w:name w:val="Revision"/>
    <w:hidden/>
    <w:uiPriority w:val="99"/>
    <w:semiHidden/>
    <w:rsid w:val="00B53E4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116547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D8F64-1E3A-40CC-A6B1-B828A8C5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2007-06-18T22:08:00Z</cp:lastPrinted>
  <dcterms:created xsi:type="dcterms:W3CDTF">2018-11-02T16:23:00Z</dcterms:created>
  <dcterms:modified xsi:type="dcterms:W3CDTF">2018-11-02T16:23:00Z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(3)cY4OqsdtePbCACS1K24z/eO3z0vbNceN2h/Ks8E003tGJS8I0qDt90xrFvW4V+MAq0Blvl4V
BgW9V201YBKKgrAqSxrahIvGL7uIlAiagTMWGaViowkLiTjf5VtRpptg8lph7fLXFRJAO9x6
YcWBGyDP5lTWdlDdG+2QoJcRgV6qhPmi+0k2w5RjCUZhFW3XcdpZPE1wvnK6gEMra9TpKNxF
ir+SJg3JT/mOdQvM62</vt:lpwstr>
  </property>
  <property fmtid="{D5CDD505-2E9C-101B-9397-08002B2CF9AE}" pid="13" name="_2015_ms_pID_725343_00">
    <vt:lpwstr>_2015_ms_pID_725343</vt:lpwstr>
  </property>
  <property fmtid="{D5CDD505-2E9C-101B-9397-08002B2CF9AE}" pid="14" name="_2015_ms_pID_7253431">
    <vt:lpwstr>m9bO4UCwohfihchCWyUtZMqLbE26F0IPx7eqN76v/bdRK7zjwq3LWl
DYk+IRG1vzpOUlkMam4X6xcXF4T0BeWNlce6qj5FQrP7Ku3OV/WSRUUwwHuGsjofNbQXBWIC
itpmKaDIk8nyPCE1vHishys9IRWuUaIchYUwnyReH8JfWuZHeq7yk5tB0WCJpYqlDa18UTWM
2Q402f1bFy70MsvG6j4LcwuvFZarfem3cw0e</vt:lpwstr>
  </property>
  <property fmtid="{D5CDD505-2E9C-101B-9397-08002B2CF9AE}" pid="15" name="_2015_ms_pID_7253431_00">
    <vt:lpwstr>_2015_ms_pID_7253431</vt:lpwstr>
  </property>
  <property fmtid="{D5CDD505-2E9C-101B-9397-08002B2CF9AE}" pid="16" name="_2015_ms_pID_7253432">
    <vt:lpwstr>CdSw9TZk7Ue4JUK9DCX0PDmA4EFSXA2WrMDh
JIgeT1pNuqsiHQt6U4ONmiPALrAorg==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1540945641</vt:lpwstr>
  </property>
</Properties>
</file>