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47114" w14:textId="645EB6B8" w:rsidR="00E12640" w:rsidRPr="004560F5" w:rsidRDefault="008744C8" w:rsidP="00E12640">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008E5D6A">
        <w:rPr>
          <w:rFonts w:ascii="Arial" w:hAnsi="Arial" w:cs="Arial"/>
          <w:b/>
          <w:sz w:val="24"/>
          <w:lang w:val="en-US"/>
        </w:rPr>
        <w:t xml:space="preserve">     </w:t>
      </w:r>
      <w:r w:rsidR="00623F89">
        <w:rPr>
          <w:rFonts w:ascii="Arial" w:hAnsi="Arial" w:cs="Arial"/>
          <w:b/>
          <w:sz w:val="24"/>
          <w:lang w:val="en-US"/>
        </w:rPr>
        <w:t xml:space="preserve">  </w:t>
      </w:r>
      <w:r w:rsidR="00E12640" w:rsidRPr="004560F5">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E12640">
        <w:rPr>
          <w:rFonts w:ascii="Arial" w:hAnsi="Arial" w:cs="Arial"/>
          <w:b/>
          <w:sz w:val="24"/>
          <w:lang w:val="en-US"/>
        </w:rPr>
        <w:tab/>
      </w:r>
      <w:r w:rsidR="008E5D6A" w:rsidRPr="008E5D6A">
        <w:rPr>
          <w:rFonts w:ascii="Arial" w:hAnsi="Arial" w:cs="Arial"/>
          <w:b/>
          <w:sz w:val="24"/>
          <w:lang w:val="en-US"/>
        </w:rPr>
        <w:t>R1-</w:t>
      </w:r>
      <w:r w:rsidRPr="008744C8">
        <w:rPr>
          <w:rFonts w:ascii="Arial" w:hAnsi="Arial" w:cs="Arial"/>
          <w:b/>
          <w:sz w:val="24"/>
          <w:lang w:val="en-US"/>
        </w:rPr>
        <w:t>1812452</w:t>
      </w:r>
    </w:p>
    <w:p w14:paraId="7D81A44C" w14:textId="77777777" w:rsidR="008744C8" w:rsidRDefault="008744C8" w:rsidP="008744C8">
      <w:pPr>
        <w:tabs>
          <w:tab w:val="left" w:pos="1985"/>
        </w:tabs>
        <w:spacing w:after="0"/>
        <w:jc w:val="both"/>
        <w:rPr>
          <w:rFonts w:ascii="Arial" w:hAnsi="Arial" w:cs="Arial"/>
          <w:b/>
          <w:sz w:val="24"/>
          <w:lang w:val="en-US"/>
        </w:rPr>
      </w:pPr>
      <w:r w:rsidRPr="00D337DE">
        <w:rPr>
          <w:rFonts w:ascii="Arial" w:hAnsi="Arial" w:cs="Arial"/>
          <w:b/>
          <w:sz w:val="24"/>
          <w:lang w:val="en-US"/>
        </w:rPr>
        <w:t>Spokane, USA, November 12th – 16th, 2018</w:t>
      </w:r>
    </w:p>
    <w:p w14:paraId="07418DAF" w14:textId="77777777" w:rsidR="00E12640" w:rsidRPr="004560F5" w:rsidRDefault="00E12640" w:rsidP="00E12640">
      <w:pPr>
        <w:tabs>
          <w:tab w:val="left" w:pos="1985"/>
        </w:tabs>
        <w:spacing w:after="0"/>
        <w:jc w:val="both"/>
        <w:rPr>
          <w:rFonts w:ascii="Arial" w:hAnsi="Arial" w:cs="Arial"/>
          <w:b/>
          <w:sz w:val="24"/>
        </w:rPr>
      </w:pPr>
    </w:p>
    <w:p w14:paraId="78E51EEE" w14:textId="77777777" w:rsidR="00E12640" w:rsidRPr="00E95DAE" w:rsidRDefault="00E12640" w:rsidP="00E12640">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08E07EAF" w14:textId="33CF159B" w:rsidR="00E12640" w:rsidRDefault="00E12640" w:rsidP="00E1264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Additional SRS symbols</w:t>
      </w:r>
    </w:p>
    <w:p w14:paraId="2768BA8B" w14:textId="441E0AD1" w:rsidR="00E12640" w:rsidRPr="0081575D" w:rsidRDefault="00E12640" w:rsidP="00E12640">
      <w:pPr>
        <w:spacing w:after="0"/>
        <w:ind w:left="1983" w:hangingChars="823" w:hanging="1983"/>
        <w:jc w:val="both"/>
        <w:rPr>
          <w:rFonts w:ascii="Arial" w:hAnsi="Arial" w:cs="Arial"/>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00F42816" w:rsidRPr="00F42816">
        <w:rPr>
          <w:rFonts w:ascii="Arial" w:hAnsi="Arial" w:cs="Arial"/>
          <w:b/>
          <w:sz w:val="24"/>
          <w:lang w:val="en-US"/>
        </w:rPr>
        <w:t>6.2.3.1.1</w:t>
      </w:r>
    </w:p>
    <w:p w14:paraId="77C93E75" w14:textId="77777777" w:rsidR="00E12640" w:rsidRPr="00E95DAE" w:rsidRDefault="00E12640" w:rsidP="00E12640">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4E2C172D" w14:textId="63C2B12F" w:rsidR="007562AA" w:rsidRDefault="00AC49B9" w:rsidP="004875B9">
      <w:pPr>
        <w:ind w:firstLine="284"/>
        <w:jc w:val="both"/>
        <w:rPr>
          <w:sz w:val="22"/>
          <w:szCs w:val="22"/>
        </w:rPr>
      </w:pPr>
      <w:r>
        <w:rPr>
          <w:sz w:val="22"/>
          <w:szCs w:val="22"/>
        </w:rPr>
        <w:t xml:space="preserve">In </w:t>
      </w:r>
      <w:r w:rsidRPr="00500CF5">
        <w:rPr>
          <w:sz w:val="22"/>
          <w:szCs w:val="22"/>
          <w:lang w:eastAsia="zh-CN"/>
        </w:rPr>
        <w:t>RAN</w:t>
      </w:r>
      <w:r>
        <w:rPr>
          <w:sz w:val="22"/>
          <w:szCs w:val="22"/>
          <w:lang w:eastAsia="zh-CN"/>
        </w:rPr>
        <w:t>1</w:t>
      </w:r>
      <w:r w:rsidRPr="00500CF5">
        <w:rPr>
          <w:sz w:val="22"/>
          <w:szCs w:val="22"/>
          <w:lang w:eastAsia="zh-CN"/>
        </w:rPr>
        <w:t xml:space="preserve"> Meeting #</w:t>
      </w:r>
      <w:r>
        <w:rPr>
          <w:sz w:val="22"/>
          <w:szCs w:val="22"/>
          <w:lang w:eastAsia="zh-CN"/>
        </w:rPr>
        <w:t xml:space="preserve">94b [1], we made following agreements regarding </w:t>
      </w:r>
      <w:r>
        <w:rPr>
          <w:sz w:val="22"/>
          <w:szCs w:val="22"/>
        </w:rPr>
        <w:t>SRS enhancement for increased capacity and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302F7" w:rsidRPr="00BA67C5" w14:paraId="7F8CCB24" w14:textId="77777777" w:rsidTr="00A56B4E">
        <w:tc>
          <w:tcPr>
            <w:tcW w:w="9962" w:type="dxa"/>
            <w:shd w:val="clear" w:color="auto" w:fill="auto"/>
          </w:tcPr>
          <w:p w14:paraId="7E05C95E" w14:textId="24B50D37" w:rsidR="00A302F7" w:rsidRPr="00B8258A" w:rsidRDefault="00A302F7" w:rsidP="008C53FC">
            <w:pPr>
              <w:overflowPunct/>
              <w:autoSpaceDE/>
              <w:autoSpaceDN/>
              <w:adjustRightInd/>
              <w:spacing w:after="0"/>
              <w:ind w:left="1440"/>
              <w:textAlignment w:val="auto"/>
              <w:rPr>
                <w:rFonts w:eastAsia="MS Mincho"/>
                <w:sz w:val="18"/>
                <w:szCs w:val="18"/>
                <w:lang w:val="en-US" w:eastAsia="ja-JP"/>
              </w:rPr>
            </w:pPr>
          </w:p>
          <w:p w14:paraId="56ED26A8" w14:textId="77777777" w:rsidR="008744C8" w:rsidRPr="008744C8" w:rsidRDefault="008744C8" w:rsidP="008744C8">
            <w:pPr>
              <w:contextualSpacing/>
              <w:jc w:val="both"/>
              <w:rPr>
                <w:rFonts w:eastAsia="MS Mincho"/>
                <w:lang w:eastAsia="ja-JP"/>
              </w:rPr>
            </w:pPr>
            <w:r w:rsidRPr="008744C8">
              <w:rPr>
                <w:rFonts w:eastAsia="MS Mincho"/>
                <w:highlight w:val="green"/>
                <w:lang w:eastAsia="ja-JP"/>
              </w:rPr>
              <w:t>Agreement</w:t>
            </w:r>
          </w:p>
          <w:p w14:paraId="62F0F0E4" w14:textId="77777777" w:rsidR="008744C8" w:rsidRPr="008744C8" w:rsidRDefault="008744C8" w:rsidP="008744C8">
            <w:pPr>
              <w:contextualSpacing/>
              <w:jc w:val="both"/>
              <w:rPr>
                <w:rFonts w:eastAsia="MS Mincho"/>
                <w:lang w:eastAsia="ja-JP"/>
              </w:rPr>
            </w:pPr>
            <w:r w:rsidRPr="008744C8">
              <w:rPr>
                <w:rFonts w:eastAsia="MS Mincho"/>
                <w:lang w:eastAsia="ja-JP"/>
              </w:rPr>
              <w:t>Aperiodic SRS transmission for additional SRS symbol(s) is supported. FFS on periodic SRS transmission for additional SRS symbol(s).</w:t>
            </w:r>
          </w:p>
          <w:p w14:paraId="50565051" w14:textId="77777777" w:rsidR="008744C8" w:rsidRPr="008744C8" w:rsidRDefault="008744C8" w:rsidP="008744C8">
            <w:pPr>
              <w:contextualSpacing/>
              <w:jc w:val="both"/>
              <w:rPr>
                <w:rFonts w:eastAsia="MS Mincho"/>
                <w:lang w:eastAsia="ja-JP"/>
              </w:rPr>
            </w:pPr>
          </w:p>
          <w:p w14:paraId="1A540613" w14:textId="77777777" w:rsidR="008744C8" w:rsidRPr="008744C8" w:rsidRDefault="008744C8" w:rsidP="008744C8">
            <w:pPr>
              <w:contextualSpacing/>
              <w:jc w:val="both"/>
              <w:rPr>
                <w:rFonts w:eastAsia="MS Mincho"/>
                <w:lang w:eastAsia="ja-JP"/>
              </w:rPr>
            </w:pPr>
            <w:r w:rsidRPr="008744C8">
              <w:rPr>
                <w:rFonts w:eastAsia="MS Mincho"/>
                <w:highlight w:val="green"/>
                <w:lang w:eastAsia="ja-JP"/>
              </w:rPr>
              <w:t>Agreement</w:t>
            </w:r>
          </w:p>
          <w:p w14:paraId="2479C7CB" w14:textId="77777777" w:rsidR="008744C8" w:rsidRPr="008744C8" w:rsidRDefault="008744C8" w:rsidP="008744C8">
            <w:pPr>
              <w:contextualSpacing/>
              <w:jc w:val="both"/>
              <w:rPr>
                <w:rFonts w:eastAsia="MS Mincho"/>
                <w:lang w:eastAsia="ja-JP"/>
              </w:rPr>
            </w:pPr>
            <w:r w:rsidRPr="008744C8">
              <w:rPr>
                <w:rFonts w:eastAsia="MS Mincho"/>
                <w:lang w:eastAsia="ja-JP"/>
              </w:rPr>
              <w:t>The time location of possible additional SRS symbols in one normal UL subframe for a cell is down-selected from following options (down-selection to be made in RAN1#95):</w:t>
            </w:r>
          </w:p>
          <w:p w14:paraId="6EF275C2" w14:textId="77777777" w:rsidR="008744C8" w:rsidRPr="008744C8" w:rsidRDefault="008744C8" w:rsidP="008744C8">
            <w:pPr>
              <w:contextualSpacing/>
              <w:jc w:val="both"/>
              <w:rPr>
                <w:rFonts w:eastAsia="MS Mincho"/>
                <w:lang w:eastAsia="ja-JP"/>
              </w:rPr>
            </w:pPr>
            <w:r w:rsidRPr="008744C8">
              <w:rPr>
                <w:rFonts w:eastAsia="MS Mincho"/>
                <w:lang w:eastAsia="ja-JP"/>
              </w:rPr>
              <w:t>-   Option 1: All symbols in only one slot of one subframe can be used for SRS from cell perspective</w:t>
            </w:r>
          </w:p>
          <w:p w14:paraId="669C8A76" w14:textId="77777777" w:rsidR="008744C8" w:rsidRPr="008744C8" w:rsidRDefault="008744C8" w:rsidP="008744C8">
            <w:pPr>
              <w:contextualSpacing/>
              <w:jc w:val="both"/>
              <w:rPr>
                <w:rFonts w:eastAsia="MS Mincho"/>
                <w:lang w:eastAsia="ja-JP"/>
              </w:rPr>
            </w:pPr>
            <w:r w:rsidRPr="008744C8">
              <w:rPr>
                <w:rFonts w:eastAsia="MS Mincho"/>
                <w:lang w:eastAsia="ja-JP"/>
              </w:rPr>
              <w:t xml:space="preserve">-   Option 2: All symbols in one subframe can be used for SRS from cell perspective. </w:t>
            </w:r>
          </w:p>
          <w:p w14:paraId="1E78BBCB" w14:textId="77777777" w:rsidR="008744C8" w:rsidRPr="008744C8" w:rsidRDefault="008744C8" w:rsidP="008744C8">
            <w:pPr>
              <w:contextualSpacing/>
              <w:jc w:val="both"/>
              <w:rPr>
                <w:rFonts w:eastAsia="MS Mincho"/>
                <w:lang w:eastAsia="ja-JP"/>
              </w:rPr>
            </w:pPr>
            <w:r w:rsidRPr="008744C8">
              <w:rPr>
                <w:rFonts w:eastAsia="MS Mincho"/>
                <w:lang w:eastAsia="ja-JP"/>
              </w:rPr>
              <w:t>-   FFS whether cell-specific configuration of SRS resources in slot-level granularity is required or not</w:t>
            </w:r>
          </w:p>
          <w:p w14:paraId="18C915F1" w14:textId="77777777" w:rsidR="008744C8" w:rsidRPr="008744C8" w:rsidRDefault="008744C8" w:rsidP="008744C8">
            <w:pPr>
              <w:contextualSpacing/>
              <w:jc w:val="both"/>
              <w:rPr>
                <w:rFonts w:eastAsia="MS Mincho"/>
                <w:lang w:eastAsia="ja-JP"/>
              </w:rPr>
            </w:pPr>
          </w:p>
          <w:p w14:paraId="755B850E" w14:textId="77777777" w:rsidR="008744C8" w:rsidRPr="008744C8" w:rsidRDefault="008744C8" w:rsidP="008744C8">
            <w:pPr>
              <w:contextualSpacing/>
              <w:jc w:val="both"/>
              <w:rPr>
                <w:rFonts w:eastAsia="MS Mincho"/>
                <w:lang w:eastAsia="ja-JP"/>
              </w:rPr>
            </w:pPr>
            <w:r w:rsidRPr="008744C8">
              <w:rPr>
                <w:rFonts w:eastAsia="MS Mincho"/>
                <w:highlight w:val="green"/>
                <w:lang w:eastAsia="ja-JP"/>
              </w:rPr>
              <w:t>Agreement</w:t>
            </w:r>
          </w:p>
          <w:p w14:paraId="530C675D" w14:textId="77777777" w:rsidR="008744C8" w:rsidRPr="008744C8" w:rsidRDefault="008744C8" w:rsidP="008744C8">
            <w:pPr>
              <w:contextualSpacing/>
              <w:jc w:val="both"/>
              <w:rPr>
                <w:rFonts w:eastAsia="MS Mincho"/>
                <w:lang w:eastAsia="ja-JP"/>
              </w:rPr>
            </w:pPr>
            <w:r w:rsidRPr="008744C8">
              <w:rPr>
                <w:rFonts w:eastAsia="MS Mincho"/>
                <w:lang w:eastAsia="ja-JP"/>
              </w:rPr>
              <w:t>For a UE configured with additional SRS symbols within one UL subframe, the SRS transmission is down-selected from following options</w:t>
            </w:r>
          </w:p>
          <w:p w14:paraId="1DE64F9A" w14:textId="77777777" w:rsidR="008744C8" w:rsidRPr="008744C8" w:rsidRDefault="008744C8" w:rsidP="008744C8">
            <w:pPr>
              <w:contextualSpacing/>
              <w:jc w:val="both"/>
              <w:rPr>
                <w:rFonts w:eastAsia="MS Mincho"/>
                <w:lang w:eastAsia="ja-JP"/>
              </w:rPr>
            </w:pPr>
            <w:r w:rsidRPr="008744C8">
              <w:rPr>
                <w:rFonts w:eastAsia="MS Mincho"/>
                <w:lang w:eastAsia="ja-JP"/>
              </w:rPr>
              <w:t>-   Option 1: Frequency hopping within one UL subframe is supported.</w:t>
            </w:r>
          </w:p>
          <w:p w14:paraId="2788813E" w14:textId="77777777" w:rsidR="008744C8" w:rsidRPr="008744C8" w:rsidRDefault="008744C8" w:rsidP="008744C8">
            <w:pPr>
              <w:contextualSpacing/>
              <w:jc w:val="both"/>
              <w:rPr>
                <w:rFonts w:eastAsia="MS Mincho"/>
                <w:lang w:eastAsia="ja-JP"/>
              </w:rPr>
            </w:pPr>
            <w:r w:rsidRPr="008744C8">
              <w:rPr>
                <w:rFonts w:eastAsia="MS Mincho"/>
                <w:lang w:eastAsia="ja-JP"/>
              </w:rPr>
              <w:t>-   Option 2: Repetition within one UL subframe is supported</w:t>
            </w:r>
          </w:p>
          <w:p w14:paraId="3AD2E723" w14:textId="77777777" w:rsidR="008744C8" w:rsidRPr="008744C8" w:rsidRDefault="008744C8" w:rsidP="008744C8">
            <w:pPr>
              <w:contextualSpacing/>
              <w:jc w:val="both"/>
              <w:rPr>
                <w:rFonts w:eastAsia="MS Mincho"/>
                <w:lang w:eastAsia="ja-JP"/>
              </w:rPr>
            </w:pPr>
            <w:r w:rsidRPr="008744C8">
              <w:rPr>
                <w:rFonts w:eastAsia="MS Mincho"/>
                <w:lang w:eastAsia="ja-JP"/>
              </w:rPr>
              <w:t>-   Option 3: Both frequency hopping and repetition within one UL subframe is supported.</w:t>
            </w:r>
          </w:p>
          <w:p w14:paraId="3AFC63C8" w14:textId="47FA0BB9" w:rsidR="00A302F7" w:rsidRPr="008744C8" w:rsidRDefault="008744C8" w:rsidP="008744C8">
            <w:pPr>
              <w:contextualSpacing/>
              <w:jc w:val="both"/>
              <w:rPr>
                <w:rFonts w:eastAsia="MS Mincho"/>
                <w:lang w:eastAsia="ja-JP"/>
              </w:rPr>
            </w:pPr>
            <w:r w:rsidRPr="008744C8">
              <w:rPr>
                <w:rFonts w:eastAsia="MS Mincho"/>
                <w:lang w:eastAsia="ja-JP"/>
              </w:rPr>
              <w:t>-   FFS the maximum number of SRS symbol within one subframe/slot that can be allocated to a UE.</w:t>
            </w:r>
          </w:p>
        </w:tc>
      </w:tr>
    </w:tbl>
    <w:p w14:paraId="186120B9" w14:textId="0D5B6FB2" w:rsidR="001F2591" w:rsidRPr="00235D19" w:rsidRDefault="00500CF5" w:rsidP="0021629D">
      <w:pPr>
        <w:spacing w:before="240"/>
        <w:ind w:firstLine="288"/>
        <w:jc w:val="both"/>
        <w:rPr>
          <w:b/>
        </w:rPr>
      </w:pPr>
      <w:r>
        <w:rPr>
          <w:sz w:val="22"/>
          <w:szCs w:val="22"/>
        </w:rPr>
        <w:t xml:space="preserve">In this </w:t>
      </w:r>
      <w:r w:rsidR="002B50A4" w:rsidRPr="0020001D">
        <w:rPr>
          <w:sz w:val="22"/>
          <w:szCs w:val="22"/>
        </w:rPr>
        <w:t>contribution we provide</w:t>
      </w:r>
      <w:r w:rsidR="002B50A4">
        <w:rPr>
          <w:sz w:val="22"/>
          <w:szCs w:val="22"/>
        </w:rPr>
        <w:t xml:space="preserve"> </w:t>
      </w:r>
      <w:r w:rsidR="00623F89">
        <w:rPr>
          <w:sz w:val="22"/>
          <w:szCs w:val="22"/>
        </w:rPr>
        <w:t xml:space="preserve">design </w:t>
      </w:r>
      <w:r w:rsidR="0073548B">
        <w:rPr>
          <w:sz w:val="22"/>
          <w:szCs w:val="22"/>
        </w:rPr>
        <w:t xml:space="preserve">details </w:t>
      </w:r>
      <w:r w:rsidR="006C3B16">
        <w:rPr>
          <w:sz w:val="22"/>
          <w:szCs w:val="22"/>
        </w:rPr>
        <w:t xml:space="preserve">for supporting </w:t>
      </w:r>
      <w:r>
        <w:rPr>
          <w:sz w:val="22"/>
          <w:szCs w:val="22"/>
        </w:rPr>
        <w:t xml:space="preserve">enhanced </w:t>
      </w:r>
      <w:r w:rsidR="0073548B">
        <w:rPr>
          <w:sz w:val="22"/>
          <w:szCs w:val="22"/>
        </w:rPr>
        <w:t xml:space="preserve">multi-symbol </w:t>
      </w:r>
      <w:r>
        <w:rPr>
          <w:sz w:val="22"/>
          <w:szCs w:val="22"/>
        </w:rPr>
        <w:t xml:space="preserve">SRS </w:t>
      </w:r>
      <w:r w:rsidR="006C3B16">
        <w:rPr>
          <w:sz w:val="22"/>
          <w:szCs w:val="22"/>
        </w:rPr>
        <w:t xml:space="preserve">resource </w:t>
      </w:r>
      <w:r>
        <w:rPr>
          <w:sz w:val="22"/>
          <w:szCs w:val="22"/>
        </w:rPr>
        <w:t xml:space="preserve">with more than one symbol in a normal UL sub-frame. </w:t>
      </w:r>
    </w:p>
    <w:p w14:paraId="0546DC63" w14:textId="511C5D66" w:rsidR="003F5E34" w:rsidRDefault="00267391" w:rsidP="00804EBE">
      <w:pPr>
        <w:pStyle w:val="Heading1"/>
        <w:numPr>
          <w:ilvl w:val="0"/>
          <w:numId w:val="4"/>
        </w:numPr>
        <w:pBdr>
          <w:top w:val="single" w:sz="12" w:space="4" w:color="auto"/>
        </w:pBdr>
        <w:rPr>
          <w:rFonts w:cs="Arial"/>
          <w:lang w:val="en-US"/>
        </w:rPr>
      </w:pPr>
      <w:r>
        <w:rPr>
          <w:rFonts w:cs="Arial"/>
          <w:lang w:val="en-US"/>
        </w:rPr>
        <w:t xml:space="preserve">Multi-symbol </w:t>
      </w:r>
      <w:r w:rsidR="00500CF5">
        <w:rPr>
          <w:rFonts w:cs="Arial"/>
          <w:lang w:val="en-US"/>
        </w:rPr>
        <w:t>S</w:t>
      </w:r>
      <w:r w:rsidR="002125A2">
        <w:rPr>
          <w:rFonts w:cs="Arial"/>
          <w:lang w:val="en-US"/>
        </w:rPr>
        <w:t>RS</w:t>
      </w:r>
      <w:r w:rsidR="00500CF5">
        <w:rPr>
          <w:rFonts w:cs="Arial"/>
          <w:lang w:val="en-US"/>
        </w:rPr>
        <w:t xml:space="preserve"> </w:t>
      </w:r>
      <w:r>
        <w:rPr>
          <w:rFonts w:cs="Arial"/>
          <w:lang w:val="en-US"/>
        </w:rPr>
        <w:t xml:space="preserve">enhancement for </w:t>
      </w:r>
      <w:r w:rsidR="00500CF5">
        <w:rPr>
          <w:rFonts w:cs="Arial"/>
          <w:lang w:val="en-US"/>
        </w:rPr>
        <w:t>coverage and capacity</w:t>
      </w:r>
    </w:p>
    <w:p w14:paraId="56924CD3" w14:textId="77662232" w:rsidR="003F7886" w:rsidRDefault="003F7886" w:rsidP="00500CF5">
      <w:r>
        <w:rPr>
          <w:color w:val="000000"/>
          <w:lang w:eastAsia="ko-KR"/>
        </w:rPr>
        <w:t>Increased n</w:t>
      </w:r>
      <w:r w:rsidR="00ED2074">
        <w:rPr>
          <w:color w:val="000000"/>
          <w:lang w:eastAsia="ko-KR"/>
        </w:rPr>
        <w:t xml:space="preserve">umber of </w:t>
      </w:r>
      <w:r>
        <w:rPr>
          <w:color w:val="000000"/>
          <w:lang w:eastAsia="ko-KR"/>
        </w:rPr>
        <w:t xml:space="preserve">symbols in a </w:t>
      </w:r>
      <w:r w:rsidR="00ED2074">
        <w:rPr>
          <w:color w:val="000000"/>
          <w:lang w:eastAsia="ko-KR"/>
        </w:rPr>
        <w:t xml:space="preserve">SRS </w:t>
      </w:r>
      <w:r>
        <w:rPr>
          <w:color w:val="000000"/>
          <w:lang w:eastAsia="ko-KR"/>
        </w:rPr>
        <w:t>resource supports feat</w:t>
      </w:r>
      <w:r w:rsidR="00ED2074">
        <w:rPr>
          <w:color w:val="000000"/>
          <w:lang w:eastAsia="ko-KR"/>
        </w:rPr>
        <w:t xml:space="preserve">ure such as </w:t>
      </w:r>
      <w:r w:rsidR="00323544">
        <w:rPr>
          <w:color w:val="000000"/>
          <w:lang w:eastAsia="ko-KR"/>
        </w:rPr>
        <w:t xml:space="preserve">intra-slot frequency hopping, </w:t>
      </w:r>
      <w:r w:rsidR="00ED2074">
        <w:rPr>
          <w:color w:val="000000"/>
          <w:lang w:eastAsia="ko-KR"/>
        </w:rPr>
        <w:t xml:space="preserve">repeated transmission of </w:t>
      </w:r>
      <w:r>
        <w:rPr>
          <w:color w:val="000000"/>
          <w:lang w:eastAsia="ko-KR"/>
        </w:rPr>
        <w:t>RS</w:t>
      </w:r>
      <w:r w:rsidR="00ED2074">
        <w:rPr>
          <w:color w:val="000000"/>
          <w:lang w:eastAsia="ko-KR"/>
        </w:rPr>
        <w:t xml:space="preserve"> that can enhance coverage via </w:t>
      </w:r>
      <w:r w:rsidR="00323544">
        <w:rPr>
          <w:color w:val="000000"/>
          <w:lang w:eastAsia="ko-KR"/>
        </w:rPr>
        <w:t xml:space="preserve">power boosting and </w:t>
      </w:r>
      <w:r w:rsidR="00ED2074">
        <w:rPr>
          <w:color w:val="000000"/>
          <w:lang w:eastAsia="ko-KR"/>
        </w:rPr>
        <w:t>aggregation of the received symbols</w:t>
      </w:r>
      <w:r w:rsidR="00323544">
        <w:rPr>
          <w:color w:val="000000"/>
          <w:lang w:eastAsia="ko-KR"/>
        </w:rPr>
        <w:t xml:space="preserve"> respectively</w:t>
      </w:r>
      <w:r w:rsidR="00ED2074">
        <w:rPr>
          <w:color w:val="000000"/>
          <w:lang w:eastAsia="ko-KR"/>
        </w:rPr>
        <w:t xml:space="preserve">. </w:t>
      </w:r>
      <w:r w:rsidR="00891E80">
        <w:rPr>
          <w:color w:val="000000"/>
          <w:lang w:eastAsia="ko-KR"/>
        </w:rPr>
        <w:t xml:space="preserve">Further, supporting enhanced (more than one symbol resource) SRS resource in a normal subframe that unlike `special subframes’ does not have scheduling restrictions, increases the SRS opportunity thus increasing the </w:t>
      </w:r>
      <w:r w:rsidR="00891E80" w:rsidRPr="003F7886">
        <w:t>number of supportable UEs that require SRS coverage enhancement</w:t>
      </w:r>
      <w:r w:rsidR="00891E80">
        <w:t>.</w:t>
      </w:r>
    </w:p>
    <w:p w14:paraId="168B51E7" w14:textId="52A5F111" w:rsidR="0082073E" w:rsidRDefault="001F0800" w:rsidP="0082073E">
      <w:pPr>
        <w:pStyle w:val="Heading2"/>
      </w:pPr>
      <w:r>
        <w:t>2</w:t>
      </w:r>
      <w:r w:rsidR="0082073E">
        <w:t>.1</w:t>
      </w:r>
      <w:r w:rsidR="0082073E" w:rsidRPr="00283E02">
        <w:t xml:space="preserve"> </w:t>
      </w:r>
      <w:r w:rsidR="005D2BD3">
        <w:t>Frequency hopping and or repetition</w:t>
      </w:r>
    </w:p>
    <w:p w14:paraId="7649D0FD" w14:textId="4C05F248" w:rsidR="005D2BD3" w:rsidRDefault="005D2BD3" w:rsidP="00891E80">
      <w:r>
        <w:t xml:space="preserve">In #94b [1], there was discussion if a UE configured with additional SRS symbols within one UL subframe should support </w:t>
      </w:r>
    </w:p>
    <w:p w14:paraId="738D5053" w14:textId="77777777" w:rsidR="005D2BD3" w:rsidRDefault="005D2BD3" w:rsidP="005D2BD3">
      <w:r>
        <w:t>-   Option 1: Frequency hopping within one UL subframe is supported.</w:t>
      </w:r>
    </w:p>
    <w:p w14:paraId="0F4F7678" w14:textId="77777777" w:rsidR="005D2BD3" w:rsidRDefault="005D2BD3" w:rsidP="005D2BD3">
      <w:r>
        <w:t>-   Option 2: Repetition within one UL subframe is supported</w:t>
      </w:r>
    </w:p>
    <w:p w14:paraId="768085E0" w14:textId="77777777" w:rsidR="005D2BD3" w:rsidRDefault="005D2BD3" w:rsidP="005D2BD3">
      <w:r>
        <w:t>-   Option 3: Both frequency hopping and repetition within one UL subframe is supported.</w:t>
      </w:r>
    </w:p>
    <w:p w14:paraId="1B2C9C02" w14:textId="058D1196" w:rsidR="005D2BD3" w:rsidRDefault="005D2BD3" w:rsidP="005D2BD3">
      <w:r>
        <w:lastRenderedPageBreak/>
        <w:t xml:space="preserve">Although narrow band frequency hopping with power boosting can be used for coverage enhancement, it does not cover all use cases. For instance, a cell edge UE that is coverage limited despite power boosting, can achieve increased coverage with repetition. Hence we propose to use both </w:t>
      </w:r>
      <w:r w:rsidR="004C4193">
        <w:t>frequency hopping and repetition within one UL subframe</w:t>
      </w:r>
      <w:r>
        <w:t xml:space="preserve">. </w:t>
      </w:r>
    </w:p>
    <w:p w14:paraId="3D372E87" w14:textId="679A085E" w:rsidR="004C4193" w:rsidRPr="00787382" w:rsidRDefault="004C4193" w:rsidP="004C4193">
      <w:pPr>
        <w:rPr>
          <w:b/>
          <w:i/>
        </w:rPr>
      </w:pPr>
      <w:r w:rsidRPr="00787382">
        <w:rPr>
          <w:b/>
          <w:i/>
        </w:rPr>
        <w:t>Proposal 1: For a UE configured with additional SRS symbols within one UL subframe, the SRS transmission supports both frequency hopping and repetition within one UL subframe.</w:t>
      </w:r>
    </w:p>
    <w:p w14:paraId="0FE860E4" w14:textId="7FEF75A0" w:rsidR="004C4193" w:rsidRPr="00787382" w:rsidRDefault="004C4193" w:rsidP="004C4193">
      <w:pPr>
        <w:rPr>
          <w:b/>
          <w:i/>
        </w:rPr>
      </w:pPr>
      <w:r w:rsidRPr="00787382">
        <w:rPr>
          <w:b/>
          <w:i/>
        </w:rPr>
        <w:t>Proposal 2: The maximum number of SRS symbol within one subframe/slot that can be allocated to a UE is 7.</w:t>
      </w:r>
    </w:p>
    <w:p w14:paraId="056C0F38" w14:textId="7DC52C81" w:rsidR="002E66FC" w:rsidRDefault="002E66FC" w:rsidP="002E66FC">
      <w:pPr>
        <w:pStyle w:val="Heading5"/>
      </w:pPr>
      <w:r>
        <w:t>2.1.1</w:t>
      </w:r>
      <w:r w:rsidRPr="00283E02">
        <w:t xml:space="preserve"> </w:t>
      </w:r>
      <w:r>
        <w:t>Dedicated SRS subframe</w:t>
      </w:r>
    </w:p>
    <w:p w14:paraId="7C2FE65F" w14:textId="718F04B4" w:rsidR="002E66FC" w:rsidRDefault="002E66FC" w:rsidP="002E66FC">
      <w:r>
        <w:t xml:space="preserve">One of the main issues of excluding PUSCH enhancement from scope of work item is that if any UE is scheduled for data in an UL subframe it only performs rate matching on the last symbol </w:t>
      </w:r>
      <w:r w:rsidR="00A56327">
        <w:t>of</w:t>
      </w:r>
      <w:r>
        <w:t xml:space="preserve"> an SRS subframe. This limits the possibility of including any </w:t>
      </w:r>
      <w:r w:rsidRPr="00A56327">
        <w:rPr>
          <w:i/>
        </w:rPr>
        <w:t>data symbols</w:t>
      </w:r>
      <w:r>
        <w:t xml:space="preserve"> in the subframe for SRS enhancement. The other possible option is to use the DMRS symbols for</w:t>
      </w:r>
      <w:r w:rsidR="006C3B16">
        <w:t xml:space="preserve"> multiplexing </w:t>
      </w:r>
      <w:r>
        <w:t xml:space="preserve">SRS. However, considering that the main motivation for increasing the number of SRS symbols in a resource is to support aggregation of received signal via repetition in transmission, it is desirable that SRS symbols in a resource are adjacent. Hence, we propose using a subframe solely for SRS transmission, i.e., no PUSCH in enhanced SRS subframes. This does not impact Rel-15 </w:t>
      </w:r>
      <w:r w:rsidR="00911AA2">
        <w:t xml:space="preserve">legacy </w:t>
      </w:r>
      <w:r>
        <w:t xml:space="preserve">UE’s as they are not scheduled and the modification is transparent to their functioning. </w:t>
      </w:r>
    </w:p>
    <w:p w14:paraId="2A48A654" w14:textId="5EB6E34C" w:rsidR="002E66FC" w:rsidRDefault="002E66FC" w:rsidP="002E66FC">
      <w:pPr>
        <w:pStyle w:val="Heading5"/>
      </w:pPr>
      <w:r>
        <w:t>2.1.</w:t>
      </w:r>
      <w:r w:rsidR="00267391">
        <w:t>2</w:t>
      </w:r>
      <w:r w:rsidRPr="00283E02">
        <w:t xml:space="preserve"> </w:t>
      </w:r>
      <w:r>
        <w:t xml:space="preserve">Sub-slot based SRS </w:t>
      </w:r>
    </w:p>
    <w:p w14:paraId="37EE0CB6" w14:textId="54BB4D5B" w:rsidR="002B516F" w:rsidRDefault="002B516F" w:rsidP="002B516F">
      <w:r>
        <w:t>Dedicated SRS sub-frames do solve the SRS coverage and capacity enhancement issue but are not most effi</w:t>
      </w:r>
      <w:r w:rsidR="00A56327">
        <w:t xml:space="preserve">cient solution for the purpose. </w:t>
      </w:r>
      <w:r>
        <w:t xml:space="preserve">Another alternative in a network that supports short TTI based sub-slot frame structure is to use dedicated sub-slots for SRS. For instance, </w:t>
      </w:r>
      <w:r w:rsidR="00DB5C87">
        <w:t xml:space="preserve">in LTE Rel-15 </w:t>
      </w:r>
      <w:r w:rsidR="0084163A">
        <w:t>[2</w:t>
      </w:r>
      <w:r>
        <w:t>], we have the following subslot configuration for frame structure type-1 used for FDD. For FDD, 10 subframes, 20 slots, or up to 60 subslots are available for uplink transmissions in each 10 ms interval.</w:t>
      </w:r>
    </w:p>
    <w:p w14:paraId="426A627B" w14:textId="77777777" w:rsidR="002B516F" w:rsidRDefault="002B516F" w:rsidP="002B516F"/>
    <w:p w14:paraId="5FEE6E1E" w14:textId="77777777" w:rsidR="002B516F" w:rsidRDefault="002B516F" w:rsidP="002B516F">
      <w:pPr>
        <w:pStyle w:val="TH"/>
      </w:pPr>
      <w:r>
        <w:t xml:space="preserve">Table 4.1-1: SC-FDMA symbols in different subslots of subframe </w:t>
      </w:r>
      <w:r w:rsidRPr="008F62EA">
        <w:rPr>
          <w:i/>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1"/>
        <w:gridCol w:w="850"/>
        <w:gridCol w:w="851"/>
        <w:gridCol w:w="709"/>
        <w:gridCol w:w="708"/>
        <w:gridCol w:w="1134"/>
      </w:tblGrid>
      <w:tr w:rsidR="002B516F" w:rsidRPr="00627B3E" w14:paraId="5468E059" w14:textId="77777777" w:rsidTr="00A56B4E">
        <w:trPr>
          <w:jc w:val="center"/>
        </w:trPr>
        <w:tc>
          <w:tcPr>
            <w:tcW w:w="2552" w:type="dxa"/>
            <w:tcBorders>
              <w:top w:val="single" w:sz="4" w:space="0" w:color="auto"/>
              <w:left w:val="single" w:sz="4" w:space="0" w:color="auto"/>
            </w:tcBorders>
            <w:shd w:val="clear" w:color="auto" w:fill="auto"/>
          </w:tcPr>
          <w:p w14:paraId="59036763" w14:textId="77777777" w:rsidR="002B516F" w:rsidRPr="008F62EA" w:rsidRDefault="002B516F" w:rsidP="00A56B4E">
            <w:pPr>
              <w:pStyle w:val="TAH"/>
            </w:pPr>
            <w:r>
              <w:t>Subslot number</w:t>
            </w:r>
          </w:p>
        </w:tc>
        <w:tc>
          <w:tcPr>
            <w:tcW w:w="851" w:type="dxa"/>
            <w:tcBorders>
              <w:top w:val="single" w:sz="4" w:space="0" w:color="auto"/>
            </w:tcBorders>
            <w:shd w:val="clear" w:color="auto" w:fill="auto"/>
          </w:tcPr>
          <w:p w14:paraId="72A22FC8" w14:textId="77777777" w:rsidR="002B516F" w:rsidRPr="008F62EA" w:rsidRDefault="002B516F" w:rsidP="00A56B4E">
            <w:pPr>
              <w:pStyle w:val="TAH"/>
            </w:pPr>
            <w:r>
              <w:t>0</w:t>
            </w:r>
          </w:p>
        </w:tc>
        <w:tc>
          <w:tcPr>
            <w:tcW w:w="850" w:type="dxa"/>
            <w:tcBorders>
              <w:top w:val="single" w:sz="4" w:space="0" w:color="auto"/>
            </w:tcBorders>
            <w:shd w:val="clear" w:color="auto" w:fill="auto"/>
          </w:tcPr>
          <w:p w14:paraId="530FFE4C" w14:textId="77777777" w:rsidR="002B516F" w:rsidRPr="008F62EA" w:rsidRDefault="002B516F" w:rsidP="00A56B4E">
            <w:pPr>
              <w:pStyle w:val="TAH"/>
            </w:pPr>
            <w:r>
              <w:t>1</w:t>
            </w:r>
          </w:p>
        </w:tc>
        <w:tc>
          <w:tcPr>
            <w:tcW w:w="851" w:type="dxa"/>
            <w:tcBorders>
              <w:top w:val="single" w:sz="4" w:space="0" w:color="auto"/>
            </w:tcBorders>
            <w:shd w:val="clear" w:color="auto" w:fill="auto"/>
          </w:tcPr>
          <w:p w14:paraId="279B8027" w14:textId="77777777" w:rsidR="002B516F" w:rsidRPr="008F62EA" w:rsidRDefault="002B516F" w:rsidP="00A56B4E">
            <w:pPr>
              <w:pStyle w:val="TAH"/>
            </w:pPr>
            <w:r>
              <w:t>2</w:t>
            </w:r>
          </w:p>
        </w:tc>
        <w:tc>
          <w:tcPr>
            <w:tcW w:w="709" w:type="dxa"/>
            <w:tcBorders>
              <w:top w:val="single" w:sz="4" w:space="0" w:color="auto"/>
            </w:tcBorders>
            <w:shd w:val="clear" w:color="auto" w:fill="auto"/>
          </w:tcPr>
          <w:p w14:paraId="13902A24" w14:textId="77777777" w:rsidR="002B516F" w:rsidRPr="008F62EA" w:rsidRDefault="002B516F" w:rsidP="00A56B4E">
            <w:pPr>
              <w:pStyle w:val="TAH"/>
            </w:pPr>
            <w:r>
              <w:t>3</w:t>
            </w:r>
          </w:p>
        </w:tc>
        <w:tc>
          <w:tcPr>
            <w:tcW w:w="708" w:type="dxa"/>
            <w:tcBorders>
              <w:top w:val="single" w:sz="4" w:space="0" w:color="auto"/>
            </w:tcBorders>
            <w:shd w:val="clear" w:color="auto" w:fill="auto"/>
          </w:tcPr>
          <w:p w14:paraId="1CAD75FB" w14:textId="77777777" w:rsidR="002B516F" w:rsidRPr="008F62EA" w:rsidRDefault="002B516F" w:rsidP="00A56B4E">
            <w:pPr>
              <w:pStyle w:val="TAH"/>
            </w:pPr>
            <w:r>
              <w:t>4</w:t>
            </w:r>
          </w:p>
        </w:tc>
        <w:tc>
          <w:tcPr>
            <w:tcW w:w="1134" w:type="dxa"/>
            <w:tcBorders>
              <w:top w:val="single" w:sz="4" w:space="0" w:color="auto"/>
            </w:tcBorders>
            <w:shd w:val="clear" w:color="auto" w:fill="auto"/>
          </w:tcPr>
          <w:p w14:paraId="4593DBED" w14:textId="77777777" w:rsidR="002B516F" w:rsidRPr="008F62EA" w:rsidRDefault="002B516F" w:rsidP="00A56B4E">
            <w:pPr>
              <w:pStyle w:val="TAH"/>
            </w:pPr>
            <w:r>
              <w:t>5</w:t>
            </w:r>
          </w:p>
        </w:tc>
      </w:tr>
      <w:tr w:rsidR="002B516F" w:rsidRPr="00627B3E" w14:paraId="7DC4F8A4" w14:textId="77777777" w:rsidTr="00A56B4E">
        <w:trPr>
          <w:jc w:val="center"/>
        </w:trPr>
        <w:tc>
          <w:tcPr>
            <w:tcW w:w="2552" w:type="dxa"/>
            <w:tcBorders>
              <w:top w:val="single" w:sz="4" w:space="0" w:color="auto"/>
              <w:left w:val="single" w:sz="4" w:space="0" w:color="auto"/>
            </w:tcBorders>
            <w:shd w:val="clear" w:color="auto" w:fill="auto"/>
          </w:tcPr>
          <w:p w14:paraId="56739A96" w14:textId="77777777" w:rsidR="002B516F" w:rsidRDefault="002B516F" w:rsidP="00A56B4E">
            <w:pPr>
              <w:pStyle w:val="TAH"/>
            </w:pPr>
            <w:r>
              <w:t>Slot number</w:t>
            </w:r>
          </w:p>
        </w:tc>
        <w:tc>
          <w:tcPr>
            <w:tcW w:w="2552" w:type="dxa"/>
            <w:gridSpan w:val="3"/>
            <w:tcBorders>
              <w:top w:val="single" w:sz="4" w:space="0" w:color="auto"/>
            </w:tcBorders>
            <w:shd w:val="clear" w:color="auto" w:fill="auto"/>
          </w:tcPr>
          <w:p w14:paraId="2BFE47AE" w14:textId="77777777" w:rsidR="002B516F" w:rsidRPr="008F62EA" w:rsidRDefault="002B516F" w:rsidP="00A56B4E">
            <w:pPr>
              <w:pStyle w:val="TAH"/>
              <w:rPr>
                <w:i/>
              </w:rPr>
            </w:pPr>
            <w:r w:rsidRPr="008F62EA">
              <w:rPr>
                <w:i/>
              </w:rPr>
              <w:t>2i</w:t>
            </w:r>
          </w:p>
        </w:tc>
        <w:tc>
          <w:tcPr>
            <w:tcW w:w="2551" w:type="dxa"/>
            <w:gridSpan w:val="3"/>
            <w:tcBorders>
              <w:top w:val="single" w:sz="4" w:space="0" w:color="auto"/>
            </w:tcBorders>
            <w:shd w:val="clear" w:color="auto" w:fill="auto"/>
          </w:tcPr>
          <w:p w14:paraId="5510BA39" w14:textId="77777777" w:rsidR="002B516F" w:rsidRPr="008F62EA" w:rsidRDefault="002B516F" w:rsidP="00A56B4E">
            <w:pPr>
              <w:pStyle w:val="TAH"/>
              <w:rPr>
                <w:i/>
              </w:rPr>
            </w:pPr>
            <w:r w:rsidRPr="008F62EA">
              <w:rPr>
                <w:i/>
              </w:rPr>
              <w:t>2i+1</w:t>
            </w:r>
          </w:p>
        </w:tc>
      </w:tr>
      <w:tr w:rsidR="002B516F" w:rsidRPr="00627B3E" w14:paraId="01EEAC20" w14:textId="77777777" w:rsidTr="00A56B4E">
        <w:trPr>
          <w:jc w:val="center"/>
        </w:trPr>
        <w:tc>
          <w:tcPr>
            <w:tcW w:w="2552" w:type="dxa"/>
            <w:shd w:val="clear" w:color="auto" w:fill="auto"/>
          </w:tcPr>
          <w:p w14:paraId="0883A6EA" w14:textId="77777777" w:rsidR="002B516F" w:rsidRPr="00627B3E" w:rsidRDefault="002B516F" w:rsidP="00A56B4E">
            <w:pPr>
              <w:pStyle w:val="TAC"/>
            </w:pPr>
            <w:r w:rsidRPr="00627B3E">
              <w:t>Uplink subslot pattern</w:t>
            </w:r>
          </w:p>
        </w:tc>
        <w:tc>
          <w:tcPr>
            <w:tcW w:w="851" w:type="dxa"/>
            <w:shd w:val="clear" w:color="auto" w:fill="auto"/>
          </w:tcPr>
          <w:p w14:paraId="3DA711E2" w14:textId="77777777" w:rsidR="002B516F" w:rsidRPr="00627B3E" w:rsidRDefault="002B516F" w:rsidP="00A56B4E">
            <w:pPr>
              <w:pStyle w:val="TAC"/>
            </w:pPr>
            <w:r w:rsidRPr="00627B3E">
              <w:t xml:space="preserve">0, 1, 2 </w:t>
            </w:r>
          </w:p>
        </w:tc>
        <w:tc>
          <w:tcPr>
            <w:tcW w:w="850" w:type="dxa"/>
            <w:shd w:val="clear" w:color="auto" w:fill="auto"/>
          </w:tcPr>
          <w:p w14:paraId="4D65F1C1" w14:textId="77777777" w:rsidR="002B516F" w:rsidRPr="00627B3E" w:rsidRDefault="002B516F" w:rsidP="00A56B4E">
            <w:pPr>
              <w:pStyle w:val="TAC"/>
            </w:pPr>
            <w:r w:rsidRPr="00627B3E">
              <w:t>3, 4</w:t>
            </w:r>
          </w:p>
        </w:tc>
        <w:tc>
          <w:tcPr>
            <w:tcW w:w="851" w:type="dxa"/>
            <w:shd w:val="clear" w:color="auto" w:fill="auto"/>
          </w:tcPr>
          <w:p w14:paraId="5AF84D1B" w14:textId="77777777" w:rsidR="002B516F" w:rsidRPr="00627B3E" w:rsidRDefault="002B516F" w:rsidP="00A56B4E">
            <w:pPr>
              <w:pStyle w:val="TAC"/>
            </w:pPr>
            <w:r w:rsidRPr="00627B3E">
              <w:t>5, 6</w:t>
            </w:r>
          </w:p>
        </w:tc>
        <w:tc>
          <w:tcPr>
            <w:tcW w:w="709" w:type="dxa"/>
            <w:shd w:val="clear" w:color="auto" w:fill="auto"/>
          </w:tcPr>
          <w:p w14:paraId="02B2F667" w14:textId="77777777" w:rsidR="002B516F" w:rsidRPr="00627B3E" w:rsidRDefault="002B516F" w:rsidP="00A56B4E">
            <w:pPr>
              <w:pStyle w:val="TAC"/>
            </w:pPr>
            <w:r>
              <w:t>0</w:t>
            </w:r>
            <w:r w:rsidRPr="00627B3E">
              <w:t xml:space="preserve">, </w:t>
            </w:r>
            <w:r>
              <w:t>1</w:t>
            </w:r>
          </w:p>
        </w:tc>
        <w:tc>
          <w:tcPr>
            <w:tcW w:w="708" w:type="dxa"/>
            <w:shd w:val="clear" w:color="auto" w:fill="auto"/>
          </w:tcPr>
          <w:p w14:paraId="26A38EFB" w14:textId="77777777" w:rsidR="002B516F" w:rsidRPr="00627B3E" w:rsidRDefault="002B516F" w:rsidP="00A56B4E">
            <w:pPr>
              <w:pStyle w:val="TAC"/>
            </w:pPr>
            <w:r>
              <w:t>2</w:t>
            </w:r>
            <w:r w:rsidRPr="00627B3E">
              <w:t xml:space="preserve">, </w:t>
            </w:r>
            <w:r>
              <w:t>3</w:t>
            </w:r>
          </w:p>
        </w:tc>
        <w:tc>
          <w:tcPr>
            <w:tcW w:w="1134" w:type="dxa"/>
            <w:shd w:val="clear" w:color="auto" w:fill="auto"/>
          </w:tcPr>
          <w:p w14:paraId="6BB10A8D" w14:textId="77777777" w:rsidR="002B516F" w:rsidRPr="00627B3E" w:rsidRDefault="002B516F" w:rsidP="00A56B4E">
            <w:pPr>
              <w:pStyle w:val="TAC"/>
            </w:pPr>
            <w:r>
              <w:t>4</w:t>
            </w:r>
            <w:r w:rsidRPr="00627B3E">
              <w:t xml:space="preserve">, </w:t>
            </w:r>
            <w:r>
              <w:t>5</w:t>
            </w:r>
            <w:r w:rsidRPr="00627B3E">
              <w:t xml:space="preserve">, </w:t>
            </w:r>
            <w:r>
              <w:t>6</w:t>
            </w:r>
          </w:p>
        </w:tc>
      </w:tr>
    </w:tbl>
    <w:p w14:paraId="3C4E067E" w14:textId="77777777" w:rsidR="002B516F" w:rsidRPr="00C12953" w:rsidRDefault="002B516F" w:rsidP="002B516F"/>
    <w:p w14:paraId="4719C40A" w14:textId="3ECF20F7" w:rsidR="002B516F" w:rsidRDefault="002B516F" w:rsidP="002B516F">
      <w:r>
        <w:t>Each sub-slot or slot is a TTI and can be configured to a UE for data transmission. We can use this framework to design enhanced support for SRS, where more than one SRS resource is scheduled in a subframe and each SRS resource can contain one or more symbols for possible repetition f</w:t>
      </w:r>
      <w:r w:rsidR="00DB5C87">
        <w:t>or coverage enhancement. T</w:t>
      </w:r>
      <w:r>
        <w:t>he design can be transp</w:t>
      </w:r>
      <w:r w:rsidR="00DB5C87">
        <w:t xml:space="preserve">arent to the legacy Rel-15 UE’s which can be scheduled for data transmission on sub-slots not used for SRS. Thus improving the resource usage as compared to the dedicated SRS subframes. </w:t>
      </w:r>
    </w:p>
    <w:p w14:paraId="58A42FC7" w14:textId="7A817519" w:rsidR="00267391" w:rsidRPr="002B516F" w:rsidRDefault="00267391" w:rsidP="002B516F">
      <w:r>
        <w:t xml:space="preserve">Thus, </w:t>
      </w:r>
    </w:p>
    <w:p w14:paraId="054B6158" w14:textId="0C2D0652" w:rsidR="00911AA2" w:rsidRDefault="00911AA2" w:rsidP="00911AA2">
      <w:pPr>
        <w:rPr>
          <w:b/>
          <w:i/>
        </w:rPr>
      </w:pPr>
      <w:r w:rsidRPr="00607C7F">
        <w:rPr>
          <w:b/>
          <w:i/>
        </w:rPr>
        <w:t>Proposal</w:t>
      </w:r>
      <w:r w:rsidR="00723697">
        <w:rPr>
          <w:b/>
          <w:i/>
        </w:rPr>
        <w:t xml:space="preserve"> 3</w:t>
      </w:r>
      <w:r w:rsidRPr="00607C7F">
        <w:rPr>
          <w:b/>
          <w:i/>
        </w:rPr>
        <w:t xml:space="preserve">: </w:t>
      </w:r>
      <w:r w:rsidR="00267391">
        <w:rPr>
          <w:b/>
          <w:i/>
        </w:rPr>
        <w:t xml:space="preserve">consider following options for supporting multi-symbol SRS for </w:t>
      </w:r>
      <w:r w:rsidRPr="00607C7F">
        <w:rPr>
          <w:b/>
          <w:i/>
        </w:rPr>
        <w:t>Rel-16</w:t>
      </w:r>
      <w:r w:rsidR="00267391">
        <w:rPr>
          <w:b/>
          <w:i/>
        </w:rPr>
        <w:t>:</w:t>
      </w:r>
    </w:p>
    <w:p w14:paraId="23677B43" w14:textId="27E73A83" w:rsidR="00267391" w:rsidRDefault="00267391" w:rsidP="00911AA2">
      <w:pPr>
        <w:rPr>
          <w:b/>
          <w:i/>
        </w:rPr>
      </w:pPr>
      <w:r>
        <w:rPr>
          <w:b/>
          <w:i/>
        </w:rPr>
        <w:tab/>
        <w:t xml:space="preserve">1. TDD: Dedicated sub-frame </w:t>
      </w:r>
      <w:r w:rsidR="008B756D">
        <w:rPr>
          <w:b/>
          <w:i/>
        </w:rPr>
        <w:t xml:space="preserve">and </w:t>
      </w:r>
      <w:r>
        <w:rPr>
          <w:b/>
          <w:i/>
        </w:rPr>
        <w:t>or a slot.</w:t>
      </w:r>
    </w:p>
    <w:p w14:paraId="47AB6900" w14:textId="6CBC840F" w:rsidR="00267391" w:rsidRPr="00607C7F" w:rsidRDefault="00267391" w:rsidP="00267391">
      <w:pPr>
        <w:ind w:firstLine="288"/>
        <w:rPr>
          <w:b/>
          <w:i/>
        </w:rPr>
      </w:pPr>
      <w:r>
        <w:rPr>
          <w:b/>
          <w:i/>
        </w:rPr>
        <w:t xml:space="preserve">2. FDD: Dedicated sub-frame </w:t>
      </w:r>
      <w:r w:rsidR="008B756D">
        <w:rPr>
          <w:b/>
          <w:i/>
        </w:rPr>
        <w:t xml:space="preserve">and </w:t>
      </w:r>
      <w:r>
        <w:rPr>
          <w:b/>
          <w:i/>
        </w:rPr>
        <w:t>or a sub-slot.</w:t>
      </w:r>
    </w:p>
    <w:p w14:paraId="4DCA3EB2" w14:textId="0EFF318C" w:rsidR="00267391" w:rsidRDefault="00267391" w:rsidP="00267391">
      <w:pPr>
        <w:pStyle w:val="Heading5"/>
      </w:pPr>
      <w:r>
        <w:t>2.1.3</w:t>
      </w:r>
      <w:r w:rsidRPr="00283E02">
        <w:t xml:space="preserve"> </w:t>
      </w:r>
      <w:r>
        <w:t>Cell-specific resource allocation</w:t>
      </w:r>
    </w:p>
    <w:p w14:paraId="01C80127" w14:textId="591B14DE" w:rsidR="00267391" w:rsidRDefault="00267391" w:rsidP="00267391">
      <w:r>
        <w:t xml:space="preserve">One of the main purposes of cell-specific SRS configurations is to make all UE’s within a cell aware of potential SRS resource transmission opportunity, so that PUSCH can be rate matched appropriately. In the work item for SRS enhancement for Rel-16, PUSCH enhancement is not in scope. As a consequence, the rate-matching functionality is </w:t>
      </w:r>
      <w:r w:rsidR="008B756D">
        <w:t xml:space="preserve">inconsequential </w:t>
      </w:r>
      <w:r>
        <w:t xml:space="preserve">for Rel-16 </w:t>
      </w:r>
      <w:r w:rsidR="008B756D">
        <w:t xml:space="preserve">multi-symbol </w:t>
      </w:r>
      <w:r>
        <w:t xml:space="preserve">SRS enhancement. Hence for more efficient resource usage, only UE specific configurations are sufficient. </w:t>
      </w:r>
    </w:p>
    <w:p w14:paraId="4314765E" w14:textId="6D899801" w:rsidR="002C5008" w:rsidRPr="008B756D" w:rsidRDefault="002C5008" w:rsidP="00267391">
      <w:pPr>
        <w:rPr>
          <w:b/>
          <w:i/>
        </w:rPr>
      </w:pPr>
      <w:r w:rsidRPr="008B756D">
        <w:rPr>
          <w:b/>
          <w:i/>
        </w:rPr>
        <w:t xml:space="preserve">Observation </w:t>
      </w:r>
      <w:r w:rsidR="00723697">
        <w:rPr>
          <w:b/>
          <w:i/>
        </w:rPr>
        <w:t>1</w:t>
      </w:r>
      <w:r w:rsidRPr="008B756D">
        <w:rPr>
          <w:b/>
          <w:i/>
        </w:rPr>
        <w:t xml:space="preserve">: There seems to be no need to specify cell-specific configuration parameters for </w:t>
      </w:r>
      <w:r w:rsidR="008B756D">
        <w:rPr>
          <w:b/>
          <w:i/>
        </w:rPr>
        <w:t xml:space="preserve">multi-symbol </w:t>
      </w:r>
      <w:r w:rsidRPr="008B756D">
        <w:rPr>
          <w:b/>
          <w:i/>
        </w:rPr>
        <w:t>enhanced Rel-16 SRS resource.</w:t>
      </w:r>
    </w:p>
    <w:p w14:paraId="3927F72D" w14:textId="77777777" w:rsidR="002C5008" w:rsidRDefault="002C5008" w:rsidP="00267391"/>
    <w:p w14:paraId="71B84C12" w14:textId="480CC925" w:rsidR="002C5008" w:rsidRDefault="002C5008" w:rsidP="002C5008">
      <w:pPr>
        <w:pStyle w:val="Heading5"/>
      </w:pPr>
      <w:r>
        <w:lastRenderedPageBreak/>
        <w:t>2.1.4</w:t>
      </w:r>
      <w:r w:rsidRPr="00283E02">
        <w:t xml:space="preserve"> </w:t>
      </w:r>
      <w:r w:rsidR="00C1723C">
        <w:t>Compatibility with legacy framework</w:t>
      </w:r>
    </w:p>
    <w:p w14:paraId="4D423BBC" w14:textId="5C64F689" w:rsidR="002C5008" w:rsidRDefault="00C1723C" w:rsidP="00267391">
      <w:pPr>
        <w:rPr>
          <w:lang w:eastAsia="zh-CN"/>
        </w:rPr>
      </w:pPr>
      <w:r>
        <w:rPr>
          <w:lang w:eastAsia="zh-CN"/>
        </w:rPr>
        <w:t>Legacy SRS and enhanced SRS can be independen</w:t>
      </w:r>
      <w:r w:rsidR="008B756D">
        <w:rPr>
          <w:lang w:eastAsia="zh-CN"/>
        </w:rPr>
        <w:t xml:space="preserve">tly configured for a UE, and </w:t>
      </w:r>
      <w:r>
        <w:rPr>
          <w:lang w:eastAsia="zh-CN"/>
        </w:rPr>
        <w:t xml:space="preserve">a UE </w:t>
      </w:r>
      <w:r w:rsidR="008B756D">
        <w:rPr>
          <w:lang w:eastAsia="zh-CN"/>
        </w:rPr>
        <w:t xml:space="preserve">can </w:t>
      </w:r>
      <w:r>
        <w:rPr>
          <w:lang w:eastAsia="zh-CN"/>
        </w:rPr>
        <w:t xml:space="preserve">transmit both legacy and enhanced SRS </w:t>
      </w:r>
      <w:r w:rsidR="00532D95">
        <w:rPr>
          <w:lang w:eastAsia="zh-CN"/>
        </w:rPr>
        <w:t>(if needed)</w:t>
      </w:r>
      <w:r>
        <w:rPr>
          <w:lang w:eastAsia="zh-CN"/>
        </w:rPr>
        <w:t xml:space="preserve">. </w:t>
      </w:r>
      <w:r w:rsidRPr="00C1723C">
        <w:rPr>
          <w:lang w:eastAsia="zh-CN"/>
        </w:rPr>
        <w:t xml:space="preserve">New RRC parameters </w:t>
      </w:r>
      <w:r>
        <w:rPr>
          <w:lang w:eastAsia="zh-CN"/>
        </w:rPr>
        <w:t xml:space="preserve">need to be defined for specifying configuration and signalling details for new multi-symbol </w:t>
      </w:r>
      <w:r w:rsidR="008B756D">
        <w:rPr>
          <w:lang w:eastAsia="zh-CN"/>
        </w:rPr>
        <w:t xml:space="preserve">Rel-16 </w:t>
      </w:r>
      <w:r>
        <w:rPr>
          <w:lang w:eastAsia="zh-CN"/>
        </w:rPr>
        <w:t xml:space="preserve">SRS resource. </w:t>
      </w:r>
    </w:p>
    <w:p w14:paraId="70121289" w14:textId="77777777" w:rsidR="00532D95" w:rsidRDefault="00532D95" w:rsidP="00267391"/>
    <w:p w14:paraId="03B486C6" w14:textId="65F7800E" w:rsidR="00002509" w:rsidRDefault="00C23A83" w:rsidP="00804EBE">
      <w:pPr>
        <w:pStyle w:val="Heading1"/>
        <w:numPr>
          <w:ilvl w:val="0"/>
          <w:numId w:val="4"/>
        </w:numPr>
        <w:pBdr>
          <w:top w:val="single" w:sz="12" w:space="4" w:color="auto"/>
        </w:pBdr>
        <w:rPr>
          <w:rFonts w:cs="Arial"/>
          <w:lang w:val="en-US"/>
        </w:rPr>
      </w:pPr>
      <w:r>
        <w:rPr>
          <w:rFonts w:cs="Arial"/>
          <w:lang w:val="en-US"/>
        </w:rPr>
        <w:t>C</w:t>
      </w:r>
      <w:r w:rsidR="00002509" w:rsidRPr="00002509">
        <w:rPr>
          <w:rFonts w:cs="Arial" w:hint="eastAsia"/>
          <w:lang w:val="en-US"/>
        </w:rPr>
        <w:t>onclusion</w:t>
      </w:r>
    </w:p>
    <w:p w14:paraId="5083F2EE" w14:textId="316700ED" w:rsidR="00745A52" w:rsidRDefault="00745A52" w:rsidP="00745A52">
      <w:pPr>
        <w:rPr>
          <w:lang w:val="en-US"/>
        </w:rPr>
      </w:pPr>
      <w:r>
        <w:rPr>
          <w:lang w:val="en-US"/>
        </w:rPr>
        <w:t xml:space="preserve">We provided following proposals and observations in regard to multi-symbol Rel-16 SRS enhancement </w:t>
      </w:r>
    </w:p>
    <w:p w14:paraId="0BE277BC" w14:textId="77777777" w:rsidR="00502823" w:rsidRPr="00787382" w:rsidRDefault="00502823" w:rsidP="00502823">
      <w:pPr>
        <w:rPr>
          <w:b/>
          <w:i/>
        </w:rPr>
      </w:pPr>
      <w:r w:rsidRPr="00787382">
        <w:rPr>
          <w:b/>
          <w:i/>
        </w:rPr>
        <w:t>Proposal 1: For a UE configured with additional SRS symbols within one UL subframe, the SRS transmission supports both frequency hopping and repetition within one UL subframe.</w:t>
      </w:r>
    </w:p>
    <w:p w14:paraId="0A18257E" w14:textId="77777777" w:rsidR="00502823" w:rsidRPr="00787382" w:rsidRDefault="00502823" w:rsidP="00502823">
      <w:pPr>
        <w:rPr>
          <w:b/>
          <w:i/>
        </w:rPr>
      </w:pPr>
      <w:r w:rsidRPr="00787382">
        <w:rPr>
          <w:b/>
          <w:i/>
        </w:rPr>
        <w:t>Proposal 2: The maximum number of SRS symbol within one subframe/slot that can be allocated to a UE is 7.</w:t>
      </w:r>
    </w:p>
    <w:p w14:paraId="6CF73BAB" w14:textId="530C65CD" w:rsidR="00745A52" w:rsidRDefault="00745A52" w:rsidP="00745A52">
      <w:pPr>
        <w:rPr>
          <w:b/>
          <w:i/>
        </w:rPr>
      </w:pPr>
      <w:bookmarkStart w:id="0" w:name="_GoBack"/>
      <w:bookmarkEnd w:id="0"/>
      <w:r w:rsidRPr="00607C7F">
        <w:rPr>
          <w:b/>
          <w:i/>
        </w:rPr>
        <w:t>Proposal</w:t>
      </w:r>
      <w:r w:rsidR="00502823">
        <w:rPr>
          <w:b/>
          <w:i/>
        </w:rPr>
        <w:t xml:space="preserve"> 3</w:t>
      </w:r>
      <w:r w:rsidRPr="00607C7F">
        <w:rPr>
          <w:b/>
          <w:i/>
        </w:rPr>
        <w:t xml:space="preserve">: </w:t>
      </w:r>
      <w:r>
        <w:rPr>
          <w:b/>
          <w:i/>
        </w:rPr>
        <w:t xml:space="preserve">consider following options for supporting multi-symbol SRS for </w:t>
      </w:r>
      <w:r w:rsidRPr="00607C7F">
        <w:rPr>
          <w:b/>
          <w:i/>
        </w:rPr>
        <w:t>Rel-16</w:t>
      </w:r>
      <w:r>
        <w:rPr>
          <w:b/>
          <w:i/>
        </w:rPr>
        <w:t>:</w:t>
      </w:r>
    </w:p>
    <w:p w14:paraId="63B8FF49" w14:textId="77777777" w:rsidR="00745A52" w:rsidRDefault="00745A52" w:rsidP="00745A52">
      <w:pPr>
        <w:rPr>
          <w:b/>
          <w:i/>
        </w:rPr>
      </w:pPr>
      <w:r>
        <w:rPr>
          <w:b/>
          <w:i/>
        </w:rPr>
        <w:tab/>
        <w:t>1. TDD: Dedicated sub-frame and or a slot.</w:t>
      </w:r>
    </w:p>
    <w:p w14:paraId="4B269093" w14:textId="77777777" w:rsidR="00745A52" w:rsidRPr="00607C7F" w:rsidRDefault="00745A52" w:rsidP="00745A52">
      <w:pPr>
        <w:ind w:firstLine="288"/>
        <w:rPr>
          <w:b/>
          <w:i/>
        </w:rPr>
      </w:pPr>
      <w:r>
        <w:rPr>
          <w:b/>
          <w:i/>
        </w:rPr>
        <w:t>2. FDD: Dedicated sub-frame and or a sub-slot.</w:t>
      </w:r>
    </w:p>
    <w:p w14:paraId="44E7DD6F" w14:textId="0E633E77" w:rsidR="00745A52" w:rsidRPr="00745A52" w:rsidRDefault="00745A52" w:rsidP="00745A52">
      <w:pPr>
        <w:rPr>
          <w:lang w:val="en-US"/>
        </w:rPr>
      </w:pPr>
      <w:r w:rsidRPr="008B756D">
        <w:rPr>
          <w:b/>
          <w:i/>
        </w:rPr>
        <w:t xml:space="preserve">Observation </w:t>
      </w:r>
      <w:r w:rsidR="00502823">
        <w:rPr>
          <w:b/>
          <w:i/>
        </w:rPr>
        <w:t>1</w:t>
      </w:r>
      <w:r w:rsidRPr="008B756D">
        <w:rPr>
          <w:b/>
          <w:i/>
        </w:rPr>
        <w:t xml:space="preserve">: There seems to be no need to specify cell-specific configuration parameters for </w:t>
      </w:r>
      <w:r>
        <w:rPr>
          <w:b/>
          <w:i/>
        </w:rPr>
        <w:t xml:space="preserve">multi-symbol </w:t>
      </w:r>
      <w:r w:rsidRPr="008B756D">
        <w:rPr>
          <w:b/>
          <w:i/>
        </w:rPr>
        <w:t>Rel-16 SRS resource.</w:t>
      </w:r>
    </w:p>
    <w:p w14:paraId="4224C501" w14:textId="77777777" w:rsidR="00DB5C87" w:rsidRPr="009925FA" w:rsidRDefault="00DB5C87" w:rsidP="00DB5C87">
      <w:pPr>
        <w:ind w:firstLine="360"/>
        <w:jc w:val="both"/>
        <w:rPr>
          <w:b/>
          <w:i/>
          <w:sz w:val="22"/>
          <w:szCs w:val="22"/>
          <w:lang w:eastAsia="zh-CN"/>
        </w:rPr>
      </w:pP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5D948C12" w14:textId="77777777" w:rsidR="00AC49B9" w:rsidRPr="00E757AF" w:rsidRDefault="00AC49B9" w:rsidP="00AC49B9">
      <w:pPr>
        <w:pStyle w:val="Default"/>
        <w:ind w:left="4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[1</w:t>
      </w:r>
      <w:r w:rsidRPr="0084163A">
        <w:rPr>
          <w:rFonts w:ascii="Times New Roman" w:eastAsia="SimSun" w:hAnsi="Times New Roman" w:cs="Times New Roman"/>
          <w:color w:val="auto"/>
          <w:sz w:val="22"/>
          <w:szCs w:val="22"/>
          <w:lang w:eastAsia="zh-CN"/>
        </w:rPr>
        <w:t xml:space="preserve">] </w:t>
      </w:r>
      <w:r w:rsidRPr="00E757AF">
        <w:rPr>
          <w:rFonts w:ascii="Times New Roman" w:eastAsia="SimSun" w:hAnsi="Times New Roman" w:cs="Times New Roman"/>
          <w:color w:val="auto"/>
          <w:sz w:val="22"/>
          <w:szCs w:val="22"/>
          <w:lang w:eastAsia="zh-CN"/>
        </w:rPr>
        <w:t>Chairman’s notes for 3GPP TSG RAN WG1 Meeting #94</w:t>
      </w:r>
      <w:r>
        <w:rPr>
          <w:rFonts w:ascii="Times New Roman" w:eastAsia="SimSun" w:hAnsi="Times New Roman" w:cs="Times New Roman"/>
          <w:color w:val="auto"/>
          <w:sz w:val="22"/>
          <w:szCs w:val="22"/>
          <w:lang w:eastAsia="zh-CN"/>
        </w:rPr>
        <w:t>b</w:t>
      </w:r>
      <w:r w:rsidRPr="00E757AF">
        <w:rPr>
          <w:rFonts w:ascii="Times New Roman" w:eastAsia="SimSun" w:hAnsi="Times New Roman" w:cs="Times New Roman"/>
          <w:color w:val="auto"/>
          <w:sz w:val="22"/>
          <w:szCs w:val="22"/>
          <w:lang w:eastAsia="zh-CN"/>
        </w:rPr>
        <w:t xml:space="preserve">, </w:t>
      </w:r>
      <w:r w:rsidRPr="002966A0">
        <w:rPr>
          <w:rFonts w:ascii="Times New Roman" w:eastAsia="SimSun" w:hAnsi="Times New Roman" w:cs="Times New Roman"/>
          <w:color w:val="auto"/>
          <w:sz w:val="22"/>
          <w:szCs w:val="22"/>
          <w:lang w:eastAsia="zh-CN"/>
        </w:rPr>
        <w:t>Chengdu, China, October 8th – 12th, 2018</w:t>
      </w:r>
      <w:r>
        <w:rPr>
          <w:rFonts w:ascii="Times New Roman" w:eastAsia="SimSun" w:hAnsi="Times New Roman" w:cs="Times New Roman"/>
          <w:color w:val="auto"/>
          <w:sz w:val="22"/>
          <w:szCs w:val="22"/>
          <w:lang w:eastAsia="zh-CN"/>
        </w:rPr>
        <w:t>.</w:t>
      </w:r>
    </w:p>
    <w:p w14:paraId="26CE812E" w14:textId="77777777" w:rsidR="00AC49B9" w:rsidRPr="00011036" w:rsidRDefault="00AC49B9" w:rsidP="00AC49B9">
      <w:pPr>
        <w:pStyle w:val="Default"/>
        <w:ind w:left="420"/>
        <w:jc w:val="both"/>
        <w:rPr>
          <w:sz w:val="22"/>
          <w:szCs w:val="22"/>
        </w:rPr>
      </w:pPr>
      <w:r w:rsidRPr="00E757AF">
        <w:rPr>
          <w:rFonts w:ascii="Times New Roman" w:eastAsia="SimSun" w:hAnsi="Times New Roman" w:cs="Times New Roman"/>
          <w:color w:val="auto"/>
          <w:sz w:val="22"/>
          <w:szCs w:val="22"/>
          <w:lang w:eastAsia="zh-CN"/>
        </w:rPr>
        <w:t>[</w:t>
      </w:r>
      <w:r>
        <w:rPr>
          <w:rFonts w:ascii="Times New Roman" w:eastAsia="SimSun" w:hAnsi="Times New Roman" w:cs="Times New Roman"/>
          <w:color w:val="auto"/>
          <w:sz w:val="22"/>
          <w:szCs w:val="22"/>
          <w:lang w:eastAsia="zh-CN"/>
        </w:rPr>
        <w:t>2</w:t>
      </w:r>
      <w:r w:rsidRPr="00E757AF">
        <w:rPr>
          <w:rFonts w:ascii="Times New Roman" w:eastAsia="SimSun" w:hAnsi="Times New Roman" w:cs="Times New Roman"/>
          <w:color w:val="auto"/>
          <w:sz w:val="22"/>
          <w:szCs w:val="22"/>
          <w:lang w:eastAsia="zh-CN"/>
        </w:rPr>
        <w:t xml:space="preserve">] </w:t>
      </w:r>
      <w:r w:rsidRPr="0084163A">
        <w:rPr>
          <w:rFonts w:ascii="Times New Roman" w:eastAsia="SimSun" w:hAnsi="Times New Roman" w:cs="Times New Roman"/>
          <w:color w:val="auto"/>
          <w:sz w:val="22"/>
          <w:szCs w:val="22"/>
          <w:lang w:eastAsia="zh-CN"/>
        </w:rPr>
        <w:t>Physical channels and modulation (Release-15) 3GPP TS 36.211.</w:t>
      </w:r>
    </w:p>
    <w:p w14:paraId="6D3AD4AC" w14:textId="77777777" w:rsidR="0084163A" w:rsidRPr="00011036" w:rsidRDefault="0084163A" w:rsidP="00500CF5">
      <w:pPr>
        <w:pStyle w:val="Default"/>
        <w:ind w:left="420"/>
        <w:jc w:val="both"/>
        <w:rPr>
          <w:sz w:val="22"/>
          <w:szCs w:val="22"/>
        </w:rPr>
      </w:pPr>
    </w:p>
    <w:sectPr w:rsidR="0084163A" w:rsidRPr="00011036"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BFA98" w14:textId="77777777" w:rsidR="00B3082F" w:rsidRDefault="00B3082F">
      <w:r>
        <w:separator/>
      </w:r>
    </w:p>
  </w:endnote>
  <w:endnote w:type="continuationSeparator" w:id="0">
    <w:p w14:paraId="0A0E45DD" w14:textId="77777777" w:rsidR="00B3082F" w:rsidRDefault="00B3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A96F7" w14:textId="77777777" w:rsidR="00B3082F" w:rsidRDefault="00B3082F">
      <w:r>
        <w:separator/>
      </w:r>
    </w:p>
  </w:footnote>
  <w:footnote w:type="continuationSeparator" w:id="0">
    <w:p w14:paraId="6060E5DD" w14:textId="77777777" w:rsidR="00B3082F" w:rsidRDefault="00B308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B4A3F"/>
    <w:multiLevelType w:val="hybridMultilevel"/>
    <w:tmpl w:val="22E4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331A7"/>
    <w:multiLevelType w:val="hybridMultilevel"/>
    <w:tmpl w:val="26F0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37478A"/>
    <w:multiLevelType w:val="hybridMultilevel"/>
    <w:tmpl w:val="9284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B55CCE"/>
    <w:multiLevelType w:val="hybridMultilevel"/>
    <w:tmpl w:val="3DC65D7E"/>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3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4"/>
  </w:num>
  <w:num w:numId="6">
    <w:abstractNumId w:val="12"/>
  </w:num>
  <w:num w:numId="7">
    <w:abstractNumId w:val="33"/>
  </w:num>
  <w:num w:numId="8">
    <w:abstractNumId w:val="27"/>
  </w:num>
  <w:num w:numId="9">
    <w:abstractNumId w:val="9"/>
  </w:num>
  <w:num w:numId="10">
    <w:abstractNumId w:val="23"/>
  </w:num>
  <w:num w:numId="11">
    <w:abstractNumId w:val="2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5"/>
  </w:num>
  <w:num w:numId="15">
    <w:abstractNumId w:val="15"/>
  </w:num>
  <w:num w:numId="16">
    <w:abstractNumId w:val="4"/>
  </w:num>
  <w:num w:numId="17">
    <w:abstractNumId w:val="2"/>
  </w:num>
  <w:num w:numId="18">
    <w:abstractNumId w:val="31"/>
  </w:num>
  <w:num w:numId="19">
    <w:abstractNumId w:val="35"/>
  </w:num>
  <w:num w:numId="20">
    <w:abstractNumId w:val="1"/>
  </w:num>
  <w:num w:numId="21">
    <w:abstractNumId w:val="11"/>
  </w:num>
  <w:num w:numId="22">
    <w:abstractNumId w:val="3"/>
  </w:num>
  <w:num w:numId="23">
    <w:abstractNumId w:val="22"/>
  </w:num>
  <w:num w:numId="24">
    <w:abstractNumId w:val="16"/>
  </w:num>
  <w:num w:numId="25">
    <w:abstractNumId w:val="26"/>
  </w:num>
  <w:num w:numId="26">
    <w:abstractNumId w:val="30"/>
  </w:num>
  <w:num w:numId="27">
    <w:abstractNumId w:val="19"/>
  </w:num>
  <w:num w:numId="28">
    <w:abstractNumId w:val="18"/>
  </w:num>
  <w:num w:numId="29">
    <w:abstractNumId w:val="8"/>
  </w:num>
  <w:num w:numId="30">
    <w:abstractNumId w:val="28"/>
  </w:num>
  <w:num w:numId="31">
    <w:abstractNumId w:val="6"/>
  </w:num>
  <w:num w:numId="32">
    <w:abstractNumId w:val="14"/>
  </w:num>
  <w:num w:numId="33">
    <w:abstractNumId w:val="21"/>
  </w:num>
  <w:num w:numId="34">
    <w:abstractNumId w:val="32"/>
  </w:num>
  <w:num w:numId="35">
    <w:abstractNumId w:val="36"/>
  </w:num>
  <w:num w:numId="36">
    <w:abstractNumId w:val="13"/>
  </w:num>
  <w:num w:numId="37">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ACC"/>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9AF"/>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551"/>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89B"/>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92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C88"/>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A14"/>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3"/>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46"/>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797"/>
    <w:rsid w:val="001F0800"/>
    <w:rsid w:val="001F0DDF"/>
    <w:rsid w:val="001F134F"/>
    <w:rsid w:val="001F16FD"/>
    <w:rsid w:val="001F1B1E"/>
    <w:rsid w:val="001F1DFA"/>
    <w:rsid w:val="001F22A9"/>
    <w:rsid w:val="001F2536"/>
    <w:rsid w:val="001F2591"/>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9D"/>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E0A"/>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5D19"/>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391"/>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0A4"/>
    <w:rsid w:val="002B516F"/>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008"/>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733"/>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F4C"/>
    <w:rsid w:val="002E66FC"/>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544"/>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886"/>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A8F"/>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193"/>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0D"/>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CF5"/>
    <w:rsid w:val="00500D5B"/>
    <w:rsid w:val="005012BB"/>
    <w:rsid w:val="0050132F"/>
    <w:rsid w:val="00501723"/>
    <w:rsid w:val="0050192A"/>
    <w:rsid w:val="00501A8C"/>
    <w:rsid w:val="00501F0D"/>
    <w:rsid w:val="00502320"/>
    <w:rsid w:val="00502823"/>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1D9"/>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95"/>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9B0"/>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BD3"/>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C7F"/>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3F89"/>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3E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084"/>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B16"/>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69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48B"/>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A52"/>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802"/>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382"/>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37"/>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63A"/>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39"/>
    <w:rsid w:val="00873BF0"/>
    <w:rsid w:val="008744C8"/>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E80"/>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56D"/>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5D6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1B0C"/>
    <w:rsid w:val="009022BC"/>
    <w:rsid w:val="0090255A"/>
    <w:rsid w:val="00902734"/>
    <w:rsid w:val="00902997"/>
    <w:rsid w:val="0090300D"/>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AA2"/>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D7"/>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FDA"/>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27"/>
    <w:rsid w:val="00A5637C"/>
    <w:rsid w:val="00A565AD"/>
    <w:rsid w:val="00A56735"/>
    <w:rsid w:val="00A56B4E"/>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9B9"/>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D4"/>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82F"/>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B51"/>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9E2"/>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4F5"/>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6D"/>
    <w:rsid w:val="00C17099"/>
    <w:rsid w:val="00C1723C"/>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A83"/>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237"/>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81D"/>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7FF"/>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95"/>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EB"/>
    <w:rsid w:val="00CE5E50"/>
    <w:rsid w:val="00CE697C"/>
    <w:rsid w:val="00CE698C"/>
    <w:rsid w:val="00CE69F3"/>
    <w:rsid w:val="00CE6AD5"/>
    <w:rsid w:val="00CE6E24"/>
    <w:rsid w:val="00CE76BD"/>
    <w:rsid w:val="00CE79BC"/>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177"/>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C2E"/>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87"/>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6B60"/>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054"/>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7A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092"/>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074"/>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70CB"/>
    <w:rsid w:val="00F372F8"/>
    <w:rsid w:val="00F377A2"/>
    <w:rsid w:val="00F37922"/>
    <w:rsid w:val="00F37AE3"/>
    <w:rsid w:val="00F37AEF"/>
    <w:rsid w:val="00F4125D"/>
    <w:rsid w:val="00F41F89"/>
    <w:rsid w:val="00F42816"/>
    <w:rsid w:val="00F42910"/>
    <w:rsid w:val="00F42C2B"/>
    <w:rsid w:val="00F439C5"/>
    <w:rsid w:val="00F44833"/>
    <w:rsid w:val="00F457C9"/>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C1"/>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6BCE5"/>
  <w15:docId w15:val="{95267735-E6C2-4B65-8728-7920FD9C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2B516F"/>
    <w:rPr>
      <w:rFonts w:ascii="Arial" w:hAnsi="Arial"/>
      <w:sz w:val="18"/>
      <w:lang w:val="en-GB" w:eastAsia="en-US"/>
    </w:rPr>
  </w:style>
  <w:style w:type="character" w:customStyle="1" w:styleId="TAHCar">
    <w:name w:val="TAH Car"/>
    <w:link w:val="TAH"/>
    <w:locked/>
    <w:rsid w:val="002B516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3.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6D0610-4CD8-42C3-AE15-96BFE5205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3</Pages>
  <Words>1150</Words>
  <Characters>6072</Characters>
  <Application>Microsoft Office Word</Application>
  <DocSecurity>0</DocSecurity>
  <Lines>118</Lines>
  <Paragraphs>75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7206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Pawar, Sameer</cp:lastModifiedBy>
  <cp:revision>33</cp:revision>
  <cp:lastPrinted>2011-11-09T07:49:00Z</cp:lastPrinted>
  <dcterms:created xsi:type="dcterms:W3CDTF">2018-02-16T06:13:00Z</dcterms:created>
  <dcterms:modified xsi:type="dcterms:W3CDTF">2018-11-03T04:32:00Z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9fb34671-4c82-4095-b9e9-23f3a5cffa52</vt:lpwstr>
  </property>
  <property fmtid="{D5CDD505-2E9C-101B-9397-08002B2CF9AE}" pid="10" name="CTP_BU">
    <vt:lpwstr>NEXT GEN &amp; STANDARDS GROUP</vt:lpwstr>
  </property>
  <property fmtid="{D5CDD505-2E9C-101B-9397-08002B2CF9AE}" pid="11" name="CTP_TimeStamp">
    <vt:lpwstr>2018-11-03 04:32:20Z</vt:lpwstr>
  </property>
  <property fmtid="{D5CDD505-2E9C-101B-9397-08002B2CF9AE}" pid="12" name="ContentTypeId">
    <vt:lpwstr>0x0101001A6C2134160B1A4083A3FDA85C8A909E</vt:lpwstr>
  </property>
  <property fmtid="{D5CDD505-2E9C-101B-9397-08002B2CF9AE}" pid="13" name="CTPClassification">
    <vt:lpwstr>CTP_IC</vt:lpwstr>
  </property>
</Properties>
</file>