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C0C" w:rsidRPr="0085691C" w:rsidRDefault="004866A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1"/>
          <w:lang w:eastAsia="zh-CN"/>
        </w:rPr>
      </w:pPr>
      <w:r w:rsidRPr="0085691C">
        <w:rPr>
          <w:rFonts w:ascii="Arial" w:hAnsi="Arial" w:cs="Arial"/>
          <w:b/>
          <w:bCs/>
          <w:sz w:val="21"/>
        </w:rPr>
        <w:t>3GPP TSG RAN WG1 Meeting #95</w:t>
      </w:r>
      <w:r w:rsidRPr="0085691C">
        <w:rPr>
          <w:rFonts w:ascii="Arial" w:hAnsi="Arial" w:cs="Arial"/>
          <w:b/>
          <w:bCs/>
          <w:sz w:val="21"/>
        </w:rPr>
        <w:tab/>
      </w:r>
      <w:r w:rsidRPr="0085691C">
        <w:rPr>
          <w:rFonts w:ascii="Arial" w:hAnsi="Arial" w:cs="Arial"/>
          <w:b/>
          <w:bCs/>
          <w:sz w:val="21"/>
        </w:rPr>
        <w:tab/>
        <w:t>R1-181</w:t>
      </w:r>
      <w:r w:rsidRPr="0085691C">
        <w:rPr>
          <w:rFonts w:ascii="Arial" w:hAnsi="Arial" w:cs="Arial" w:hint="eastAsia"/>
          <w:b/>
          <w:bCs/>
          <w:sz w:val="21"/>
          <w:lang w:eastAsia="zh-CN"/>
        </w:rPr>
        <w:t>2396</w:t>
      </w:r>
    </w:p>
    <w:p w:rsidR="00F82C0C" w:rsidRPr="0085691C" w:rsidRDefault="004866A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1"/>
          <w:lang w:eastAsia="ja-JP"/>
        </w:rPr>
      </w:pPr>
      <w:r w:rsidRPr="0085691C">
        <w:rPr>
          <w:rFonts w:ascii="Arial" w:eastAsia="MS Mincho" w:hAnsi="Arial" w:cs="Arial"/>
          <w:b/>
          <w:bCs/>
          <w:sz w:val="21"/>
          <w:lang w:eastAsia="ja-JP"/>
        </w:rPr>
        <w:t>Spokane, USA, November 12</w:t>
      </w:r>
      <w:r w:rsidRPr="0085691C">
        <w:rPr>
          <w:rFonts w:ascii="Arial" w:eastAsia="MS Mincho" w:hAnsi="Arial" w:cs="Arial"/>
          <w:b/>
          <w:bCs/>
          <w:sz w:val="21"/>
          <w:vertAlign w:val="superscript"/>
          <w:lang w:eastAsia="ja-JP"/>
        </w:rPr>
        <w:t>th</w:t>
      </w:r>
      <w:r w:rsidRPr="0085691C">
        <w:rPr>
          <w:rFonts w:ascii="Arial" w:eastAsia="MS Mincho" w:hAnsi="Arial" w:cs="Arial"/>
          <w:b/>
          <w:bCs/>
          <w:sz w:val="21"/>
          <w:lang w:eastAsia="ja-JP"/>
        </w:rPr>
        <w:t xml:space="preserve"> – 16</w:t>
      </w:r>
      <w:r w:rsidRPr="0085691C">
        <w:rPr>
          <w:rFonts w:ascii="Arial" w:eastAsia="MS Mincho" w:hAnsi="Arial" w:cs="Arial"/>
          <w:b/>
          <w:bCs/>
          <w:sz w:val="21"/>
          <w:vertAlign w:val="superscript"/>
          <w:lang w:eastAsia="ja-JP"/>
        </w:rPr>
        <w:t>th</w:t>
      </w:r>
      <w:r w:rsidRPr="0085691C">
        <w:rPr>
          <w:rFonts w:ascii="Arial" w:eastAsia="MS Mincho" w:hAnsi="Arial" w:cs="Arial"/>
          <w:b/>
          <w:bCs/>
          <w:sz w:val="21"/>
          <w:lang w:eastAsia="ja-JP"/>
        </w:rPr>
        <w:t xml:space="preserve">, 2018 </w:t>
      </w:r>
    </w:p>
    <w:p w:rsidR="00F82C0C" w:rsidRDefault="004866A2" w:rsidP="00E954F9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/>
          <w:b/>
          <w:lang w:eastAsia="zh-CN"/>
        </w:rPr>
        <w:t>7.2.7.2</w:t>
      </w:r>
    </w:p>
    <w:p w:rsidR="00F82C0C" w:rsidRDefault="004866A2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F82C0C" w:rsidRDefault="004866A2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  <w:lang w:eastAsia="zh-CN"/>
        </w:rPr>
        <w:t>E</w:t>
      </w:r>
      <w:r>
        <w:rPr>
          <w:b/>
          <w:lang w:eastAsia="zh-CN"/>
        </w:rPr>
        <w:t xml:space="preserve">valuation </w:t>
      </w:r>
      <w:r>
        <w:rPr>
          <w:rFonts w:hint="eastAsia"/>
          <w:b/>
          <w:lang w:eastAsia="zh-CN"/>
        </w:rPr>
        <w:t xml:space="preserve">results </w:t>
      </w:r>
      <w:r>
        <w:rPr>
          <w:b/>
          <w:lang w:eastAsia="zh-CN"/>
        </w:rPr>
        <w:t xml:space="preserve">of </w:t>
      </w:r>
      <w:r>
        <w:rPr>
          <w:rFonts w:hint="eastAsia"/>
          <w:b/>
          <w:lang w:eastAsia="zh-CN"/>
        </w:rPr>
        <w:t xml:space="preserve">User </w:t>
      </w:r>
      <w:r w:rsidR="00F10CFA">
        <w:rPr>
          <w:rFonts w:hint="eastAsia"/>
          <w:b/>
          <w:lang w:eastAsia="zh-CN"/>
        </w:rPr>
        <w:t>e</w:t>
      </w:r>
      <w:r>
        <w:rPr>
          <w:rFonts w:hint="eastAsia"/>
          <w:b/>
          <w:lang w:eastAsia="zh-CN"/>
        </w:rPr>
        <w:t xml:space="preserve">xperience </w:t>
      </w:r>
      <w:r w:rsidR="00F10CFA">
        <w:rPr>
          <w:rFonts w:hint="eastAsia"/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ata </w:t>
      </w:r>
      <w:r w:rsidR="00F10CFA">
        <w:rPr>
          <w:rFonts w:hint="eastAsia"/>
          <w:b/>
          <w:lang w:eastAsia="zh-CN"/>
        </w:rPr>
        <w:t>r</w:t>
      </w:r>
      <w:r>
        <w:rPr>
          <w:rFonts w:hint="eastAsia"/>
          <w:b/>
          <w:lang w:eastAsia="zh-CN"/>
        </w:rPr>
        <w:t>ate in</w:t>
      </w:r>
      <w:r>
        <w:rPr>
          <w:b/>
          <w:lang w:eastAsia="zh-CN"/>
        </w:rPr>
        <w:t xml:space="preserve"> IMT-2020 self-evaluation</w:t>
      </w:r>
      <w:r>
        <w:rPr>
          <w:rFonts w:hint="eastAsia"/>
          <w:b/>
          <w:lang w:eastAsia="zh-CN"/>
        </w:rPr>
        <w:t xml:space="preserve"> </w:t>
      </w:r>
    </w:p>
    <w:p w:rsidR="00F82C0C" w:rsidRDefault="004866A2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F82C0C" w:rsidRDefault="00F82C0C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F82C0C" w:rsidRDefault="004866A2">
      <w:pPr>
        <w:pStyle w:val="1"/>
        <w:spacing w:before="0"/>
      </w:pPr>
      <w:r>
        <w:rPr>
          <w:lang w:eastAsia="zh-CN"/>
        </w:rPr>
        <w:t>Introduction</w:t>
      </w:r>
    </w:p>
    <w:p w:rsidR="00F82C0C" w:rsidRDefault="004866A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F82C0C" w:rsidRDefault="004866A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2] has been set up for discussion on calibration and </w:t>
      </w:r>
      <w:r>
        <w:rPr>
          <w:lang w:eastAsia="zh-CN"/>
        </w:rPr>
        <w:t>collection</w:t>
      </w:r>
      <w:r>
        <w:rPr>
          <w:rFonts w:hint="eastAsia"/>
          <w:lang w:eastAsia="zh-CN"/>
        </w:rPr>
        <w:t xml:space="preserve"> of calibration results.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F82C0C" w:rsidRDefault="004866A2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Moreover, At RAN1 #92, some features of system-level simulation in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have been approved. In this contribution, some evaluation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on </w:t>
      </w:r>
      <w:r w:rsidR="0085691C">
        <w:rPr>
          <w:rFonts w:hint="eastAsia"/>
          <w:lang w:eastAsia="zh-CN"/>
        </w:rPr>
        <w:t xml:space="preserve">User experience data rate </w:t>
      </w:r>
      <w:r>
        <w:rPr>
          <w:rFonts w:hint="eastAsia"/>
          <w:lang w:eastAsia="zh-CN"/>
        </w:rPr>
        <w:t>are shown.</w:t>
      </w:r>
    </w:p>
    <w:p w:rsidR="00F82C0C" w:rsidRDefault="004866A2" w:rsidP="00E954F9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Evaluated metho</w:t>
      </w:r>
      <w:r w:rsidR="0085691C">
        <w:rPr>
          <w:rFonts w:hint="eastAsia"/>
          <w:lang w:eastAsia="zh-CN"/>
        </w:rPr>
        <w:t>dology on User experience data r</w:t>
      </w:r>
      <w:r>
        <w:rPr>
          <w:rFonts w:hint="eastAsia"/>
          <w:lang w:eastAsia="zh-CN"/>
        </w:rPr>
        <w:t xml:space="preserve">ate </w:t>
      </w:r>
    </w:p>
    <w:p w:rsidR="00F82C0C" w:rsidRDefault="001A70E2">
      <w:pPr>
        <w:rPr>
          <w:lang w:eastAsia="zh-CN"/>
        </w:rPr>
      </w:pPr>
      <w:r>
        <w:rPr>
          <w:rFonts w:hint="eastAsia"/>
          <w:lang w:eastAsia="zh-CN"/>
        </w:rPr>
        <w:t>On the one hand, in ITU-R, b</w:t>
      </w:r>
      <w:r w:rsidR="004866A2">
        <w:rPr>
          <w:rFonts w:hint="eastAsia"/>
          <w:lang w:eastAsia="zh-CN"/>
        </w:rPr>
        <w:t>ased</w:t>
      </w:r>
      <w:r w:rsidR="0085691C">
        <w:rPr>
          <w:rFonts w:hint="eastAsia"/>
          <w:lang w:eastAsia="zh-CN"/>
        </w:rPr>
        <w:t xml:space="preserve"> on ITU-R reports M.2410, User experience data r</w:t>
      </w:r>
      <w:r w:rsidR="004866A2">
        <w:rPr>
          <w:rFonts w:hint="eastAsia"/>
          <w:lang w:eastAsia="zh-CN"/>
        </w:rPr>
        <w:t>ate</w:t>
      </w:r>
      <w:r w:rsidR="004866A2">
        <w:rPr>
          <w:lang w:eastAsia="zh-CN"/>
        </w:rPr>
        <w:t>’</w:t>
      </w:r>
      <w:r w:rsidR="004866A2">
        <w:rPr>
          <w:rFonts w:hint="eastAsia"/>
          <w:lang w:eastAsia="zh-CN"/>
        </w:rPr>
        <w:t xml:space="preserve">s </w:t>
      </w:r>
      <w:r w:rsidR="004866A2">
        <w:rPr>
          <w:lang w:eastAsia="zh-CN"/>
        </w:rPr>
        <w:t>definition</w:t>
      </w:r>
      <w:r w:rsidR="004866A2">
        <w:rPr>
          <w:rFonts w:hint="eastAsia"/>
          <w:lang w:eastAsia="zh-CN"/>
        </w:rPr>
        <w:t xml:space="preserve"> and values can be obviously found, which proponents should follow them. </w:t>
      </w:r>
      <w:r w:rsidR="004866A2">
        <w:rPr>
          <w:lang w:eastAsia="zh-CN"/>
        </w:rPr>
        <w:t>M</w:t>
      </w:r>
      <w:r w:rsidR="004866A2">
        <w:rPr>
          <w:rFonts w:hint="eastAsia"/>
          <w:lang w:eastAsia="zh-CN"/>
        </w:rPr>
        <w:t xml:space="preserve">ore </w:t>
      </w:r>
      <w:r w:rsidR="004866A2">
        <w:rPr>
          <w:lang w:eastAsia="zh-CN"/>
        </w:rPr>
        <w:t>specificity</w:t>
      </w:r>
      <w:r w:rsidR="004866A2">
        <w:rPr>
          <w:rFonts w:hint="eastAsia"/>
          <w:lang w:eastAsia="zh-CN"/>
        </w:rPr>
        <w:t xml:space="preserve">, </w:t>
      </w:r>
      <w:r w:rsidR="0085691C">
        <w:rPr>
          <w:rFonts w:hint="eastAsia"/>
          <w:lang w:eastAsia="zh-CN"/>
        </w:rPr>
        <w:t>User experience data rate</w:t>
      </w:r>
      <w:r w:rsidR="004866A2">
        <w:rPr>
          <w:rFonts w:hint="eastAsia"/>
          <w:lang w:eastAsia="zh-CN"/>
        </w:rPr>
        <w:t xml:space="preserve"> can be defined as</w:t>
      </w:r>
    </w:p>
    <w:p w:rsidR="00F82C0C" w:rsidRPr="001A70E2" w:rsidRDefault="004866A2" w:rsidP="001A70E2">
      <w:pPr>
        <w:ind w:firstLineChars="1600" w:firstLine="3520"/>
        <w:rPr>
          <w:i/>
          <w:sz w:val="20"/>
          <w:lang w:eastAsia="zh-CN"/>
        </w:rPr>
      </w:pPr>
      <w:proofErr w:type="spellStart"/>
      <w:r>
        <w:rPr>
          <w:i/>
        </w:rPr>
        <w:t>R</w:t>
      </w:r>
      <w:r>
        <w:rPr>
          <w:i/>
          <w:vertAlign w:val="subscript"/>
        </w:rPr>
        <w:t>user</w:t>
      </w:r>
      <w:proofErr w:type="spellEnd"/>
      <w:r>
        <w:rPr>
          <w:i/>
        </w:rPr>
        <w:t xml:space="preserve"> = W × </w:t>
      </w:r>
      <w:proofErr w:type="spellStart"/>
      <w:r>
        <w:rPr>
          <w:i/>
        </w:rPr>
        <w:t>SE</w:t>
      </w:r>
      <w:r>
        <w:rPr>
          <w:i/>
          <w:vertAlign w:val="subscript"/>
        </w:rPr>
        <w:t>user</w:t>
      </w:r>
      <w:proofErr w:type="spellEnd"/>
      <w:r w:rsidR="001A70E2">
        <w:rPr>
          <w:rFonts w:hint="eastAsia"/>
          <w:i/>
          <w:vertAlign w:val="subscript"/>
          <w:lang w:eastAsia="zh-CN"/>
        </w:rPr>
        <w:t xml:space="preserve">                                         </w:t>
      </w:r>
      <w:r w:rsidR="001A70E2" w:rsidRPr="001A70E2">
        <w:rPr>
          <w:rFonts w:hint="eastAsia"/>
          <w:lang w:eastAsia="zh-CN"/>
        </w:rPr>
        <w:t>(1)</w:t>
      </w:r>
    </w:p>
    <w:p w:rsidR="00F82C0C" w:rsidRDefault="004866A2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which</w:t>
      </w:r>
      <w:proofErr w:type="gramEnd"/>
      <w:r>
        <w:rPr>
          <w:rFonts w:hint="eastAsia"/>
          <w:lang w:eastAsia="zh-CN"/>
        </w:rPr>
        <w:t xml:space="preserve">, </w:t>
      </w:r>
    </w:p>
    <w:p w:rsidR="00F82C0C" w:rsidRDefault="004866A2">
      <w:pPr>
        <w:ind w:leftChars="100" w:left="220"/>
        <w:rPr>
          <w:i/>
          <w:color w:val="000000"/>
          <w:lang w:eastAsia="zh-CN"/>
        </w:rPr>
      </w:pPr>
      <w:r>
        <w:rPr>
          <w:i/>
          <w:color w:val="000000"/>
        </w:rPr>
        <w:t xml:space="preserve">W </w:t>
      </w:r>
      <w:r>
        <w:rPr>
          <w:lang w:eastAsia="zh-CN"/>
        </w:rPr>
        <w:t>denote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channel bandwidth</w:t>
      </w:r>
      <w:r>
        <w:rPr>
          <w:rFonts w:hint="eastAsia"/>
          <w:lang w:eastAsia="zh-CN"/>
        </w:rPr>
        <w:t>,</w:t>
      </w:r>
    </w:p>
    <w:p w:rsidR="00F82C0C" w:rsidRDefault="004866A2">
      <w:pPr>
        <w:ind w:leftChars="100" w:left="220"/>
        <w:rPr>
          <w:i/>
          <w:lang w:eastAsia="zh-CN"/>
        </w:rPr>
      </w:pPr>
      <w:proofErr w:type="spellStart"/>
      <w:r>
        <w:rPr>
          <w:i/>
        </w:rPr>
        <w:t>SE</w:t>
      </w:r>
      <w:r>
        <w:rPr>
          <w:rFonts w:hint="eastAsia"/>
          <w:i/>
          <w:vertAlign w:val="subscript"/>
          <w:lang w:eastAsia="zh-CN"/>
        </w:rPr>
        <w:t>user</w:t>
      </w:r>
      <w:proofErr w:type="spellEnd"/>
      <w:r>
        <w:rPr>
          <w:rFonts w:hint="eastAsia"/>
          <w:i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  <w:color w:val="000000" w:themeColor="text1"/>
          <w:lang w:eastAsia="zh-CN"/>
        </w:rPr>
        <w:t>5</w:t>
      </w:r>
      <w:r>
        <w:rPr>
          <w:rFonts w:hint="eastAsia"/>
          <w:color w:val="000000" w:themeColor="text1"/>
          <w:vertAlign w:val="superscript"/>
          <w:lang w:eastAsia="zh-CN"/>
        </w:rPr>
        <w:t>th</w:t>
      </w:r>
      <w:r>
        <w:rPr>
          <w:rFonts w:hint="eastAsia"/>
          <w:color w:val="000000" w:themeColor="text1"/>
          <w:lang w:eastAsia="zh-CN"/>
        </w:rPr>
        <w:t xml:space="preserve"> percentile </w:t>
      </w:r>
      <w:r>
        <w:rPr>
          <w:lang w:eastAsia="zh-CN"/>
        </w:rPr>
        <w:t>user</w:t>
      </w:r>
      <w:r>
        <w:t xml:space="preserve"> spectral efficiency</w:t>
      </w:r>
      <w:r>
        <w:rPr>
          <w:rFonts w:hint="eastAsia"/>
          <w:lang w:eastAsia="zh-CN"/>
        </w:rPr>
        <w:t>, and</w:t>
      </w:r>
    </w:p>
    <w:p w:rsidR="00F82C0C" w:rsidRDefault="004866A2">
      <w:pPr>
        <w:ind w:leftChars="100" w:left="220"/>
        <w:rPr>
          <w:lang w:eastAsia="zh-CN"/>
        </w:rPr>
      </w:pPr>
      <w:proofErr w:type="spellStart"/>
      <w:r>
        <w:rPr>
          <w:i/>
        </w:rPr>
        <w:t>R</w:t>
      </w:r>
      <w:r>
        <w:rPr>
          <w:i/>
          <w:vertAlign w:val="subscript"/>
        </w:rPr>
        <w:t>user</w:t>
      </w:r>
      <w:proofErr w:type="spellEnd"/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u</w:t>
      </w:r>
      <w:r>
        <w:rPr>
          <w:rFonts w:hint="eastAsia"/>
          <w:color w:val="000000" w:themeColor="text1"/>
          <w:lang w:eastAsia="zh-CN"/>
        </w:rPr>
        <w:t>ser Experience Data Rate.</w:t>
      </w:r>
    </w:p>
    <w:p w:rsidR="00F82C0C" w:rsidRDefault="004866A2">
      <w:pPr>
        <w:rPr>
          <w:lang w:eastAsia="zh-CN"/>
        </w:rPr>
      </w:pPr>
      <w:r>
        <w:rPr>
          <w:rFonts w:hint="eastAsia"/>
          <w:lang w:eastAsia="zh-CN"/>
        </w:rPr>
        <w:t xml:space="preserve">Moreover, its values can be seen in Table 2-1; as well as it is </w:t>
      </w:r>
      <w:r>
        <w:rPr>
          <w:lang w:eastAsia="zh-CN"/>
        </w:rPr>
        <w:t>noticeable</w:t>
      </w:r>
      <w:r>
        <w:rPr>
          <w:rFonts w:hint="eastAsia"/>
          <w:lang w:eastAsia="zh-CN"/>
        </w:rPr>
        <w:t xml:space="preserve"> seen that the evaluation of A </w:t>
      </w:r>
      <w:r w:rsidR="0085691C">
        <w:rPr>
          <w:rFonts w:hint="eastAsia"/>
          <w:lang w:eastAsia="zh-CN"/>
        </w:rPr>
        <w:t>User experience data rate</w:t>
      </w:r>
      <w:r>
        <w:rPr>
          <w:rFonts w:hint="eastAsia"/>
          <w:lang w:eastAsia="zh-CN"/>
        </w:rPr>
        <w:t xml:space="preserve"> is appreciated with </w:t>
      </w:r>
      <w:r>
        <w:rPr>
          <w:rFonts w:eastAsia="MS Mincho"/>
          <w:color w:val="000000" w:themeColor="text1"/>
        </w:rPr>
        <w:t xml:space="preserve">Dense Urban – </w:t>
      </w:r>
      <w:proofErr w:type="spellStart"/>
      <w:r>
        <w:rPr>
          <w:rFonts w:eastAsia="MS Mincho"/>
          <w:color w:val="000000" w:themeColor="text1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>.</w:t>
      </w:r>
    </w:p>
    <w:tbl>
      <w:tblPr>
        <w:tblStyle w:val="ab"/>
        <w:tblW w:w="5807" w:type="dxa"/>
        <w:jc w:val="center"/>
        <w:tblLayout w:type="fixed"/>
        <w:tblLook w:val="04A0"/>
      </w:tblPr>
      <w:tblGrid>
        <w:gridCol w:w="2972"/>
        <w:gridCol w:w="2835"/>
      </w:tblGrid>
      <w:tr w:rsidR="00F82C0C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C0C" w:rsidRDefault="004866A2">
            <w:pPr>
              <w:pStyle w:val="Tablehead"/>
              <w:rPr>
                <w:color w:val="000000" w:themeColor="text1"/>
                <w:szCs w:val="22"/>
                <w:lang w:eastAsia="ja-JP"/>
              </w:rPr>
            </w:pPr>
            <w:r>
              <w:rPr>
                <w:rFonts w:eastAsiaTheme="minorHAnsi"/>
                <w:color w:val="000000" w:themeColor="text1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C0C" w:rsidRDefault="004866A2">
            <w:pPr>
              <w:pStyle w:val="Tablehead"/>
              <w:rPr>
                <w:rFonts w:eastAsiaTheme="minorEastAsia"/>
                <w:color w:val="000000" w:themeColor="text1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US" w:eastAsia="zh-CN"/>
              </w:rPr>
              <w:t>Minimum values</w:t>
            </w:r>
          </w:p>
        </w:tc>
      </w:tr>
      <w:tr w:rsidR="00F82C0C">
        <w:trPr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C0C" w:rsidRDefault="004866A2">
            <w:pPr>
              <w:jc w:val="center"/>
              <w:rPr>
                <w:rFonts w:eastAsia="MS Mincho"/>
                <w:color w:val="000000" w:themeColor="text1"/>
                <w:szCs w:val="20"/>
              </w:rPr>
            </w:pPr>
            <w:r>
              <w:rPr>
                <w:rFonts w:eastAsia="MS Mincho"/>
                <w:color w:val="000000" w:themeColor="text1"/>
                <w:szCs w:val="20"/>
              </w:rPr>
              <w:t xml:space="preserve">Dense Urban – </w:t>
            </w:r>
            <w:proofErr w:type="spellStart"/>
            <w:r>
              <w:rPr>
                <w:rFonts w:eastAsia="MS Mincho"/>
                <w:color w:val="000000" w:themeColor="text1"/>
                <w:szCs w:val="20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C0C" w:rsidRDefault="004866A2">
            <w:pPr>
              <w:pStyle w:val="Tabletext"/>
              <w:jc w:val="center"/>
              <w:rPr>
                <w:rFonts w:eastAsiaTheme="minorHAnsi"/>
                <w:color w:val="000000" w:themeColor="text1"/>
                <w:lang w:eastAsia="ja-JP"/>
              </w:rPr>
            </w:pPr>
            <w:r>
              <w:rPr>
                <w:color w:val="000000" w:themeColor="text1"/>
                <w:lang w:val="en-US" w:eastAsia="zh-CN"/>
              </w:rPr>
              <w:t>Downlink</w:t>
            </w:r>
            <w:r>
              <w:rPr>
                <w:rFonts w:hint="eastAsia"/>
                <w:color w:val="000000" w:themeColor="text1"/>
                <w:lang w:val="en-US" w:eastAsia="zh-CN"/>
              </w:rPr>
              <w:t>:</w:t>
            </w:r>
            <w:r>
              <w:rPr>
                <w:color w:val="000000" w:themeColor="text1"/>
                <w:lang w:val="en-US" w:eastAsia="zh-CN"/>
              </w:rPr>
              <w:t xml:space="preserve"> 100 </w:t>
            </w:r>
            <w:proofErr w:type="spellStart"/>
            <w:r>
              <w:rPr>
                <w:color w:val="000000" w:themeColor="text1"/>
                <w:lang w:val="en-US" w:eastAsia="zh-CN"/>
              </w:rPr>
              <w:t>Mbit</w:t>
            </w:r>
            <w:proofErr w:type="spellEnd"/>
            <w:r>
              <w:rPr>
                <w:color w:val="000000" w:themeColor="text1"/>
                <w:lang w:val="en-US" w:eastAsia="zh-CN"/>
              </w:rPr>
              <w:t>/s</w:t>
            </w:r>
          </w:p>
        </w:tc>
      </w:tr>
      <w:tr w:rsidR="00F82C0C">
        <w:trPr>
          <w:jc w:val="center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C0C" w:rsidRDefault="00F82C0C">
            <w:pPr>
              <w:jc w:val="center"/>
              <w:rPr>
                <w:rFonts w:eastAsia="MS Mincho"/>
                <w:color w:val="000000" w:themeColor="text1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C0C" w:rsidRDefault="004866A2">
            <w:pPr>
              <w:pStyle w:val="Tabletext"/>
              <w:jc w:val="center"/>
              <w:rPr>
                <w:rFonts w:eastAsiaTheme="minorHAnsi"/>
                <w:color w:val="000000" w:themeColor="text1"/>
                <w:lang w:eastAsia="ja-JP"/>
              </w:rPr>
            </w:pPr>
            <w:r>
              <w:rPr>
                <w:color w:val="000000" w:themeColor="text1"/>
                <w:lang w:val="en-US" w:eastAsia="zh-CN"/>
              </w:rPr>
              <w:t>Uplink</w:t>
            </w:r>
            <w:r>
              <w:rPr>
                <w:rFonts w:hint="eastAsia"/>
                <w:color w:val="000000" w:themeColor="text1"/>
                <w:lang w:val="en-US" w:eastAsia="zh-CN"/>
              </w:rPr>
              <w:t>:</w:t>
            </w:r>
            <w:r>
              <w:rPr>
                <w:color w:val="000000" w:themeColor="text1"/>
                <w:lang w:val="en-US" w:eastAsia="zh-CN"/>
              </w:rPr>
              <w:t xml:space="preserve"> 50 </w:t>
            </w:r>
            <w:proofErr w:type="spellStart"/>
            <w:r>
              <w:rPr>
                <w:color w:val="000000" w:themeColor="text1"/>
                <w:lang w:val="en-US" w:eastAsia="zh-CN"/>
              </w:rPr>
              <w:t>Mbit</w:t>
            </w:r>
            <w:proofErr w:type="spellEnd"/>
            <w:r>
              <w:rPr>
                <w:color w:val="000000" w:themeColor="text1"/>
                <w:lang w:val="en-US" w:eastAsia="zh-CN"/>
              </w:rPr>
              <w:t>/s.</w:t>
            </w:r>
          </w:p>
        </w:tc>
      </w:tr>
    </w:tbl>
    <w:p w:rsidR="00F82C0C" w:rsidRDefault="004866A2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2-1</w:t>
      </w:r>
    </w:p>
    <w:p w:rsidR="00F82C0C" w:rsidRDefault="004866A2" w:rsidP="00E954F9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1: Based on ITU-R report, User </w:t>
      </w:r>
      <w:r w:rsidR="0085691C">
        <w:rPr>
          <w:rFonts w:hint="eastAsia"/>
          <w:b/>
          <w:i/>
          <w:szCs w:val="24"/>
          <w:lang w:eastAsia="zh-CN"/>
        </w:rPr>
        <w:t>e</w:t>
      </w:r>
      <w:r>
        <w:rPr>
          <w:rFonts w:hint="eastAsia"/>
          <w:b/>
          <w:i/>
          <w:szCs w:val="24"/>
          <w:lang w:eastAsia="zh-CN"/>
        </w:rPr>
        <w:t xml:space="preserve">xperience </w:t>
      </w:r>
      <w:r w:rsidR="0085691C">
        <w:rPr>
          <w:rFonts w:hint="eastAsia"/>
          <w:b/>
          <w:i/>
          <w:szCs w:val="24"/>
          <w:lang w:eastAsia="zh-CN"/>
        </w:rPr>
        <w:t>d</w:t>
      </w:r>
      <w:r>
        <w:rPr>
          <w:rFonts w:hint="eastAsia"/>
          <w:b/>
          <w:i/>
          <w:szCs w:val="24"/>
          <w:lang w:eastAsia="zh-CN"/>
        </w:rPr>
        <w:t xml:space="preserve">ata </w:t>
      </w:r>
      <w:r w:rsidR="0085691C">
        <w:rPr>
          <w:rFonts w:hint="eastAsia"/>
          <w:b/>
          <w:i/>
          <w:szCs w:val="24"/>
          <w:lang w:eastAsia="zh-CN"/>
        </w:rPr>
        <w:t>r</w:t>
      </w:r>
      <w:r>
        <w:rPr>
          <w:rFonts w:hint="eastAsia"/>
          <w:b/>
          <w:i/>
          <w:szCs w:val="24"/>
          <w:lang w:eastAsia="zh-CN"/>
        </w:rPr>
        <w:t xml:space="preserve">ate can be evaluated in </w:t>
      </w:r>
      <w:r>
        <w:rPr>
          <w:b/>
          <w:i/>
          <w:szCs w:val="24"/>
          <w:lang w:eastAsia="zh-CN"/>
        </w:rPr>
        <w:t xml:space="preserve">Dense Urban – </w:t>
      </w:r>
      <w:proofErr w:type="spellStart"/>
      <w:r>
        <w:rPr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; and the minimum requirements are </w:t>
      </w:r>
      <w:r>
        <w:rPr>
          <w:b/>
          <w:i/>
          <w:szCs w:val="24"/>
          <w:lang w:eastAsia="zh-CN"/>
        </w:rPr>
        <w:t xml:space="preserve">100 </w:t>
      </w:r>
      <w:proofErr w:type="spellStart"/>
      <w:r>
        <w:rPr>
          <w:b/>
          <w:i/>
          <w:szCs w:val="24"/>
          <w:lang w:eastAsia="zh-CN"/>
        </w:rPr>
        <w:t>Mbit</w:t>
      </w:r>
      <w:proofErr w:type="spellEnd"/>
      <w:r>
        <w:rPr>
          <w:b/>
          <w:i/>
          <w:szCs w:val="24"/>
          <w:lang w:eastAsia="zh-CN"/>
        </w:rPr>
        <w:t>/s in</w:t>
      </w:r>
      <w:r>
        <w:rPr>
          <w:rFonts w:hint="eastAsia"/>
          <w:b/>
          <w:i/>
          <w:szCs w:val="24"/>
          <w:lang w:eastAsia="zh-CN"/>
        </w:rPr>
        <w:t xml:space="preserve"> downlink and </w:t>
      </w:r>
      <w:r>
        <w:rPr>
          <w:b/>
          <w:i/>
          <w:szCs w:val="24"/>
          <w:lang w:eastAsia="zh-CN"/>
        </w:rPr>
        <w:t xml:space="preserve">50 </w:t>
      </w:r>
      <w:proofErr w:type="spellStart"/>
      <w:r>
        <w:rPr>
          <w:b/>
          <w:i/>
          <w:szCs w:val="24"/>
          <w:lang w:eastAsia="zh-CN"/>
        </w:rPr>
        <w:t>Mbit</w:t>
      </w:r>
      <w:proofErr w:type="spellEnd"/>
      <w:r>
        <w:rPr>
          <w:b/>
          <w:i/>
          <w:szCs w:val="24"/>
          <w:lang w:eastAsia="zh-CN"/>
        </w:rPr>
        <w:t>/s</w:t>
      </w:r>
      <w:r>
        <w:rPr>
          <w:rFonts w:hint="eastAsia"/>
          <w:b/>
          <w:i/>
          <w:szCs w:val="24"/>
          <w:lang w:eastAsia="zh-CN"/>
        </w:rPr>
        <w:t xml:space="preserve"> in uplink, respectively. </w:t>
      </w:r>
    </w:p>
    <w:p w:rsidR="00F82C0C" w:rsidRDefault="00F10CFA" w:rsidP="00E954F9">
      <w:pPr>
        <w:spacing w:beforeLines="50" w:afterLines="50"/>
        <w:rPr>
          <w:lang w:eastAsia="zh-CN"/>
        </w:rPr>
      </w:pPr>
      <w:r>
        <w:rPr>
          <w:lang w:eastAsia="zh-CN"/>
        </w:rPr>
        <w:t>Furthermore</w:t>
      </w:r>
      <w:r w:rsidR="004866A2">
        <w:rPr>
          <w:rFonts w:hint="eastAsia"/>
          <w:lang w:eastAsia="zh-CN"/>
        </w:rPr>
        <w:t xml:space="preserve">, the high-level assessment method of </w:t>
      </w:r>
      <w:r w:rsidR="0085691C">
        <w:rPr>
          <w:rFonts w:hint="eastAsia"/>
          <w:lang w:eastAsia="zh-CN"/>
        </w:rPr>
        <w:t>User experience data rate</w:t>
      </w:r>
      <w:r w:rsidR="004866A2">
        <w:rPr>
          <w:rFonts w:hint="eastAsia"/>
          <w:lang w:eastAsia="zh-CN"/>
        </w:rPr>
        <w:t xml:space="preserve"> also be approved in ITU-R report M.2412 [3], which is analytical for single layer configurations, while is simulation for multi-layer configurations.</w:t>
      </w:r>
    </w:p>
    <w:p w:rsidR="00A34FB6" w:rsidRPr="00A34FB6" w:rsidRDefault="00A34FB6" w:rsidP="00A34FB6">
      <w:pPr>
        <w:rPr>
          <w:lang w:val="en-GB"/>
        </w:rPr>
      </w:pPr>
      <w:r w:rsidRPr="00A34FB6">
        <w:rPr>
          <w:rFonts w:hint="eastAsia"/>
          <w:lang w:val="en-GB"/>
        </w:rPr>
        <w:lastRenderedPageBreak/>
        <w:t xml:space="preserve">On the other hand, 3GPP </w:t>
      </w:r>
      <w:r>
        <w:rPr>
          <w:rFonts w:hint="eastAsia"/>
          <w:lang w:val="en-GB" w:eastAsia="zh-CN"/>
        </w:rPr>
        <w:t xml:space="preserve">has defined </w:t>
      </w:r>
      <w:r>
        <w:rPr>
          <w:lang w:val="en-GB"/>
        </w:rPr>
        <w:t xml:space="preserve">the bandwidth supported by NR in </w:t>
      </w:r>
      <w:r>
        <w:rPr>
          <w:rFonts w:hint="eastAsia"/>
          <w:lang w:val="en-GB" w:eastAsia="zh-CN"/>
        </w:rPr>
        <w:t>FR1 (</w:t>
      </w:r>
      <w:r>
        <w:rPr>
          <w:lang w:val="en-GB"/>
        </w:rPr>
        <w:t>Frequency Range 1</w:t>
      </w:r>
      <w:r>
        <w:rPr>
          <w:rFonts w:hint="eastAsia"/>
          <w:lang w:val="en-GB" w:eastAsia="zh-CN"/>
        </w:rPr>
        <w:t>)</w:t>
      </w:r>
      <w:r>
        <w:rPr>
          <w:lang w:val="en-GB"/>
        </w:rPr>
        <w:t>.</w:t>
      </w:r>
      <w:r>
        <w:rPr>
          <w:rFonts w:hint="eastAsia"/>
          <w:lang w:val="en-GB" w:eastAsia="zh-CN"/>
        </w:rPr>
        <w:t xml:space="preserve"> Moreover, specific supported bandwidth can be found in below table. Meanwhile, </w:t>
      </w:r>
      <w:r w:rsidR="001A70E2">
        <w:rPr>
          <w:lang w:val="en-GB"/>
        </w:rPr>
        <w:t xml:space="preserve">NR </w:t>
      </w:r>
      <w:r w:rsidR="001A70E2">
        <w:rPr>
          <w:rFonts w:hint="eastAsia"/>
          <w:lang w:val="en-GB" w:eastAsia="zh-CN"/>
        </w:rPr>
        <w:t xml:space="preserve">is able to </w:t>
      </w:r>
      <w:r w:rsidR="001A70E2">
        <w:rPr>
          <w:lang w:val="en-GB"/>
        </w:rPr>
        <w:t>support aggregation of 16 component carriers</w:t>
      </w:r>
      <w:r w:rsidR="001A70E2">
        <w:rPr>
          <w:rFonts w:hint="eastAsia"/>
          <w:lang w:val="en-GB" w:eastAsia="zh-CN"/>
        </w:rPr>
        <w:t xml:space="preserve"> in Rel-15.</w:t>
      </w:r>
      <w:r>
        <w:rPr>
          <w:lang w:val="en-GB"/>
        </w:rPr>
        <w:t xml:space="preserve"> </w:t>
      </w:r>
    </w:p>
    <w:tbl>
      <w:tblPr>
        <w:tblpPr w:leftFromText="142" w:rightFromText="142" w:vertAnchor="text" w:tblpXSpec="center" w:tblpY="1"/>
        <w:tblOverlap w:val="never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/>
      </w:tblPr>
      <w:tblGrid>
        <w:gridCol w:w="604"/>
        <w:gridCol w:w="708"/>
        <w:gridCol w:w="733"/>
        <w:gridCol w:w="733"/>
        <w:gridCol w:w="708"/>
        <w:gridCol w:w="708"/>
        <w:gridCol w:w="708"/>
        <w:gridCol w:w="708"/>
        <w:gridCol w:w="733"/>
        <w:gridCol w:w="709"/>
        <w:gridCol w:w="709"/>
        <w:gridCol w:w="704"/>
      </w:tblGrid>
      <w:tr w:rsidR="00A34FB6" w:rsidTr="00A34FB6"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SCS (kHz)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5MHz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10MHz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15MHz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20 MHz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25 MHz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30 MHz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40 MHz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50MHz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60 MHz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80 MHz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100 MHz</w:t>
            </w:r>
          </w:p>
        </w:tc>
      </w:tr>
      <w:tr w:rsidR="00A34FB6" w:rsidTr="00A34FB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FB6" w:rsidRPr="00E954F9" w:rsidRDefault="00A34FB6" w:rsidP="00DE01A6">
            <w:pPr>
              <w:rPr>
                <w:rFonts w:eastAsia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H"/>
              <w:rPr>
                <w:rFonts w:ascii="Times New Roman" w:hAnsi="Times New Roman" w:cs="Times New Roman"/>
                <w:lang w:eastAsia="en-US"/>
              </w:rPr>
            </w:pPr>
            <w:r w:rsidRPr="00E954F9">
              <w:rPr>
                <w:rFonts w:ascii="Times New Roman" w:hAnsi="Times New Roman" w:cs="Times New Roman"/>
                <w:lang w:eastAsia="en-US"/>
              </w:rPr>
              <w:t>N</w:t>
            </w:r>
            <w:r w:rsidRPr="00E954F9">
              <w:rPr>
                <w:rFonts w:ascii="Times New Roman" w:hAnsi="Times New Roman" w:cs="Times New Roman"/>
                <w:vertAlign w:val="subscript"/>
                <w:lang w:eastAsia="en-US"/>
              </w:rPr>
              <w:t>RB</w:t>
            </w:r>
          </w:p>
        </w:tc>
      </w:tr>
      <w:tr w:rsidR="00A34FB6" w:rsidTr="00A34F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25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52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79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106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133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[160]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216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270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N/A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N/A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N/A</w:t>
            </w:r>
          </w:p>
        </w:tc>
      </w:tr>
      <w:tr w:rsidR="00A34FB6" w:rsidTr="00A34F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30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24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38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51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65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[78]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106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133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162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217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273</w:t>
            </w:r>
          </w:p>
        </w:tc>
      </w:tr>
      <w:tr w:rsidR="00A34FB6" w:rsidTr="00A34FB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60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N/A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24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31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[38]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51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65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79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107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A34FB6" w:rsidRPr="00E954F9" w:rsidRDefault="00A34FB6" w:rsidP="00DE01A6">
            <w:pPr>
              <w:pStyle w:val="TAC"/>
              <w:rPr>
                <w:rFonts w:ascii="Times New Roman" w:hAnsi="Times New Roman"/>
              </w:rPr>
            </w:pPr>
            <w:r w:rsidRPr="00E954F9">
              <w:rPr>
                <w:rFonts w:ascii="Times New Roman" w:hAnsi="Times New Roman"/>
              </w:rPr>
              <w:t>135</w:t>
            </w:r>
          </w:p>
        </w:tc>
      </w:tr>
    </w:tbl>
    <w:p w:rsidR="00A34FB6" w:rsidRPr="00A34FB6" w:rsidRDefault="00A34FB6" w:rsidP="00A34FB6">
      <w:pPr>
        <w:pStyle w:val="ae"/>
        <w:keepNext/>
        <w:jc w:val="center"/>
        <w:rPr>
          <w:rFonts w:eastAsia="宋体"/>
          <w:i w:val="0"/>
          <w:iCs w:val="0"/>
          <w:color w:val="auto"/>
          <w:sz w:val="22"/>
          <w:szCs w:val="22"/>
          <w:lang w:eastAsia="zh-CN"/>
        </w:rPr>
      </w:pPr>
      <w:r w:rsidRPr="00A34FB6">
        <w:rPr>
          <w:rFonts w:eastAsia="宋体"/>
          <w:i w:val="0"/>
          <w:iCs w:val="0"/>
          <w:color w:val="auto"/>
          <w:sz w:val="22"/>
          <w:szCs w:val="22"/>
          <w:lang w:eastAsia="zh-CN"/>
        </w:rPr>
        <w:t xml:space="preserve">Table </w:t>
      </w:r>
      <w:r>
        <w:rPr>
          <w:rFonts w:eastAsia="宋体" w:hint="eastAsia"/>
          <w:i w:val="0"/>
          <w:iCs w:val="0"/>
          <w:color w:val="auto"/>
          <w:sz w:val="22"/>
          <w:szCs w:val="22"/>
          <w:lang w:eastAsia="zh-CN"/>
        </w:rPr>
        <w:t>2-2</w:t>
      </w:r>
      <w:r w:rsidRPr="00A34FB6">
        <w:rPr>
          <w:rFonts w:eastAsia="宋体"/>
          <w:i w:val="0"/>
          <w:iCs w:val="0"/>
          <w:color w:val="auto"/>
          <w:sz w:val="22"/>
          <w:szCs w:val="22"/>
          <w:lang w:eastAsia="zh-CN"/>
        </w:rPr>
        <w:t>: Maximum transmission bandwidth configuration NRB in FR1</w:t>
      </w:r>
    </w:p>
    <w:p w:rsidR="00F82C0C" w:rsidRDefault="004866A2" w:rsidP="00E954F9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Evaluation results</w:t>
      </w:r>
    </w:p>
    <w:p w:rsidR="00F82C0C" w:rsidRDefault="004866A2">
      <w:pPr>
        <w:pStyle w:val="2"/>
        <w:rPr>
          <w:lang w:eastAsia="zh-CN"/>
        </w:rPr>
      </w:pPr>
      <w:r>
        <w:rPr>
          <w:rFonts w:hint="eastAsia"/>
          <w:lang w:eastAsia="zh-CN"/>
        </w:rPr>
        <w:t>One layer configuration</w:t>
      </w:r>
    </w:p>
    <w:p w:rsidR="00F82C0C" w:rsidRDefault="004866A2">
      <w:pPr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Generally, obtaining </w:t>
      </w:r>
      <w:r>
        <w:rPr>
          <w:lang w:eastAsia="zh-CN"/>
        </w:rPr>
        <w:t>User experienced data rate</w:t>
      </w:r>
      <w:r>
        <w:rPr>
          <w:rFonts w:hint="eastAsia"/>
          <w:lang w:eastAsia="zh-CN"/>
        </w:rPr>
        <w:t xml:space="preserve"> can be based on the eval</w:t>
      </w:r>
      <w:r w:rsidRPr="0085691C">
        <w:rPr>
          <w:rFonts w:hint="eastAsia"/>
          <w:lang w:eastAsia="zh-CN"/>
        </w:rPr>
        <w:t>uated results [4] of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5</w:t>
      </w:r>
      <w:r>
        <w:rPr>
          <w:rFonts w:hint="eastAsia"/>
          <w:color w:val="000000" w:themeColor="text1"/>
          <w:vertAlign w:val="superscript"/>
          <w:lang w:eastAsia="zh-CN"/>
        </w:rPr>
        <w:t>th</w:t>
      </w:r>
      <w:r>
        <w:rPr>
          <w:rFonts w:hint="eastAsia"/>
          <w:color w:val="000000" w:themeColor="text1"/>
          <w:lang w:eastAsia="zh-CN"/>
        </w:rPr>
        <w:t xml:space="preserve"> percentile </w:t>
      </w:r>
      <w:r>
        <w:rPr>
          <w:lang w:eastAsia="zh-CN"/>
        </w:rPr>
        <w:t>user</w:t>
      </w:r>
      <w:r>
        <w:t xml:space="preserve"> spectral efficiency for the </w:t>
      </w:r>
      <w:r>
        <w:rPr>
          <w:rFonts w:hint="eastAsia"/>
          <w:lang w:eastAsia="zh-CN"/>
        </w:rPr>
        <w:t>configuration A of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t>test environment</w:t>
      </w:r>
      <w:r>
        <w:rPr>
          <w:rFonts w:hint="eastAsia"/>
          <w:lang w:eastAsia="zh-CN"/>
        </w:rPr>
        <w:t>.</w:t>
      </w:r>
    </w:p>
    <w:tbl>
      <w:tblPr>
        <w:tblStyle w:val="ab"/>
        <w:tblW w:w="8522" w:type="dxa"/>
        <w:jc w:val="center"/>
        <w:tblLayout w:type="fixed"/>
        <w:tblLook w:val="04A0"/>
      </w:tblPr>
      <w:tblGrid>
        <w:gridCol w:w="1526"/>
        <w:gridCol w:w="1276"/>
        <w:gridCol w:w="1275"/>
        <w:gridCol w:w="1843"/>
        <w:gridCol w:w="2602"/>
      </w:tblGrid>
      <w:tr w:rsidR="00A34FB6" w:rsidTr="003E6F52">
        <w:trPr>
          <w:trHeight w:val="1044"/>
          <w:jc w:val="center"/>
        </w:trPr>
        <w:tc>
          <w:tcPr>
            <w:tcW w:w="1526" w:type="dxa"/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Dense Urban-</w:t>
            </w:r>
            <w:proofErr w:type="spellStart"/>
            <w:r>
              <w:rPr>
                <w:rFonts w:hint="eastAsia"/>
                <w:szCs w:val="20"/>
                <w:lang w:eastAsia="zh-CN"/>
              </w:rPr>
              <w:t>eMBB</w:t>
            </w:r>
            <w:proofErr w:type="spellEnd"/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b/>
                <w:color w:val="2E3133"/>
                <w:sz w:val="21"/>
                <w:szCs w:val="21"/>
                <w:lang w:eastAsia="zh-CN"/>
              </w:rPr>
              <w:t>Channel model</w:t>
            </w:r>
          </w:p>
        </w:tc>
        <w:tc>
          <w:tcPr>
            <w:tcW w:w="1275" w:type="dxa"/>
            <w:tcBorders>
              <w:lef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Bandwidth</w:t>
            </w:r>
          </w:p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(MHz)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User experienced data rate</w:t>
            </w:r>
          </w:p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（</w:t>
            </w:r>
            <w:proofErr w:type="spellStart"/>
            <w:r>
              <w:rPr>
                <w:color w:val="000000" w:themeColor="text1"/>
                <w:szCs w:val="20"/>
                <w:lang w:eastAsia="zh-CN"/>
              </w:rPr>
              <w:t>Mbit</w:t>
            </w:r>
            <w:proofErr w:type="spellEnd"/>
            <w:r>
              <w:rPr>
                <w:color w:val="000000" w:themeColor="text1"/>
                <w:szCs w:val="20"/>
                <w:lang w:eastAsia="zh-CN"/>
              </w:rPr>
              <w:t>/s</w:t>
            </w:r>
            <w:r>
              <w:rPr>
                <w:rFonts w:hint="eastAsia"/>
                <w:szCs w:val="20"/>
                <w:lang w:eastAsia="zh-CN"/>
              </w:rPr>
              <w:t>）</w:t>
            </w:r>
          </w:p>
        </w:tc>
        <w:tc>
          <w:tcPr>
            <w:tcW w:w="2602" w:type="dxa"/>
            <w:tcBorders>
              <w:left w:val="double" w:sz="4" w:space="0" w:color="auto"/>
            </w:tcBorders>
            <w:vAlign w:val="center"/>
          </w:tcPr>
          <w:p w:rsidR="00A34FB6" w:rsidRDefault="00A34FB6" w:rsidP="00F10CFA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Required Bandwidth for </w:t>
            </w:r>
            <w:r w:rsidR="00F10CFA">
              <w:rPr>
                <w:rFonts w:hint="eastAsia"/>
                <w:szCs w:val="20"/>
                <w:lang w:eastAsia="zh-CN"/>
              </w:rPr>
              <w:t>obtaining User experience data rate in M.2410</w:t>
            </w:r>
          </w:p>
        </w:tc>
      </w:tr>
      <w:tr w:rsidR="00A34FB6" w:rsidTr="003E6F52">
        <w:trPr>
          <w:jc w:val="center"/>
        </w:trPr>
        <w:tc>
          <w:tcPr>
            <w:tcW w:w="1526" w:type="dxa"/>
            <w:vMerge w:val="restart"/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32TXRU TDD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Model</w:t>
            </w:r>
            <w:r>
              <w:rPr>
                <w:rFonts w:hint="eastAsia"/>
                <w:szCs w:val="20"/>
                <w:lang w:eastAsia="zh-CN"/>
              </w:rPr>
              <w:t xml:space="preserve"> A</w:t>
            </w:r>
          </w:p>
        </w:tc>
        <w:tc>
          <w:tcPr>
            <w:tcW w:w="1275" w:type="dxa"/>
            <w:tcBorders>
              <w:lef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</w:pPr>
            <w:r>
              <w:rPr>
                <w:rFonts w:hint="eastAsia"/>
                <w:szCs w:val="20"/>
                <w:lang w:eastAsia="zh-CN"/>
              </w:rPr>
              <w:t>400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</w:pPr>
            <w:r>
              <w:rPr>
                <w:rFonts w:hint="eastAsia"/>
                <w:szCs w:val="20"/>
                <w:lang w:eastAsia="zh-CN"/>
              </w:rPr>
              <w:t>106.81</w:t>
            </w:r>
          </w:p>
        </w:tc>
        <w:tc>
          <w:tcPr>
            <w:tcW w:w="2602" w:type="dxa"/>
            <w:tcBorders>
              <w:lef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375MHz</w:t>
            </w:r>
          </w:p>
        </w:tc>
      </w:tr>
      <w:tr w:rsidR="00A34FB6" w:rsidTr="003E6F52">
        <w:trPr>
          <w:jc w:val="center"/>
        </w:trPr>
        <w:tc>
          <w:tcPr>
            <w:tcW w:w="1526" w:type="dxa"/>
            <w:vMerge/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Model</w:t>
            </w:r>
            <w:r>
              <w:rPr>
                <w:rFonts w:hint="eastAsia"/>
                <w:szCs w:val="20"/>
                <w:lang w:eastAsia="zh-CN"/>
              </w:rPr>
              <w:t xml:space="preserve"> B</w:t>
            </w:r>
          </w:p>
        </w:tc>
        <w:tc>
          <w:tcPr>
            <w:tcW w:w="1275" w:type="dxa"/>
            <w:tcBorders>
              <w:lef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</w:pPr>
            <w:r>
              <w:rPr>
                <w:rFonts w:hint="eastAsia"/>
                <w:szCs w:val="20"/>
                <w:lang w:eastAsia="zh-CN"/>
              </w:rPr>
              <w:t>480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</w:pPr>
            <w:r>
              <w:rPr>
                <w:rFonts w:hint="eastAsia"/>
                <w:szCs w:val="20"/>
                <w:lang w:eastAsia="zh-CN"/>
              </w:rPr>
              <w:t>109.53</w:t>
            </w:r>
          </w:p>
        </w:tc>
        <w:tc>
          <w:tcPr>
            <w:tcW w:w="2602" w:type="dxa"/>
            <w:tcBorders>
              <w:lef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439MHz</w:t>
            </w:r>
          </w:p>
        </w:tc>
      </w:tr>
      <w:tr w:rsidR="00A34FB6" w:rsidTr="003E6F52">
        <w:trPr>
          <w:jc w:val="center"/>
        </w:trPr>
        <w:tc>
          <w:tcPr>
            <w:tcW w:w="1526" w:type="dxa"/>
            <w:vMerge w:val="restart"/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64TXRU TDD</w:t>
            </w: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Model</w:t>
            </w:r>
            <w:r>
              <w:rPr>
                <w:rFonts w:hint="eastAsia"/>
                <w:szCs w:val="20"/>
                <w:lang w:eastAsia="zh-CN"/>
              </w:rPr>
              <w:t xml:space="preserve"> A</w:t>
            </w:r>
          </w:p>
        </w:tc>
        <w:tc>
          <w:tcPr>
            <w:tcW w:w="1275" w:type="dxa"/>
            <w:tcBorders>
              <w:lef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</w:pPr>
            <w:r>
              <w:rPr>
                <w:rFonts w:hint="eastAsia"/>
                <w:szCs w:val="20"/>
                <w:lang w:eastAsia="zh-CN"/>
              </w:rPr>
              <w:t>400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</w:pPr>
            <w:r>
              <w:rPr>
                <w:rFonts w:hint="eastAsia"/>
                <w:szCs w:val="20"/>
                <w:lang w:eastAsia="zh-CN"/>
              </w:rPr>
              <w:t>118.46</w:t>
            </w:r>
          </w:p>
        </w:tc>
        <w:tc>
          <w:tcPr>
            <w:tcW w:w="2602" w:type="dxa"/>
            <w:tcBorders>
              <w:lef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338MHz</w:t>
            </w:r>
          </w:p>
        </w:tc>
      </w:tr>
      <w:tr w:rsidR="00A34FB6" w:rsidTr="003E6F52">
        <w:trPr>
          <w:jc w:val="center"/>
        </w:trPr>
        <w:tc>
          <w:tcPr>
            <w:tcW w:w="1526" w:type="dxa"/>
            <w:vMerge/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Model</w:t>
            </w:r>
            <w:r>
              <w:rPr>
                <w:rFonts w:hint="eastAsia"/>
                <w:szCs w:val="20"/>
                <w:lang w:eastAsia="zh-CN"/>
              </w:rPr>
              <w:t xml:space="preserve"> B</w:t>
            </w:r>
          </w:p>
        </w:tc>
        <w:tc>
          <w:tcPr>
            <w:tcW w:w="1275" w:type="dxa"/>
            <w:tcBorders>
              <w:lef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</w:pPr>
            <w:r>
              <w:rPr>
                <w:rFonts w:hint="eastAsia"/>
                <w:szCs w:val="20"/>
                <w:lang w:eastAsia="zh-CN"/>
              </w:rPr>
              <w:t>400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</w:pPr>
            <w:r>
              <w:rPr>
                <w:rFonts w:hint="eastAsia"/>
                <w:szCs w:val="20"/>
                <w:lang w:eastAsia="zh-CN"/>
              </w:rPr>
              <w:t>110.69</w:t>
            </w:r>
          </w:p>
        </w:tc>
        <w:tc>
          <w:tcPr>
            <w:tcW w:w="2602" w:type="dxa"/>
            <w:tcBorders>
              <w:left w:val="double" w:sz="4" w:space="0" w:color="auto"/>
            </w:tcBorders>
            <w:vAlign w:val="center"/>
          </w:tcPr>
          <w:p w:rsidR="00A34FB6" w:rsidRDefault="00A34FB6" w:rsidP="00A34FB6">
            <w:pPr>
              <w:spacing w:after="0"/>
              <w:jc w:val="center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362MHz</w:t>
            </w:r>
          </w:p>
        </w:tc>
      </w:tr>
    </w:tbl>
    <w:p w:rsidR="00F82C0C" w:rsidRDefault="003E6F52">
      <w:pPr>
        <w:jc w:val="center"/>
        <w:rPr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Table 3-1 Downlink evaluated results of User experience data rate in TDD</w:t>
      </w:r>
    </w:p>
    <w:p w:rsidR="003E6F52" w:rsidRDefault="003E6F52" w:rsidP="003E6F52">
      <w:pPr>
        <w:rPr>
          <w:lang w:eastAsia="zh-CN"/>
        </w:rPr>
      </w:pPr>
      <w:r>
        <w:rPr>
          <w:rFonts w:hint="eastAsia"/>
          <w:lang w:eastAsia="zh-CN"/>
        </w:rPr>
        <w:t>Table 3-1 shows minimum bandwidth to meet ITU-R requirement of User experience data rate in DL TDD below 6GHz</w:t>
      </w:r>
      <w:r w:rsidR="00134BE6">
        <w:rPr>
          <w:rFonts w:hint="eastAsia"/>
          <w:lang w:eastAsia="zh-CN"/>
        </w:rPr>
        <w:t xml:space="preserve">; while at least 400MHz bandwidth </w:t>
      </w:r>
      <w:r w:rsidR="00C60D30">
        <w:rPr>
          <w:rFonts w:hint="eastAsia"/>
          <w:lang w:eastAsia="zh-CN"/>
        </w:rPr>
        <w:t xml:space="preserve">is seen as actual deployment for </w:t>
      </w:r>
      <w:r w:rsidR="00C60D30">
        <w:rPr>
          <w:lang w:eastAsia="zh-CN"/>
        </w:rPr>
        <w:t>satisfied</w:t>
      </w:r>
      <w:r w:rsidR="00C60D30">
        <w:rPr>
          <w:rFonts w:hint="eastAsia"/>
          <w:lang w:eastAsia="zh-CN"/>
        </w:rPr>
        <w:t xml:space="preserve"> minimum DL </w:t>
      </w:r>
      <w:r w:rsidR="00C60D30">
        <w:rPr>
          <w:lang w:eastAsia="zh-CN"/>
        </w:rPr>
        <w:t>requirement</w:t>
      </w:r>
      <w:r w:rsidR="00C60D30">
        <w:rPr>
          <w:rFonts w:hint="eastAsia"/>
          <w:lang w:eastAsia="zh-CN"/>
        </w:rPr>
        <w:t xml:space="preserve"> of User experience data rate in ITU</w:t>
      </w:r>
      <w:r>
        <w:rPr>
          <w:rFonts w:hint="eastAsia"/>
          <w:lang w:eastAsia="zh-CN"/>
        </w:rPr>
        <w:t xml:space="preserve">. More </w:t>
      </w:r>
      <w:r>
        <w:rPr>
          <w:lang w:eastAsia="zh-CN"/>
        </w:rPr>
        <w:t>specifically</w:t>
      </w:r>
      <w:r>
        <w:rPr>
          <w:rFonts w:hint="eastAsia"/>
          <w:lang w:eastAsia="zh-CN"/>
        </w:rPr>
        <w:t xml:space="preserve">, </w:t>
      </w:r>
      <w:r w:rsidR="00EC08C4">
        <w:rPr>
          <w:rFonts w:hint="eastAsia"/>
          <w:lang w:eastAsia="zh-CN"/>
        </w:rPr>
        <w:t xml:space="preserve">in model A, </w:t>
      </w:r>
      <w:r w:rsidR="00EC08C4">
        <w:rPr>
          <w:lang w:val="en-GB"/>
        </w:rPr>
        <w:t xml:space="preserve">aggregating </w:t>
      </w:r>
      <w:r w:rsidR="00EC08C4">
        <w:rPr>
          <w:rFonts w:hint="eastAsia"/>
          <w:lang w:val="en-GB" w:eastAsia="zh-CN"/>
        </w:rPr>
        <w:t xml:space="preserve">at least </w:t>
      </w:r>
      <w:r w:rsidR="00EC08C4">
        <w:rPr>
          <w:lang w:val="en-GB"/>
        </w:rPr>
        <w:t>4 component carriers</w:t>
      </w:r>
      <w:r w:rsidR="00EC08C4">
        <w:rPr>
          <w:rFonts w:hint="eastAsia"/>
          <w:lang w:val="en-GB" w:eastAsia="zh-CN"/>
        </w:rPr>
        <w:t xml:space="preserve"> can achieve ITU-R requirements, e.g. </w:t>
      </w:r>
      <w:r w:rsidR="00EC08C4">
        <w:rPr>
          <w:lang w:val="en-GB"/>
        </w:rPr>
        <w:t>aggregating</w:t>
      </w:r>
      <w:r w:rsidR="00EC08C4">
        <w:rPr>
          <w:rFonts w:hint="eastAsia"/>
          <w:lang w:val="en-GB" w:eastAsia="zh-CN"/>
        </w:rPr>
        <w:t xml:space="preserve"> 4 of 100MHz</w:t>
      </w:r>
      <w:r w:rsidR="00EC08C4">
        <w:rPr>
          <w:rFonts w:hint="eastAsia"/>
          <w:lang w:eastAsia="zh-CN"/>
        </w:rPr>
        <w:t xml:space="preserve">; while in model B, it is necessary to up to 5 </w:t>
      </w:r>
      <w:r w:rsidR="00EC08C4">
        <w:rPr>
          <w:lang w:val="en-GB"/>
        </w:rPr>
        <w:t>aggregating</w:t>
      </w:r>
      <w:r w:rsidR="00EC08C4" w:rsidRPr="00EC08C4">
        <w:rPr>
          <w:lang w:val="en-GB"/>
        </w:rPr>
        <w:t xml:space="preserve"> </w:t>
      </w:r>
      <w:r w:rsidR="00EC08C4">
        <w:rPr>
          <w:lang w:val="en-GB"/>
        </w:rPr>
        <w:t>component carriers</w:t>
      </w:r>
      <w:r w:rsidR="00EC08C4">
        <w:rPr>
          <w:rFonts w:hint="eastAsia"/>
          <w:lang w:val="en-GB" w:eastAsia="zh-CN"/>
        </w:rPr>
        <w:t>.</w:t>
      </w:r>
    </w:p>
    <w:p w:rsidR="00F82C0C" w:rsidRDefault="004866A2" w:rsidP="00E954F9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2: </w:t>
      </w:r>
      <w:r w:rsidR="00D16B48">
        <w:rPr>
          <w:rFonts w:hint="eastAsia"/>
          <w:b/>
          <w:i/>
          <w:szCs w:val="24"/>
          <w:lang w:eastAsia="zh-CN"/>
        </w:rPr>
        <w:t>NR can meet User experience data rate in Downlink Dense Urban-</w:t>
      </w:r>
      <w:proofErr w:type="spellStart"/>
      <w:r w:rsidR="00D16B48">
        <w:rPr>
          <w:rFonts w:hint="eastAsia"/>
          <w:b/>
          <w:i/>
          <w:szCs w:val="24"/>
          <w:lang w:eastAsia="zh-CN"/>
        </w:rPr>
        <w:t>eMBB</w:t>
      </w:r>
      <w:proofErr w:type="spellEnd"/>
      <w:r w:rsidR="00D16B48">
        <w:rPr>
          <w:rFonts w:hint="eastAsia"/>
          <w:b/>
          <w:i/>
          <w:szCs w:val="24"/>
          <w:lang w:eastAsia="zh-CN"/>
        </w:rPr>
        <w:t xml:space="preserve"> test environment.</w:t>
      </w:r>
    </w:p>
    <w:p w:rsidR="00F82C0C" w:rsidRDefault="004866A2" w:rsidP="00E954F9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F82C0C" w:rsidRDefault="004866A2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both Mobility and </w:t>
      </w:r>
      <w:r>
        <w:rPr>
          <w:lang w:eastAsia="zh-CN"/>
        </w:rPr>
        <w:t>Reliability</w:t>
      </w:r>
      <w:r>
        <w:rPr>
          <w:rFonts w:hint="eastAsia"/>
          <w:lang w:eastAsia="zh-CN"/>
        </w:rPr>
        <w:t xml:space="preserve"> of evaluation towards IMT-2020 submission. </w:t>
      </w:r>
    </w:p>
    <w:p w:rsidR="00F82C0C" w:rsidRDefault="004866A2" w:rsidP="00E954F9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1: Based on ITU-R report, User </w:t>
      </w:r>
      <w:r w:rsidR="0085691C">
        <w:rPr>
          <w:rFonts w:hint="eastAsia"/>
          <w:b/>
          <w:i/>
          <w:szCs w:val="24"/>
          <w:lang w:eastAsia="zh-CN"/>
        </w:rPr>
        <w:t>e</w:t>
      </w:r>
      <w:r>
        <w:rPr>
          <w:rFonts w:hint="eastAsia"/>
          <w:b/>
          <w:i/>
          <w:szCs w:val="24"/>
          <w:lang w:eastAsia="zh-CN"/>
        </w:rPr>
        <w:t xml:space="preserve">xperience </w:t>
      </w:r>
      <w:r w:rsidR="0085691C">
        <w:rPr>
          <w:rFonts w:hint="eastAsia"/>
          <w:b/>
          <w:i/>
          <w:szCs w:val="24"/>
          <w:lang w:eastAsia="zh-CN"/>
        </w:rPr>
        <w:t>d</w:t>
      </w:r>
      <w:r>
        <w:rPr>
          <w:rFonts w:hint="eastAsia"/>
          <w:b/>
          <w:i/>
          <w:szCs w:val="24"/>
          <w:lang w:eastAsia="zh-CN"/>
        </w:rPr>
        <w:t xml:space="preserve">ata </w:t>
      </w:r>
      <w:r w:rsidR="0085691C">
        <w:rPr>
          <w:rFonts w:hint="eastAsia"/>
          <w:b/>
          <w:i/>
          <w:szCs w:val="24"/>
          <w:lang w:eastAsia="zh-CN"/>
        </w:rPr>
        <w:t>r</w:t>
      </w:r>
      <w:r>
        <w:rPr>
          <w:rFonts w:hint="eastAsia"/>
          <w:b/>
          <w:i/>
          <w:szCs w:val="24"/>
          <w:lang w:eastAsia="zh-CN"/>
        </w:rPr>
        <w:t xml:space="preserve">ate can be evaluated in </w:t>
      </w:r>
      <w:r>
        <w:rPr>
          <w:b/>
          <w:i/>
          <w:szCs w:val="24"/>
          <w:lang w:eastAsia="zh-CN"/>
        </w:rPr>
        <w:t xml:space="preserve">Dense Urban – </w:t>
      </w:r>
      <w:proofErr w:type="spellStart"/>
      <w:r>
        <w:rPr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</w:t>
      </w:r>
      <w:r>
        <w:rPr>
          <w:b/>
          <w:i/>
          <w:szCs w:val="24"/>
          <w:lang w:eastAsia="zh-CN"/>
        </w:rPr>
        <w:t>environment</w:t>
      </w:r>
      <w:r>
        <w:rPr>
          <w:rFonts w:hint="eastAsia"/>
          <w:b/>
          <w:i/>
          <w:szCs w:val="24"/>
          <w:lang w:eastAsia="zh-CN"/>
        </w:rPr>
        <w:t xml:space="preserve">; and the minimum requirements are </w:t>
      </w:r>
      <w:r>
        <w:rPr>
          <w:b/>
          <w:i/>
          <w:szCs w:val="24"/>
          <w:lang w:eastAsia="zh-CN"/>
        </w:rPr>
        <w:t xml:space="preserve">100 </w:t>
      </w:r>
      <w:proofErr w:type="spellStart"/>
      <w:r>
        <w:rPr>
          <w:b/>
          <w:i/>
          <w:szCs w:val="24"/>
          <w:lang w:eastAsia="zh-CN"/>
        </w:rPr>
        <w:t>Mbit</w:t>
      </w:r>
      <w:proofErr w:type="spellEnd"/>
      <w:r>
        <w:rPr>
          <w:b/>
          <w:i/>
          <w:szCs w:val="24"/>
          <w:lang w:eastAsia="zh-CN"/>
        </w:rPr>
        <w:t>/s in</w:t>
      </w:r>
      <w:r>
        <w:rPr>
          <w:rFonts w:hint="eastAsia"/>
          <w:b/>
          <w:i/>
          <w:szCs w:val="24"/>
          <w:lang w:eastAsia="zh-CN"/>
        </w:rPr>
        <w:t xml:space="preserve"> downlink and </w:t>
      </w:r>
      <w:r>
        <w:rPr>
          <w:b/>
          <w:i/>
          <w:szCs w:val="24"/>
          <w:lang w:eastAsia="zh-CN"/>
        </w:rPr>
        <w:t xml:space="preserve">50 </w:t>
      </w:r>
      <w:proofErr w:type="spellStart"/>
      <w:r>
        <w:rPr>
          <w:b/>
          <w:i/>
          <w:szCs w:val="24"/>
          <w:lang w:eastAsia="zh-CN"/>
        </w:rPr>
        <w:t>Mbit</w:t>
      </w:r>
      <w:proofErr w:type="spellEnd"/>
      <w:r>
        <w:rPr>
          <w:b/>
          <w:i/>
          <w:szCs w:val="24"/>
          <w:lang w:eastAsia="zh-CN"/>
        </w:rPr>
        <w:t>/s</w:t>
      </w:r>
      <w:r>
        <w:rPr>
          <w:rFonts w:hint="eastAsia"/>
          <w:b/>
          <w:i/>
          <w:szCs w:val="24"/>
          <w:lang w:eastAsia="zh-CN"/>
        </w:rPr>
        <w:t xml:space="preserve"> in uplink, respectively.</w:t>
      </w:r>
    </w:p>
    <w:p w:rsidR="00D16B48" w:rsidRDefault="00D16B48" w:rsidP="00E954F9">
      <w:pPr>
        <w:spacing w:beforeLines="50" w:afterLines="5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2: NR can meet User experience data rate in Downlink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 xml:space="preserve"> test environment.</w:t>
      </w:r>
    </w:p>
    <w:p w:rsidR="00D16B48" w:rsidRPr="00D16B48" w:rsidRDefault="00D16B48" w:rsidP="00E954F9">
      <w:pPr>
        <w:spacing w:beforeLines="50" w:afterLines="50"/>
        <w:ind w:leftChars="100" w:left="220"/>
        <w:rPr>
          <w:b/>
          <w:i/>
          <w:szCs w:val="24"/>
          <w:lang w:eastAsia="zh-CN"/>
        </w:rPr>
      </w:pPr>
    </w:p>
    <w:p w:rsidR="00F82C0C" w:rsidRDefault="004866A2" w:rsidP="00E954F9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F82C0C" w:rsidRDefault="004866A2" w:rsidP="00E954F9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F82C0C" w:rsidRDefault="004866A2" w:rsidP="00E954F9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1" w:name="_Ref494452764"/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1"/>
      <w:r>
        <w:rPr>
          <w:sz w:val="22"/>
          <w:szCs w:val="22"/>
          <w:lang w:eastAsia="zh-CN"/>
        </w:rPr>
        <w:t>.</w:t>
      </w:r>
    </w:p>
    <w:p w:rsidR="00F82C0C" w:rsidRDefault="004866A2" w:rsidP="00E954F9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2" w:name="_Ref494454569"/>
      <w:r>
        <w:rPr>
          <w:rFonts w:hint="eastAsia"/>
          <w:sz w:val="22"/>
          <w:szCs w:val="22"/>
          <w:lang w:eastAsia="zh-CN"/>
        </w:rPr>
        <w:t xml:space="preserve">[3] </w:t>
      </w:r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2412</w:t>
      </w:r>
      <w:r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2"/>
      <w:r>
        <w:rPr>
          <w:sz w:val="22"/>
          <w:szCs w:val="22"/>
          <w:lang w:eastAsia="zh-CN"/>
        </w:rPr>
        <w:t>.</w:t>
      </w:r>
    </w:p>
    <w:p w:rsidR="0044449C" w:rsidRPr="00AE2565" w:rsidRDefault="0044449C" w:rsidP="00E954F9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 w:rsidRPr="007227B6">
        <w:rPr>
          <w:rFonts w:hint="eastAsia"/>
          <w:sz w:val="22"/>
          <w:szCs w:val="22"/>
          <w:lang w:eastAsia="zh-CN"/>
        </w:rPr>
        <w:t>[4]</w:t>
      </w:r>
      <w:r w:rsidRPr="007227B6">
        <w:rPr>
          <w:sz w:val="22"/>
          <w:szCs w:val="22"/>
          <w:lang w:eastAsia="zh-CN"/>
        </w:rPr>
        <w:t xml:space="preserve"> R1-181</w:t>
      </w:r>
      <w:r w:rsidRPr="007227B6">
        <w:rPr>
          <w:rFonts w:hint="eastAsia"/>
          <w:sz w:val="22"/>
          <w:szCs w:val="22"/>
          <w:lang w:eastAsia="zh-CN"/>
        </w:rPr>
        <w:t xml:space="preserve">2274, ZTE, </w:t>
      </w:r>
      <w:r w:rsidRPr="007227B6">
        <w:rPr>
          <w:sz w:val="22"/>
          <w:szCs w:val="22"/>
          <w:lang w:eastAsia="zh-CN"/>
        </w:rPr>
        <w:t xml:space="preserve">“Updated DL spectral efficiency in the </w:t>
      </w:r>
      <w:proofErr w:type="spellStart"/>
      <w:r w:rsidRPr="007227B6">
        <w:rPr>
          <w:sz w:val="22"/>
          <w:szCs w:val="22"/>
          <w:lang w:eastAsia="zh-CN"/>
        </w:rPr>
        <w:t>eMBB</w:t>
      </w:r>
      <w:proofErr w:type="spellEnd"/>
      <w:r w:rsidRPr="007227B6">
        <w:rPr>
          <w:sz w:val="22"/>
          <w:szCs w:val="22"/>
          <w:lang w:eastAsia="zh-CN"/>
        </w:rPr>
        <w:t xml:space="preserve"> usage scenario for IMT-2020 self evaluation”</w:t>
      </w:r>
      <w:r w:rsidRPr="007227B6">
        <w:rPr>
          <w:rFonts w:hint="eastAsia"/>
          <w:sz w:val="22"/>
          <w:szCs w:val="22"/>
          <w:lang w:eastAsia="zh-CN"/>
        </w:rPr>
        <w:t xml:space="preserve">, RAN1#95, USA, </w:t>
      </w:r>
      <w:r w:rsidRPr="007227B6">
        <w:rPr>
          <w:sz w:val="22"/>
          <w:szCs w:val="22"/>
          <w:lang w:eastAsia="zh-CN"/>
        </w:rPr>
        <w:t>Spokane</w:t>
      </w:r>
      <w:r w:rsidRPr="007227B6">
        <w:rPr>
          <w:rFonts w:hint="eastAsia"/>
          <w:sz w:val="22"/>
          <w:szCs w:val="22"/>
          <w:lang w:eastAsia="zh-CN"/>
        </w:rPr>
        <w:t>, 2018</w:t>
      </w:r>
    </w:p>
    <w:p w:rsidR="00F82C0C" w:rsidRDefault="004866A2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sectPr w:rsidR="00F82C0C" w:rsidSect="00F82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6982D8F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082215">
    <w15:presenceInfo w15:providerId="None" w15:userId="00082215"/>
  </w15:person>
  <w15:person w15:author="mx">
    <w15:presenceInfo w15:providerId="None" w15:userId="mx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53C53"/>
    <w:rsid w:val="00041599"/>
    <w:rsid w:val="00057A0B"/>
    <w:rsid w:val="000B21FE"/>
    <w:rsid w:val="000C1366"/>
    <w:rsid w:val="00134BE6"/>
    <w:rsid w:val="00135C6E"/>
    <w:rsid w:val="00144B14"/>
    <w:rsid w:val="001A70E2"/>
    <w:rsid w:val="001E45B6"/>
    <w:rsid w:val="00246F44"/>
    <w:rsid w:val="00265B61"/>
    <w:rsid w:val="0026604B"/>
    <w:rsid w:val="002B7B27"/>
    <w:rsid w:val="002D14A7"/>
    <w:rsid w:val="0032550C"/>
    <w:rsid w:val="00330BC7"/>
    <w:rsid w:val="003E6F52"/>
    <w:rsid w:val="003F6B83"/>
    <w:rsid w:val="00420133"/>
    <w:rsid w:val="00440BFC"/>
    <w:rsid w:val="00442133"/>
    <w:rsid w:val="0044449C"/>
    <w:rsid w:val="004866A2"/>
    <w:rsid w:val="00496BF5"/>
    <w:rsid w:val="004C7A3E"/>
    <w:rsid w:val="0052593D"/>
    <w:rsid w:val="005643F8"/>
    <w:rsid w:val="005B5477"/>
    <w:rsid w:val="005F7A08"/>
    <w:rsid w:val="00695F64"/>
    <w:rsid w:val="006D7E7D"/>
    <w:rsid w:val="007227B6"/>
    <w:rsid w:val="00753C53"/>
    <w:rsid w:val="007B3D96"/>
    <w:rsid w:val="007C597F"/>
    <w:rsid w:val="007E66A4"/>
    <w:rsid w:val="0085691C"/>
    <w:rsid w:val="00862723"/>
    <w:rsid w:val="00880AA6"/>
    <w:rsid w:val="00883AE3"/>
    <w:rsid w:val="0089123C"/>
    <w:rsid w:val="008F11F7"/>
    <w:rsid w:val="00931E52"/>
    <w:rsid w:val="00957A43"/>
    <w:rsid w:val="00981DDA"/>
    <w:rsid w:val="00997EFD"/>
    <w:rsid w:val="009D46FF"/>
    <w:rsid w:val="00A34FB6"/>
    <w:rsid w:val="00AB63E5"/>
    <w:rsid w:val="00AE0216"/>
    <w:rsid w:val="00AE1AD1"/>
    <w:rsid w:val="00B035E1"/>
    <w:rsid w:val="00B27874"/>
    <w:rsid w:val="00B3163C"/>
    <w:rsid w:val="00B41DE8"/>
    <w:rsid w:val="00B95DB0"/>
    <w:rsid w:val="00BC434E"/>
    <w:rsid w:val="00BD1ECE"/>
    <w:rsid w:val="00BD2CDC"/>
    <w:rsid w:val="00C54BDD"/>
    <w:rsid w:val="00C60D30"/>
    <w:rsid w:val="00C6410F"/>
    <w:rsid w:val="00C86AE9"/>
    <w:rsid w:val="00C87F9E"/>
    <w:rsid w:val="00CA2EAA"/>
    <w:rsid w:val="00CC0FAA"/>
    <w:rsid w:val="00D11CBD"/>
    <w:rsid w:val="00D16B48"/>
    <w:rsid w:val="00D27D73"/>
    <w:rsid w:val="00DA39EC"/>
    <w:rsid w:val="00DB7853"/>
    <w:rsid w:val="00DD17E2"/>
    <w:rsid w:val="00DD311A"/>
    <w:rsid w:val="00DD6C83"/>
    <w:rsid w:val="00DE046D"/>
    <w:rsid w:val="00DE7945"/>
    <w:rsid w:val="00E27D67"/>
    <w:rsid w:val="00E873B3"/>
    <w:rsid w:val="00E954F9"/>
    <w:rsid w:val="00EA4843"/>
    <w:rsid w:val="00EC08C4"/>
    <w:rsid w:val="00ED5EB5"/>
    <w:rsid w:val="00EF3E7B"/>
    <w:rsid w:val="00F10CFA"/>
    <w:rsid w:val="00F570BA"/>
    <w:rsid w:val="00F82C0C"/>
    <w:rsid w:val="00FC2B84"/>
    <w:rsid w:val="00FC4DC3"/>
    <w:rsid w:val="1E3077CF"/>
    <w:rsid w:val="36A73CE5"/>
    <w:rsid w:val="57E81AEE"/>
    <w:rsid w:val="794F1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0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F82C0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F82C0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F82C0C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F82C0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82C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F82C0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F82C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F82C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F82C0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F82C0C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F82C0C"/>
    <w:pPr>
      <w:jc w:val="left"/>
    </w:pPr>
  </w:style>
  <w:style w:type="paragraph" w:styleId="a5">
    <w:name w:val="Document Map"/>
    <w:basedOn w:val="a"/>
    <w:link w:val="Char1"/>
    <w:uiPriority w:val="99"/>
    <w:semiHidden/>
    <w:unhideWhenUsed/>
    <w:rsid w:val="00F82C0C"/>
    <w:rPr>
      <w:rFonts w:ascii="宋体"/>
      <w:sz w:val="18"/>
      <w:szCs w:val="18"/>
    </w:rPr>
  </w:style>
  <w:style w:type="paragraph" w:styleId="a6">
    <w:name w:val="Body Text"/>
    <w:basedOn w:val="a"/>
    <w:link w:val="Char2"/>
    <w:rsid w:val="00F82C0C"/>
    <w:pPr>
      <w:autoSpaceDE/>
      <w:autoSpaceDN/>
      <w:adjustRightInd/>
      <w:snapToGrid/>
    </w:pPr>
    <w:rPr>
      <w:rFonts w:eastAsia="MS Mincho"/>
      <w:sz w:val="20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F82C0C"/>
    <w:pPr>
      <w:spacing w:after="0"/>
    </w:pPr>
    <w:rPr>
      <w:sz w:val="18"/>
      <w:szCs w:val="18"/>
    </w:rPr>
  </w:style>
  <w:style w:type="paragraph" w:styleId="a8">
    <w:name w:val="footer"/>
    <w:basedOn w:val="a"/>
    <w:link w:val="Char4"/>
    <w:uiPriority w:val="99"/>
    <w:semiHidden/>
    <w:unhideWhenUsed/>
    <w:rsid w:val="00F82C0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semiHidden/>
    <w:unhideWhenUsed/>
    <w:qFormat/>
    <w:rsid w:val="00F82C0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F82C0C"/>
    <w:rPr>
      <w:sz w:val="21"/>
      <w:szCs w:val="21"/>
    </w:rPr>
  </w:style>
  <w:style w:type="table" w:styleId="ab">
    <w:name w:val="Table Grid"/>
    <w:basedOn w:val="a1"/>
    <w:qFormat/>
    <w:rsid w:val="00F82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页眉 Char"/>
    <w:basedOn w:val="a0"/>
    <w:link w:val="a9"/>
    <w:uiPriority w:val="99"/>
    <w:semiHidden/>
    <w:rsid w:val="00F82C0C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rsid w:val="00F82C0C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F82C0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F82C0C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F82C0C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F82C0C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F82C0C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F82C0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F82C0C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F82C0C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F82C0C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F82C0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F82C0C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F82C0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F82C0C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F82C0C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link w:val="TableheadChar"/>
    <w:qFormat/>
    <w:rsid w:val="00F82C0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styleId="ac">
    <w:name w:val="List Paragraph"/>
    <w:basedOn w:val="a"/>
    <w:link w:val="Char6"/>
    <w:uiPriority w:val="34"/>
    <w:qFormat/>
    <w:rsid w:val="00F82C0C"/>
    <w:pPr>
      <w:autoSpaceDE/>
      <w:autoSpaceDN/>
      <w:adjustRightInd/>
      <w:snapToGrid/>
      <w:spacing w:after="0"/>
      <w:ind w:firstLineChars="200" w:firstLine="420"/>
    </w:pPr>
    <w:rPr>
      <w:rFonts w:ascii="宋体" w:hAnsi="宋体"/>
      <w:sz w:val="24"/>
      <w:szCs w:val="24"/>
      <w:lang w:val="en-GB"/>
    </w:rPr>
  </w:style>
  <w:style w:type="character" w:customStyle="1" w:styleId="Char6">
    <w:name w:val="列出段落 Char"/>
    <w:link w:val="ac"/>
    <w:uiPriority w:val="34"/>
    <w:qFormat/>
    <w:locked/>
    <w:rsid w:val="00F82C0C"/>
    <w:rPr>
      <w:rFonts w:ascii="宋体" w:eastAsia="宋体" w:hAnsi="宋体" w:cs="Times New Roman"/>
      <w:kern w:val="0"/>
      <w:sz w:val="24"/>
      <w:szCs w:val="24"/>
      <w:lang w:val="en-GB" w:eastAsia="en-US"/>
    </w:rPr>
  </w:style>
  <w:style w:type="character" w:customStyle="1" w:styleId="Char2">
    <w:name w:val="正文文本 Char"/>
    <w:basedOn w:val="a0"/>
    <w:link w:val="a6"/>
    <w:qFormat/>
    <w:rsid w:val="00F82C0C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TableheadChar">
    <w:name w:val="Table_head Char"/>
    <w:basedOn w:val="a0"/>
    <w:link w:val="Tablehead"/>
    <w:qFormat/>
    <w:locked/>
    <w:rsid w:val="00F82C0C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styleId="ad">
    <w:name w:val="Placeholder Text"/>
    <w:basedOn w:val="a0"/>
    <w:uiPriority w:val="99"/>
    <w:semiHidden/>
    <w:qFormat/>
    <w:rsid w:val="00F82C0C"/>
    <w:rPr>
      <w:color w:val="808080"/>
    </w:rPr>
  </w:style>
  <w:style w:type="character" w:customStyle="1" w:styleId="Char0">
    <w:name w:val="批注文字 Char"/>
    <w:basedOn w:val="a0"/>
    <w:link w:val="a4"/>
    <w:uiPriority w:val="99"/>
    <w:semiHidden/>
    <w:qFormat/>
    <w:rsid w:val="00F82C0C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rsid w:val="00F82C0C"/>
    <w:rPr>
      <w:b/>
      <w:bCs/>
    </w:rPr>
  </w:style>
  <w:style w:type="character" w:customStyle="1" w:styleId="TACChar">
    <w:name w:val="TAC Char"/>
    <w:link w:val="TAC"/>
    <w:locked/>
    <w:rsid w:val="00A34FB6"/>
    <w:rPr>
      <w:rFonts w:ascii="SimSun" w:eastAsia="SimSun" w:hAnsi="SimSun"/>
      <w:lang w:val="en-GB"/>
    </w:rPr>
  </w:style>
  <w:style w:type="paragraph" w:customStyle="1" w:styleId="TAC">
    <w:name w:val="TAC"/>
    <w:basedOn w:val="a"/>
    <w:link w:val="TACChar"/>
    <w:rsid w:val="00A34FB6"/>
    <w:pPr>
      <w:keepLines/>
      <w:autoSpaceDE/>
      <w:autoSpaceDN/>
      <w:adjustRightInd/>
      <w:snapToGrid/>
      <w:spacing w:before="40" w:after="40"/>
      <w:jc w:val="center"/>
    </w:pPr>
    <w:rPr>
      <w:rFonts w:ascii="SimSun" w:eastAsia="SimSun" w:hAnsi="SimSun"/>
      <w:sz w:val="20"/>
      <w:szCs w:val="20"/>
      <w:lang w:val="en-GB"/>
    </w:rPr>
  </w:style>
  <w:style w:type="character" w:customStyle="1" w:styleId="TAHCar">
    <w:name w:val="TAH Car"/>
    <w:link w:val="TAH"/>
    <w:locked/>
    <w:rsid w:val="00A34FB6"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H">
    <w:name w:val="TAH"/>
    <w:basedOn w:val="TAC"/>
    <w:link w:val="TAHCar"/>
    <w:rsid w:val="00A34FB6"/>
    <w:pPr>
      <w:keepNext/>
      <w:overflowPunct w:val="0"/>
      <w:autoSpaceDE w:val="0"/>
      <w:autoSpaceDN w:val="0"/>
      <w:adjustRightInd w:val="0"/>
      <w:spacing w:before="0" w:after="0"/>
    </w:pPr>
    <w:rPr>
      <w:rFonts w:ascii="Arial" w:eastAsia="Times New Roman" w:hAnsi="Arial" w:cs="Arial"/>
      <w:b/>
      <w:sz w:val="18"/>
      <w:lang w:eastAsia="en-GB"/>
    </w:rPr>
  </w:style>
  <w:style w:type="paragraph" w:styleId="ae">
    <w:name w:val="caption"/>
    <w:basedOn w:val="a"/>
    <w:next w:val="a"/>
    <w:uiPriority w:val="35"/>
    <w:unhideWhenUsed/>
    <w:qFormat/>
    <w:rsid w:val="00A34FB6"/>
    <w:pPr>
      <w:autoSpaceDE/>
      <w:autoSpaceDN/>
      <w:adjustRightInd/>
      <w:snapToGrid/>
      <w:spacing w:after="0"/>
      <w:jc w:val="left"/>
    </w:pPr>
    <w:rPr>
      <w:rFonts w:eastAsiaTheme="minorEastAsia"/>
      <w:i/>
      <w:iCs/>
      <w:color w:val="1F497D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643897-F923-4D9F-9C73-5E4C1119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734</Words>
  <Characters>4188</Characters>
  <Application>Microsoft Office Word</Application>
  <DocSecurity>0</DocSecurity>
  <Lines>34</Lines>
  <Paragraphs>9</Paragraphs>
  <ScaleCrop>false</ScaleCrop>
  <Company>ZTE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 meng</cp:lastModifiedBy>
  <cp:revision>2</cp:revision>
  <dcterms:created xsi:type="dcterms:W3CDTF">2018-11-02T01:59:00Z</dcterms:created>
  <dcterms:modified xsi:type="dcterms:W3CDTF">2018-11-02T01:59:00Z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