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818E123" w14:textId="64720B56" w:rsidR="009C0564" w:rsidRPr="00CF195E" w:rsidRDefault="00726774" w:rsidP="006A5ADA">
      <w:pPr>
        <w:tabs>
          <w:tab w:val="right" w:pos="9216"/>
        </w:tabs>
        <w:autoSpaceDE w:val="0"/>
        <w:autoSpaceDN w:val="0"/>
        <w:adjustRightInd w:val="0"/>
        <w:snapToGrid w:val="0"/>
        <w:rPr>
          <w:b/>
          <w:kern w:val="2"/>
          <w:lang w:eastAsia="zh-CN"/>
        </w:rPr>
      </w:pPr>
      <w:r w:rsidRPr="00B72BD3">
        <w:rPr>
          <w:b/>
          <w:noProof/>
          <w:kern w:val="2"/>
          <w:lang w:eastAsia="zh-CN"/>
        </w:rPr>
        <mc:AlternateContent>
          <mc:Choice Requires="wps">
            <w:drawing>
              <wp:anchor distT="0" distB="0" distL="114300" distR="114300" simplePos="0" relativeHeight="251657728" behindDoc="0" locked="1" layoutInCell="1" allowOverlap="1" wp14:anchorId="6617D17D" wp14:editId="3ACC9ED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583DE42F"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33F52">
        <w:rPr>
          <w:b/>
          <w:kern w:val="2"/>
          <w:lang w:eastAsia="zh-CN"/>
        </w:rPr>
        <w:t>9</w:t>
      </w:r>
      <w:r w:rsidR="00145515">
        <w:rPr>
          <w:b/>
          <w:kern w:val="2"/>
          <w:lang w:eastAsia="zh-CN"/>
        </w:rPr>
        <w:t>5</w:t>
      </w:r>
      <w:r w:rsidR="00972929" w:rsidRPr="00CF195E">
        <w:rPr>
          <w:b/>
          <w:kern w:val="2"/>
          <w:lang w:eastAsia="zh-CN"/>
        </w:rPr>
        <w:tab/>
      </w:r>
      <w:r w:rsidR="00220407" w:rsidRPr="00220407">
        <w:rPr>
          <w:b/>
          <w:kern w:val="2"/>
          <w:lang w:eastAsia="zh-CN"/>
        </w:rPr>
        <w:t>R1-1812196</w:t>
      </w:r>
    </w:p>
    <w:p w14:paraId="1831F5B4" w14:textId="6DD0A9BA" w:rsidR="000A34CD" w:rsidRPr="00CF195E" w:rsidRDefault="00145515" w:rsidP="006A5ADA">
      <w:pPr>
        <w:tabs>
          <w:tab w:val="right" w:pos="9216"/>
        </w:tabs>
        <w:autoSpaceDE w:val="0"/>
        <w:autoSpaceDN w:val="0"/>
        <w:adjustRightInd w:val="0"/>
        <w:snapToGrid w:val="0"/>
        <w:rPr>
          <w:b/>
          <w:kern w:val="2"/>
          <w:lang w:eastAsia="zh-CN"/>
        </w:rPr>
      </w:pPr>
      <w:r>
        <w:rPr>
          <w:b/>
          <w:kern w:val="2"/>
          <w:lang w:eastAsia="zh-CN"/>
        </w:rPr>
        <w:t>Spokane</w:t>
      </w:r>
      <w:r w:rsidR="0071797A" w:rsidRPr="0071797A">
        <w:rPr>
          <w:b/>
          <w:kern w:val="2"/>
          <w:lang w:eastAsia="zh-CN"/>
        </w:rPr>
        <w:t xml:space="preserve">, </w:t>
      </w:r>
      <w:r>
        <w:rPr>
          <w:b/>
          <w:kern w:val="2"/>
          <w:lang w:eastAsia="zh-CN"/>
        </w:rPr>
        <w:t>USA</w:t>
      </w:r>
      <w:r w:rsidR="0071797A" w:rsidRPr="0071797A">
        <w:rPr>
          <w:b/>
          <w:kern w:val="2"/>
          <w:lang w:eastAsia="zh-CN"/>
        </w:rPr>
        <w:t xml:space="preserve">, </w:t>
      </w:r>
      <w:r>
        <w:rPr>
          <w:b/>
          <w:kern w:val="2"/>
          <w:lang w:eastAsia="zh-CN"/>
        </w:rPr>
        <w:t>12</w:t>
      </w:r>
      <w:r w:rsidR="0071797A" w:rsidRPr="0071797A">
        <w:rPr>
          <w:b/>
          <w:kern w:val="2"/>
          <w:lang w:eastAsia="zh-CN"/>
        </w:rPr>
        <w:t>th – 1</w:t>
      </w:r>
      <w:r>
        <w:rPr>
          <w:b/>
          <w:kern w:val="2"/>
          <w:lang w:eastAsia="zh-CN"/>
        </w:rPr>
        <w:t>6</w:t>
      </w:r>
      <w:r w:rsidR="0071797A" w:rsidRPr="0071797A">
        <w:rPr>
          <w:b/>
          <w:kern w:val="2"/>
          <w:lang w:eastAsia="zh-CN"/>
        </w:rPr>
        <w:t xml:space="preserve">th </w:t>
      </w:r>
      <w:r>
        <w:rPr>
          <w:b/>
          <w:kern w:val="2"/>
          <w:lang w:eastAsia="zh-CN"/>
        </w:rPr>
        <w:t>November</w:t>
      </w:r>
      <w:r w:rsidR="0071797A" w:rsidRPr="0071797A">
        <w:rPr>
          <w:b/>
          <w:kern w:val="2"/>
          <w:lang w:eastAsia="zh-CN"/>
        </w:rPr>
        <w:t xml:space="preserve"> 2018</w:t>
      </w:r>
    </w:p>
    <w:p w14:paraId="56275A12" w14:textId="77777777" w:rsidR="009C0564" w:rsidRPr="00CF195E" w:rsidRDefault="009C0564" w:rsidP="00EA51DE">
      <w:pPr>
        <w:pBdr>
          <w:top w:val="single" w:sz="4" w:space="1" w:color="auto"/>
        </w:pBdr>
        <w:spacing w:beforeLines="50" w:before="120"/>
        <w:jc w:val="both"/>
        <w:rPr>
          <w:b/>
          <w:kern w:val="2"/>
          <w:sz w:val="16"/>
          <w:szCs w:val="16"/>
          <w:lang w:eastAsia="zh-CN"/>
        </w:rPr>
      </w:pPr>
    </w:p>
    <w:p w14:paraId="3EB74E43" w14:textId="42FF0C04" w:rsidR="009C0564" w:rsidRPr="00CF195E" w:rsidRDefault="009C0564" w:rsidP="006A5ADA">
      <w:pPr>
        <w:autoSpaceDE w:val="0"/>
        <w:autoSpaceDN w:val="0"/>
        <w:adjustRightInd w:val="0"/>
        <w:snapToGrid w:val="0"/>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BF1037">
        <w:rPr>
          <w:b/>
          <w:kern w:val="2"/>
          <w:lang w:eastAsia="zh-CN"/>
        </w:rPr>
        <w:t>7</w:t>
      </w:r>
      <w:r w:rsidR="0023234E">
        <w:rPr>
          <w:b/>
          <w:kern w:val="2"/>
          <w:lang w:eastAsia="zh-CN"/>
        </w:rPr>
        <w:t>.</w:t>
      </w:r>
      <w:r w:rsidR="00E46B6B">
        <w:rPr>
          <w:b/>
          <w:kern w:val="2"/>
          <w:lang w:eastAsia="zh-CN"/>
        </w:rPr>
        <w:t>2.2.4.3</w:t>
      </w:r>
    </w:p>
    <w:p w14:paraId="1942457F" w14:textId="77777777" w:rsidR="00BC1C3C" w:rsidRPr="00CF195E" w:rsidRDefault="00305FF9" w:rsidP="006A5ADA">
      <w:pPr>
        <w:autoSpaceDE w:val="0"/>
        <w:autoSpaceDN w:val="0"/>
        <w:adjustRightInd w:val="0"/>
        <w:snapToGrid w:val="0"/>
        <w:spacing w:after="60"/>
        <w:ind w:left="1555" w:hanging="1555"/>
        <w:rPr>
          <w:b/>
          <w:kern w:val="2"/>
          <w:lang w:eastAsia="zh-CN"/>
        </w:rPr>
      </w:pPr>
      <w:r w:rsidRPr="00CF195E">
        <w:rPr>
          <w:b/>
          <w:kern w:val="2"/>
          <w:lang w:eastAsia="zh-CN"/>
        </w:rPr>
        <w:t>Source:</w:t>
      </w:r>
      <w:r w:rsidRPr="00CF195E">
        <w:rPr>
          <w:b/>
          <w:kern w:val="2"/>
          <w:lang w:eastAsia="zh-CN"/>
        </w:rPr>
        <w:tab/>
      </w:r>
      <w:r w:rsidR="0023234E" w:rsidRPr="006A5ADA">
        <w:rPr>
          <w:b/>
          <w:kern w:val="2"/>
          <w:lang w:eastAsia="zh-CN"/>
        </w:rPr>
        <w:t>Huawei, HiSilicon</w:t>
      </w:r>
    </w:p>
    <w:p w14:paraId="1E70D4DB" w14:textId="77777777" w:rsidR="0026538C" w:rsidRPr="00CF195E" w:rsidRDefault="009C0564" w:rsidP="006A5ADA">
      <w:pPr>
        <w:autoSpaceDE w:val="0"/>
        <w:autoSpaceDN w:val="0"/>
        <w:adjustRightInd w:val="0"/>
        <w:snapToGrid w:val="0"/>
        <w:spacing w:after="60"/>
        <w:ind w:left="1554" w:hanging="1554"/>
        <w:rPr>
          <w:b/>
          <w:kern w:val="2"/>
          <w:lang w:eastAsia="zh-CN"/>
        </w:rPr>
      </w:pPr>
      <w:r w:rsidRPr="00CF195E">
        <w:rPr>
          <w:b/>
          <w:kern w:val="2"/>
          <w:lang w:eastAsia="zh-CN"/>
        </w:rPr>
        <w:t>Title:</w:t>
      </w:r>
      <w:r w:rsidRPr="00CF195E">
        <w:rPr>
          <w:b/>
          <w:kern w:val="2"/>
          <w:lang w:eastAsia="zh-CN"/>
        </w:rPr>
        <w:tab/>
      </w:r>
      <w:r w:rsidR="00833F52">
        <w:rPr>
          <w:b/>
          <w:kern w:val="2"/>
          <w:lang w:eastAsia="zh-CN"/>
        </w:rPr>
        <w:t>HARQ enhancements</w:t>
      </w:r>
      <w:r w:rsidR="008F0294">
        <w:rPr>
          <w:b/>
          <w:kern w:val="2"/>
          <w:lang w:eastAsia="zh-CN"/>
        </w:rPr>
        <w:t xml:space="preserve"> in NR unlicensed</w:t>
      </w:r>
    </w:p>
    <w:p w14:paraId="69A2A67B" w14:textId="2B11D014" w:rsidR="009C0564" w:rsidRPr="00CF195E" w:rsidRDefault="009C0564" w:rsidP="006A5ADA">
      <w:pPr>
        <w:autoSpaceDE w:val="0"/>
        <w:autoSpaceDN w:val="0"/>
        <w:adjustRightInd w:val="0"/>
        <w:snapToGrid w:val="0"/>
        <w:spacing w:after="60"/>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FD99D1E" w14:textId="77777777" w:rsidR="009C0564" w:rsidRPr="00CF195E" w:rsidRDefault="009C0564" w:rsidP="006A5ADA">
      <w:pPr>
        <w:pBdr>
          <w:bottom w:val="single" w:sz="4" w:space="1" w:color="auto"/>
        </w:pBdr>
        <w:jc w:val="both"/>
        <w:rPr>
          <w:b/>
          <w:kern w:val="2"/>
          <w:sz w:val="16"/>
          <w:szCs w:val="16"/>
          <w:lang w:eastAsia="zh-CN"/>
        </w:rPr>
      </w:pPr>
    </w:p>
    <w:p w14:paraId="7A6D58F8" w14:textId="77777777" w:rsidR="009C0564" w:rsidRPr="00CF195E" w:rsidRDefault="009C0564" w:rsidP="00EA51DE">
      <w:pPr>
        <w:pStyle w:val="Heading1"/>
        <w:tabs>
          <w:tab w:val="clear" w:pos="3125"/>
          <w:tab w:val="num" w:pos="426"/>
        </w:tabs>
        <w:spacing w:beforeLines="50"/>
        <w:ind w:hanging="3125"/>
        <w:jc w:val="both"/>
      </w:pPr>
      <w:bookmarkStart w:id="1" w:name="_Ref124589705"/>
      <w:bookmarkStart w:id="2" w:name="_Ref129681862"/>
      <w:r w:rsidRPr="00CF195E">
        <w:t>Introduction</w:t>
      </w:r>
      <w:bookmarkEnd w:id="1"/>
      <w:bookmarkEnd w:id="2"/>
    </w:p>
    <w:p w14:paraId="1E0CA868" w14:textId="3D229F9B" w:rsidR="009719F4" w:rsidRDefault="00553BD7" w:rsidP="00EA51DE">
      <w:pPr>
        <w:spacing w:beforeLines="50" w:before="120"/>
        <w:jc w:val="both"/>
        <w:rPr>
          <w:kern w:val="2"/>
          <w:lang w:eastAsia="zh-CN"/>
        </w:rPr>
      </w:pPr>
      <w:r>
        <w:rPr>
          <w:kern w:val="2"/>
          <w:lang w:eastAsia="zh-CN"/>
        </w:rPr>
        <w:t>During</w:t>
      </w:r>
      <w:r w:rsidR="003E1AEA">
        <w:rPr>
          <w:kern w:val="2"/>
          <w:lang w:eastAsia="zh-CN"/>
        </w:rPr>
        <w:t xml:space="preserve"> the RAN1</w:t>
      </w:r>
      <w:r w:rsidR="00145515">
        <w:rPr>
          <w:kern w:val="2"/>
          <w:lang w:eastAsia="zh-CN"/>
        </w:rPr>
        <w:t>#94</w:t>
      </w:r>
      <w:r w:rsidR="003E1AEA">
        <w:rPr>
          <w:kern w:val="2"/>
          <w:lang w:eastAsia="zh-CN"/>
        </w:rPr>
        <w:t xml:space="preserve"> meeting [2</w:t>
      </w:r>
      <w:r w:rsidR="00DB38F9">
        <w:rPr>
          <w:kern w:val="2"/>
          <w:lang w:eastAsia="zh-CN"/>
        </w:rPr>
        <w:t xml:space="preserve">], </w:t>
      </w:r>
      <w:r>
        <w:rPr>
          <w:kern w:val="2"/>
          <w:lang w:eastAsia="zh-CN"/>
        </w:rPr>
        <w:t>the following agreements</w:t>
      </w:r>
      <w:r w:rsidR="009719F4">
        <w:rPr>
          <w:kern w:val="2"/>
          <w:lang w:eastAsia="zh-CN"/>
        </w:rPr>
        <w:t xml:space="preserve"> were reached</w:t>
      </w:r>
      <w:r>
        <w:rPr>
          <w:kern w:val="2"/>
          <w:lang w:eastAsia="zh-CN"/>
        </w:rPr>
        <w:t>:</w:t>
      </w:r>
    </w:p>
    <w:p w14:paraId="5D5239BD" w14:textId="77777777" w:rsidR="00552C27" w:rsidRPr="00EA51DE" w:rsidRDefault="00552C27" w:rsidP="00EA51DE">
      <w:pPr>
        <w:spacing w:beforeLines="50" w:before="120"/>
        <w:jc w:val="both"/>
        <w:rPr>
          <w:i/>
          <w:lang w:eastAsia="x-none"/>
        </w:rPr>
      </w:pPr>
      <w:r w:rsidRPr="00EA51DE">
        <w:rPr>
          <w:i/>
          <w:lang w:eastAsia="x-none"/>
        </w:rPr>
        <w:t>NR-U should support both:</w:t>
      </w:r>
    </w:p>
    <w:p w14:paraId="367DE4CC" w14:textId="77777777" w:rsidR="00552C27" w:rsidRPr="00EA51DE" w:rsidRDefault="00552C27" w:rsidP="00EA51DE">
      <w:pPr>
        <w:numPr>
          <w:ilvl w:val="1"/>
          <w:numId w:val="56"/>
        </w:numPr>
        <w:spacing w:beforeLines="50" w:before="120"/>
        <w:ind w:leftChars="163" w:left="719"/>
        <w:jc w:val="both"/>
        <w:rPr>
          <w:i/>
          <w:lang w:eastAsia="x-none"/>
        </w:rPr>
      </w:pPr>
      <w:bookmarkStart w:id="3" w:name="OLE_LINK20"/>
      <w:r w:rsidRPr="00EA51DE">
        <w:rPr>
          <w:i/>
          <w:lang w:eastAsia="x-none"/>
        </w:rPr>
        <w:t>HARQ feedback corresponding to some or all the PDSCHs of a channel occupancy can be reported in the same channel occupancy</w:t>
      </w:r>
      <w:bookmarkEnd w:id="3"/>
    </w:p>
    <w:p w14:paraId="16BF377C" w14:textId="77777777"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It is found beneficial to extend the PDSCH-to-HARQ-timing to support indicating timings up to the end of the longest COT allowed by regulations, one or more of the following would be needed:</w:t>
      </w:r>
    </w:p>
    <w:p w14:paraId="40C04D90" w14:textId="77777777" w:rsidR="00552C27" w:rsidRPr="00EA51DE" w:rsidRDefault="00552C27" w:rsidP="00EA51DE">
      <w:pPr>
        <w:numPr>
          <w:ilvl w:val="3"/>
          <w:numId w:val="56"/>
        </w:numPr>
        <w:spacing w:beforeLines="50" w:before="120"/>
        <w:ind w:leftChars="818" w:left="2160"/>
        <w:jc w:val="both"/>
        <w:rPr>
          <w:i/>
          <w:lang w:eastAsia="x-none"/>
        </w:rPr>
      </w:pPr>
      <w:r w:rsidRPr="00EA51DE">
        <w:rPr>
          <w:bCs/>
          <w:i/>
          <w:lang w:eastAsia="x-none"/>
        </w:rPr>
        <w:t>Allow values larger than 15 by RRC signaling (FFS the largest value needed)</w:t>
      </w:r>
    </w:p>
    <w:p w14:paraId="2C6C6C06" w14:textId="77777777" w:rsidR="00552C27" w:rsidRPr="00EA51DE" w:rsidRDefault="00552C27" w:rsidP="00EA51DE">
      <w:pPr>
        <w:numPr>
          <w:ilvl w:val="4"/>
          <w:numId w:val="56"/>
        </w:numPr>
        <w:spacing w:beforeLines="50" w:before="120"/>
        <w:ind w:leftChars="1145" w:left="2879"/>
        <w:jc w:val="both"/>
        <w:rPr>
          <w:i/>
          <w:lang w:eastAsia="x-none"/>
        </w:rPr>
      </w:pPr>
      <w:r w:rsidRPr="00EA51DE">
        <w:rPr>
          <w:bCs/>
          <w:i/>
          <w:lang w:eastAsia="x-none"/>
        </w:rPr>
        <w:t>Note: in some cases this may point outside of the COT</w:t>
      </w:r>
    </w:p>
    <w:p w14:paraId="5678EC6F" w14:textId="77777777" w:rsidR="00552C27" w:rsidRPr="00EA51DE" w:rsidRDefault="00552C27" w:rsidP="00EA51DE">
      <w:pPr>
        <w:numPr>
          <w:ilvl w:val="3"/>
          <w:numId w:val="56"/>
        </w:numPr>
        <w:spacing w:beforeLines="50" w:before="120"/>
        <w:ind w:leftChars="818" w:left="2160"/>
        <w:jc w:val="both"/>
        <w:rPr>
          <w:i/>
          <w:lang w:eastAsia="x-none"/>
        </w:rPr>
      </w:pPr>
      <w:r w:rsidRPr="00EA51DE">
        <w:rPr>
          <w:bCs/>
          <w:i/>
          <w:lang w:eastAsia="x-none"/>
        </w:rPr>
        <w:t>Allow more bits for the PDSCH-to-HARQ-timing-indicator</w:t>
      </w:r>
    </w:p>
    <w:p w14:paraId="78133863" w14:textId="77777777" w:rsidR="00552C27" w:rsidRPr="00EA51DE" w:rsidRDefault="00552C27" w:rsidP="00EA51DE">
      <w:pPr>
        <w:numPr>
          <w:ilvl w:val="1"/>
          <w:numId w:val="56"/>
        </w:numPr>
        <w:spacing w:beforeLines="50" w:before="120"/>
        <w:ind w:leftChars="163" w:left="719"/>
        <w:jc w:val="both"/>
        <w:rPr>
          <w:i/>
          <w:lang w:eastAsia="x-none"/>
        </w:rPr>
      </w:pPr>
      <w:r w:rsidRPr="00EA51DE">
        <w:rPr>
          <w:i/>
          <w:lang w:eastAsia="x-none"/>
        </w:rPr>
        <w:t>HARQ feedback corresponding to PDSCHs of a channel occupancy can be reported outside of that channel occupancy. These possible candidate solutions can be considered:</w:t>
      </w:r>
    </w:p>
    <w:p w14:paraId="1467148B"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Alt1: gNB requests/triggers feedback for PDSCH from earlier COT(s)</w:t>
      </w:r>
    </w:p>
    <w:p w14:paraId="518BE599"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Alt2: UE is configured to report HARQ feedback for PDSCH from earlier COT(s) without an explicit request/trigger</w:t>
      </w:r>
    </w:p>
    <w:p w14:paraId="7EF3F4E5" w14:textId="77777777" w:rsidR="00552C27" w:rsidRPr="00EA51DE" w:rsidRDefault="00552C27" w:rsidP="00EA51DE">
      <w:pPr>
        <w:numPr>
          <w:ilvl w:val="2"/>
          <w:numId w:val="56"/>
        </w:numPr>
        <w:spacing w:beforeLines="50" w:before="120"/>
        <w:ind w:leftChars="491" w:left="1440"/>
        <w:jc w:val="both"/>
        <w:rPr>
          <w:i/>
          <w:lang w:eastAsia="x-none"/>
        </w:rPr>
      </w:pPr>
      <w:r w:rsidRPr="00EA51DE">
        <w:rPr>
          <w:i/>
          <w:lang w:eastAsia="x-none"/>
        </w:rPr>
        <w:t xml:space="preserve">Alt3: by </w:t>
      </w:r>
      <w:r w:rsidRPr="00EA51DE">
        <w:rPr>
          <w:bCs/>
          <w:i/>
          <w:lang w:eastAsia="x-none"/>
        </w:rPr>
        <w:t>PDSCH-to-HARQ-timing-indicator in the DCI scheduling the PDSCH</w:t>
      </w:r>
    </w:p>
    <w:p w14:paraId="7006FEFB" w14:textId="77777777"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Note: the alternatives above are at least applicable for the case where there is no HARQ feedback expected in the same channel occupancy as the PDSCH</w:t>
      </w:r>
    </w:p>
    <w:p w14:paraId="3497675E" w14:textId="7A1568A0" w:rsidR="00552C27" w:rsidRPr="00EA51DE" w:rsidRDefault="00552C27" w:rsidP="00EA51DE">
      <w:pPr>
        <w:numPr>
          <w:ilvl w:val="2"/>
          <w:numId w:val="56"/>
        </w:numPr>
        <w:spacing w:beforeLines="50" w:before="120"/>
        <w:ind w:leftChars="491" w:left="1440"/>
        <w:jc w:val="both"/>
        <w:rPr>
          <w:i/>
          <w:lang w:eastAsia="x-none"/>
        </w:rPr>
      </w:pPr>
      <w:r w:rsidRPr="00EA51DE">
        <w:rPr>
          <w:bCs/>
          <w:i/>
          <w:lang w:eastAsia="x-none"/>
        </w:rPr>
        <w:t>Study the impact of the above candidate solutions on the HARQ codebook</w:t>
      </w:r>
    </w:p>
    <w:p w14:paraId="32BDC6F1" w14:textId="7451D892" w:rsidR="008F72CC" w:rsidRPr="00CF195E" w:rsidRDefault="00552C27" w:rsidP="00EA51DE">
      <w:pPr>
        <w:spacing w:beforeLines="50" w:before="120"/>
        <w:jc w:val="both"/>
        <w:rPr>
          <w:rFonts w:eastAsia="MS Mincho"/>
          <w:lang w:eastAsia="ja-JP"/>
        </w:rPr>
      </w:pPr>
      <w:r>
        <w:rPr>
          <w:kern w:val="2"/>
          <w:lang w:eastAsia="zh-CN"/>
        </w:rPr>
        <w:t xml:space="preserve">In </w:t>
      </w:r>
      <w:r w:rsidR="0036540C">
        <w:rPr>
          <w:kern w:val="2"/>
          <w:lang w:eastAsia="zh-CN"/>
        </w:rPr>
        <w:t xml:space="preserve">this </w:t>
      </w:r>
      <w:r w:rsidR="00EA51DE">
        <w:rPr>
          <w:kern w:val="2"/>
          <w:lang w:eastAsia="zh-CN"/>
        </w:rPr>
        <w:t>contribution</w:t>
      </w:r>
      <w:r w:rsidR="00DB38F9">
        <w:rPr>
          <w:kern w:val="2"/>
          <w:lang w:eastAsia="zh-CN"/>
        </w:rPr>
        <w:t xml:space="preserve"> </w:t>
      </w:r>
      <w:r w:rsidR="0036540C">
        <w:rPr>
          <w:kern w:val="2"/>
          <w:lang w:eastAsia="zh-CN"/>
        </w:rPr>
        <w:t xml:space="preserve">we discuss </w:t>
      </w:r>
      <w:r w:rsidR="00BA747B" w:rsidRPr="001A4BB1">
        <w:rPr>
          <w:color w:val="000000" w:themeColor="text1"/>
          <w:szCs w:val="20"/>
        </w:rPr>
        <w:t>potential issues on NR-U HARQ enhancement</w:t>
      </w:r>
      <w:r w:rsidR="00F069A8">
        <w:rPr>
          <w:kern w:val="2"/>
          <w:lang w:eastAsia="zh-CN"/>
        </w:rPr>
        <w:t xml:space="preserve">, including </w:t>
      </w:r>
      <w:r w:rsidR="0085627F">
        <w:t xml:space="preserve">schemes for cross-COT </w:t>
      </w:r>
      <w:r w:rsidR="00EA51DE">
        <w:t xml:space="preserve">(Channel Occupancy Time) </w:t>
      </w:r>
      <w:r w:rsidR="0085627F">
        <w:t>HARQ</w:t>
      </w:r>
      <w:r w:rsidR="00EA51DE">
        <w:t>-ACK</w:t>
      </w:r>
      <w:r w:rsidR="0085627F">
        <w:t xml:space="preserve"> feedback, </w:t>
      </w:r>
      <w:r w:rsidR="00F069A8">
        <w:rPr>
          <w:kern w:val="2"/>
          <w:lang w:eastAsia="zh-CN"/>
        </w:rPr>
        <w:t>m</w:t>
      </w:r>
      <w:r w:rsidR="00BA747B">
        <w:rPr>
          <w:kern w:val="2"/>
          <w:lang w:eastAsia="zh-CN"/>
        </w:rPr>
        <w:t>echanisms providing m</w:t>
      </w:r>
      <w:r w:rsidR="00D46C7E">
        <w:rPr>
          <w:kern w:val="2"/>
          <w:lang w:eastAsia="zh-CN"/>
        </w:rPr>
        <w:t>ultiple HARQ</w:t>
      </w:r>
      <w:r w:rsidR="00EA51DE">
        <w:rPr>
          <w:kern w:val="2"/>
          <w:lang w:eastAsia="zh-CN"/>
        </w:rPr>
        <w:t>-ACK</w:t>
      </w:r>
      <w:r w:rsidR="00D46C7E">
        <w:rPr>
          <w:kern w:val="2"/>
          <w:lang w:eastAsia="zh-CN"/>
        </w:rPr>
        <w:t xml:space="preserve"> feedback opportunities in both </w:t>
      </w:r>
      <w:r w:rsidR="0032207D">
        <w:t xml:space="preserve">time </w:t>
      </w:r>
      <w:r w:rsidR="00D46C7E">
        <w:t xml:space="preserve">and frequency </w:t>
      </w:r>
      <w:r w:rsidR="0032207D">
        <w:t>domain</w:t>
      </w:r>
      <w:r w:rsidR="00D46C7E">
        <w:t>s</w:t>
      </w:r>
      <w:r w:rsidR="00F069A8">
        <w:t xml:space="preserve">, </w:t>
      </w:r>
      <w:r w:rsidR="003946EE">
        <w:rPr>
          <w:lang w:eastAsia="zh-CN"/>
        </w:rPr>
        <w:t>and</w:t>
      </w:r>
      <w:r w:rsidR="00F069A8">
        <w:rPr>
          <w:lang w:eastAsia="zh-CN"/>
        </w:rPr>
        <w:t xml:space="preserve"> </w:t>
      </w:r>
      <w:r w:rsidR="00AF247D">
        <w:rPr>
          <w:lang w:eastAsia="zh-CN"/>
        </w:rPr>
        <w:t xml:space="preserve">the </w:t>
      </w:r>
      <w:r w:rsidR="00AF247D" w:rsidRPr="00AF247D">
        <w:rPr>
          <w:lang w:eastAsia="zh-CN"/>
        </w:rPr>
        <w:t>HARQ codebook size determination</w:t>
      </w:r>
      <w:r w:rsidR="0069238B">
        <w:t>.</w:t>
      </w:r>
      <w:r w:rsidR="00F01351">
        <w:t xml:space="preserve"> </w:t>
      </w:r>
      <w:r w:rsidR="00D03447">
        <w:t xml:space="preserve">In addition, we discuss </w:t>
      </w:r>
      <w:r w:rsidR="00597ED0">
        <w:t xml:space="preserve">resilient retransmission mechanisms that facilitate </w:t>
      </w:r>
      <w:r w:rsidR="00D03447">
        <w:t xml:space="preserve">cross-carrier </w:t>
      </w:r>
      <w:r w:rsidR="00597ED0">
        <w:t xml:space="preserve">HARQ retransmissions </w:t>
      </w:r>
      <w:r w:rsidR="008E1F43">
        <w:t>for</w:t>
      </w:r>
      <w:r w:rsidR="00597ED0">
        <w:t xml:space="preserve"> both UL and DL in NR-U. </w:t>
      </w:r>
      <w:r w:rsidR="00F01351">
        <w:t xml:space="preserve">This is a revision of </w:t>
      </w:r>
      <w:r w:rsidR="00AF247D" w:rsidRPr="00AF247D">
        <w:t>R1-18</w:t>
      </w:r>
      <w:r w:rsidR="00145515">
        <w:t>10128</w:t>
      </w:r>
      <w:r w:rsidR="00F01351">
        <w:t>.</w:t>
      </w:r>
    </w:p>
    <w:p w14:paraId="52D23E3E" w14:textId="5B9E3A63" w:rsidR="00914622" w:rsidRDefault="00E01798" w:rsidP="00EA51DE">
      <w:pPr>
        <w:pStyle w:val="Heading1"/>
        <w:tabs>
          <w:tab w:val="clear" w:pos="3125"/>
          <w:tab w:val="num" w:pos="567"/>
        </w:tabs>
        <w:spacing w:beforeLines="50"/>
        <w:ind w:hanging="3125"/>
        <w:jc w:val="both"/>
        <w:rPr>
          <w:lang w:eastAsia="zh-CN"/>
        </w:rPr>
      </w:pPr>
      <w:bookmarkStart w:id="4" w:name="_Ref129681832"/>
      <w:r>
        <w:rPr>
          <w:lang w:eastAsia="zh-CN"/>
        </w:rPr>
        <w:t>C</w:t>
      </w:r>
      <w:r>
        <w:rPr>
          <w:rFonts w:hint="eastAsia"/>
          <w:lang w:eastAsia="zh-CN"/>
        </w:rPr>
        <w:t>ross-</w:t>
      </w:r>
      <w:r>
        <w:rPr>
          <w:lang w:eastAsia="zh-CN"/>
        </w:rPr>
        <w:t>COT HARQ</w:t>
      </w:r>
      <w:r w:rsidR="00823C4D">
        <w:rPr>
          <w:lang w:eastAsia="zh-CN"/>
        </w:rPr>
        <w:t>-ACK</w:t>
      </w:r>
      <w:r>
        <w:rPr>
          <w:lang w:eastAsia="zh-CN"/>
        </w:rPr>
        <w:t xml:space="preserve"> feedback</w:t>
      </w:r>
      <w:r w:rsidR="00AB6868">
        <w:rPr>
          <w:lang w:eastAsia="zh-CN"/>
        </w:rPr>
        <w:t xml:space="preserve"> mechanism</w:t>
      </w:r>
    </w:p>
    <w:p w14:paraId="1B904557" w14:textId="7FB46ED9" w:rsidR="00AB6868" w:rsidRDefault="00A13455" w:rsidP="00EA51DE">
      <w:pPr>
        <w:spacing w:beforeLines="50" w:before="120"/>
        <w:jc w:val="both"/>
        <w:rPr>
          <w:lang w:eastAsia="x-none"/>
        </w:rPr>
      </w:pPr>
      <w:r>
        <w:rPr>
          <w:lang w:eastAsia="zh-CN"/>
        </w:rPr>
        <w:t>I</w:t>
      </w:r>
      <w:r>
        <w:rPr>
          <w:rFonts w:hint="eastAsia"/>
          <w:lang w:eastAsia="zh-CN"/>
        </w:rPr>
        <w:t xml:space="preserve">n </w:t>
      </w:r>
      <w:r w:rsidR="005F53AA">
        <w:rPr>
          <w:lang w:eastAsia="zh-CN"/>
        </w:rPr>
        <w:t xml:space="preserve">the </w:t>
      </w:r>
      <w:r>
        <w:rPr>
          <w:lang w:eastAsia="zh-CN"/>
        </w:rPr>
        <w:t xml:space="preserve">RAN1#94 meeting, it has been agreed that </w:t>
      </w:r>
      <w:r w:rsidRPr="00875521">
        <w:rPr>
          <w:lang w:eastAsia="x-none"/>
        </w:rPr>
        <w:t>HARQ</w:t>
      </w:r>
      <w:r w:rsidR="00823C4D">
        <w:rPr>
          <w:lang w:eastAsia="x-none"/>
        </w:rPr>
        <w:t>-ACK</w:t>
      </w:r>
      <w:r w:rsidRPr="00875521">
        <w:rPr>
          <w:lang w:eastAsia="x-none"/>
        </w:rPr>
        <w:t xml:space="preserve"> feedback corresponding to PDSCHs of a channel occupancy can be reported outside of that channel occupancy</w:t>
      </w:r>
      <w:r w:rsidR="006C0F9C">
        <w:rPr>
          <w:lang w:eastAsia="x-none"/>
        </w:rPr>
        <w:t xml:space="preserve"> (</w:t>
      </w:r>
      <w:r w:rsidR="006D5207">
        <w:rPr>
          <w:lang w:eastAsia="x-none"/>
        </w:rPr>
        <w:t xml:space="preserve">for the convenience of description, it will be called as </w:t>
      </w:r>
      <w:r>
        <w:rPr>
          <w:lang w:eastAsia="x-none"/>
        </w:rPr>
        <w:t>cross-COT HARQ</w:t>
      </w:r>
      <w:r w:rsidR="00823C4D">
        <w:rPr>
          <w:lang w:eastAsia="x-none"/>
        </w:rPr>
        <w:t>-ACK</w:t>
      </w:r>
      <w:r>
        <w:rPr>
          <w:lang w:eastAsia="x-none"/>
        </w:rPr>
        <w:t xml:space="preserve"> feedback</w:t>
      </w:r>
      <w:r w:rsidR="006D5207">
        <w:rPr>
          <w:lang w:eastAsia="x-none"/>
        </w:rPr>
        <w:t xml:space="preserve"> in the following</w:t>
      </w:r>
      <w:r w:rsidR="006C0F9C">
        <w:rPr>
          <w:lang w:eastAsia="x-none"/>
        </w:rPr>
        <w:t>)</w:t>
      </w:r>
      <w:r w:rsidR="00EA51DE">
        <w:rPr>
          <w:lang w:eastAsia="x-none"/>
        </w:rPr>
        <w:t>.</w:t>
      </w:r>
      <w:r w:rsidR="006C0F9C">
        <w:rPr>
          <w:lang w:eastAsia="x-none"/>
        </w:rPr>
        <w:t xml:space="preserve"> </w:t>
      </w:r>
      <w:r w:rsidR="009E5B79">
        <w:rPr>
          <w:lang w:eastAsia="x-none"/>
        </w:rPr>
        <w:t xml:space="preserve">Potential reasons for this may be either an unsuccessful LBT (Listen Before Talk) or that the processing delay does not </w:t>
      </w:r>
      <w:r w:rsidR="00B02AA0">
        <w:rPr>
          <w:lang w:eastAsia="x-none"/>
        </w:rPr>
        <w:t>give sufficient time for</w:t>
      </w:r>
      <w:r w:rsidR="009E5B79">
        <w:rPr>
          <w:lang w:eastAsia="x-none"/>
        </w:rPr>
        <w:t xml:space="preserve"> </w:t>
      </w:r>
      <w:r w:rsidR="00C07FA9">
        <w:rPr>
          <w:lang w:eastAsia="x-none"/>
        </w:rPr>
        <w:t xml:space="preserve">performing </w:t>
      </w:r>
      <w:r w:rsidR="009E5B79">
        <w:rPr>
          <w:lang w:eastAsia="x-none"/>
        </w:rPr>
        <w:t xml:space="preserve">HARQ-ACK reporting in the current COT. </w:t>
      </w:r>
      <w:r w:rsidR="00EA51DE">
        <w:rPr>
          <w:lang w:eastAsia="x-none"/>
        </w:rPr>
        <w:t>Alt. 1, Alt. 2 and Alt. 3</w:t>
      </w:r>
      <w:r w:rsidR="00BE0805" w:rsidRPr="00BE0805">
        <w:rPr>
          <w:lang w:eastAsia="x-none"/>
        </w:rPr>
        <w:t xml:space="preserve"> </w:t>
      </w:r>
      <w:r w:rsidR="00EA51DE">
        <w:rPr>
          <w:lang w:eastAsia="x-none"/>
        </w:rPr>
        <w:t xml:space="preserve">were listed as </w:t>
      </w:r>
      <w:r w:rsidR="00BE0805" w:rsidRPr="00BE0805">
        <w:rPr>
          <w:lang w:eastAsia="x-none"/>
        </w:rPr>
        <w:t>candidate solutions</w:t>
      </w:r>
      <w:r w:rsidR="00EA51DE">
        <w:rPr>
          <w:lang w:eastAsia="x-none"/>
        </w:rPr>
        <w:t xml:space="preserve"> in the above agreement</w:t>
      </w:r>
      <w:r w:rsidR="00BE0805">
        <w:rPr>
          <w:lang w:eastAsia="x-none"/>
        </w:rPr>
        <w:t>:</w:t>
      </w:r>
    </w:p>
    <w:p w14:paraId="54BE630D" w14:textId="4453D66B" w:rsidR="00EA51DE" w:rsidRDefault="00410543" w:rsidP="00EA51DE">
      <w:pPr>
        <w:spacing w:beforeLines="50" w:before="120"/>
        <w:jc w:val="both"/>
        <w:rPr>
          <w:lang w:eastAsia="x-none"/>
        </w:rPr>
      </w:pPr>
      <w:r>
        <w:rPr>
          <w:lang w:eastAsia="x-none"/>
        </w:rPr>
        <w:t>For Alt</w:t>
      </w:r>
      <w:r w:rsidR="00EA51DE">
        <w:rPr>
          <w:lang w:eastAsia="x-none"/>
        </w:rPr>
        <w:t>.</w:t>
      </w:r>
      <w:r>
        <w:rPr>
          <w:lang w:eastAsia="x-none"/>
        </w:rPr>
        <w:t xml:space="preserve"> 1</w:t>
      </w:r>
      <w:r w:rsidR="00B02AA0">
        <w:rPr>
          <w:lang w:eastAsia="x-none"/>
        </w:rPr>
        <w:t xml:space="preserve">, the </w:t>
      </w:r>
      <w:r>
        <w:rPr>
          <w:lang w:eastAsia="x-none"/>
        </w:rPr>
        <w:t xml:space="preserve">gNB could trigger the UE to report </w:t>
      </w:r>
      <w:r w:rsidR="00EA51DE">
        <w:rPr>
          <w:lang w:eastAsia="x-none"/>
        </w:rPr>
        <w:t>non-</w:t>
      </w:r>
      <w:r w:rsidR="00DF6BB1">
        <w:rPr>
          <w:lang w:eastAsia="x-none"/>
        </w:rPr>
        <w:t>transmitted</w:t>
      </w:r>
      <w:r>
        <w:rPr>
          <w:lang w:eastAsia="x-none"/>
        </w:rPr>
        <w:t xml:space="preserve"> </w:t>
      </w:r>
      <w:r w:rsidR="00097DB9">
        <w:rPr>
          <w:lang w:eastAsia="x-none"/>
        </w:rPr>
        <w:t xml:space="preserve">HARQ-ACK </w:t>
      </w:r>
      <w:r>
        <w:rPr>
          <w:lang w:eastAsia="x-none"/>
        </w:rPr>
        <w:t xml:space="preserve">feedback </w:t>
      </w:r>
      <w:r w:rsidR="00097DB9">
        <w:rPr>
          <w:lang w:eastAsia="x-none"/>
        </w:rPr>
        <w:t>of earlier</w:t>
      </w:r>
      <w:r w:rsidR="00DF6BB1">
        <w:rPr>
          <w:lang w:eastAsia="x-none"/>
        </w:rPr>
        <w:t xml:space="preserve"> COT</w:t>
      </w:r>
      <w:r w:rsidR="0046257B">
        <w:rPr>
          <w:lang w:eastAsia="x-none"/>
        </w:rPr>
        <w:t>(s)</w:t>
      </w:r>
      <w:r w:rsidR="00097DB9">
        <w:rPr>
          <w:lang w:eastAsia="x-none"/>
        </w:rPr>
        <w:t>, and/or HARQ-ACK feedback of PDSCHs from the current COT.</w:t>
      </w:r>
      <w:r w:rsidR="00EC6725">
        <w:rPr>
          <w:lang w:eastAsia="zh-CN"/>
        </w:rPr>
        <w:t xml:space="preserve"> </w:t>
      </w:r>
      <w:r w:rsidR="00097DB9">
        <w:rPr>
          <w:lang w:eastAsia="x-none"/>
        </w:rPr>
        <w:t>T</w:t>
      </w:r>
      <w:r w:rsidR="00DF6BB1">
        <w:rPr>
          <w:lang w:eastAsia="x-none"/>
        </w:rPr>
        <w:t xml:space="preserve">wo options could be considered: </w:t>
      </w:r>
    </w:p>
    <w:p w14:paraId="61CAD491" w14:textId="2A9F03BE" w:rsidR="00EA51DE" w:rsidRDefault="00EA51DE" w:rsidP="00EA51DE">
      <w:pPr>
        <w:spacing w:beforeLines="50" w:before="120"/>
        <w:jc w:val="both"/>
        <w:rPr>
          <w:lang w:eastAsia="zh-CN"/>
        </w:rPr>
      </w:pPr>
      <w:r>
        <w:rPr>
          <w:lang w:eastAsia="x-none"/>
        </w:rPr>
        <w:t>O</w:t>
      </w:r>
      <w:r w:rsidR="00DF6BB1">
        <w:rPr>
          <w:lang w:eastAsia="x-none"/>
        </w:rPr>
        <w:t>ption 1</w:t>
      </w:r>
      <w:r>
        <w:rPr>
          <w:lang w:eastAsia="x-none"/>
        </w:rPr>
        <w:t>:</w:t>
      </w:r>
      <w:r w:rsidR="00DF6BB1">
        <w:rPr>
          <w:lang w:eastAsia="x-none"/>
        </w:rPr>
        <w:t xml:space="preserve"> </w:t>
      </w:r>
      <w:r>
        <w:rPr>
          <w:lang w:eastAsia="x-none"/>
        </w:rPr>
        <w:t>The</w:t>
      </w:r>
      <w:r w:rsidR="00DF6BB1">
        <w:rPr>
          <w:lang w:eastAsia="x-none"/>
        </w:rPr>
        <w:t xml:space="preserve"> gNB triggers </w:t>
      </w:r>
      <w:r>
        <w:rPr>
          <w:lang w:eastAsia="x-none"/>
        </w:rPr>
        <w:t xml:space="preserve">the </w:t>
      </w:r>
      <w:r w:rsidR="00DF6BB1">
        <w:rPr>
          <w:lang w:eastAsia="x-none"/>
        </w:rPr>
        <w:t>UE</w:t>
      </w:r>
      <w:r w:rsidR="00DF6BB1">
        <w:rPr>
          <w:rFonts w:hint="eastAsia"/>
          <w:lang w:eastAsia="zh-CN"/>
        </w:rPr>
        <w:t xml:space="preserve"> to transmit the HARQ</w:t>
      </w:r>
      <w:r w:rsidR="00823C4D">
        <w:rPr>
          <w:lang w:eastAsia="zh-CN"/>
        </w:rPr>
        <w:t>-ACK</w:t>
      </w:r>
      <w:r w:rsidR="00DF6BB1">
        <w:rPr>
          <w:rFonts w:hint="eastAsia"/>
          <w:lang w:eastAsia="zh-CN"/>
        </w:rPr>
        <w:t xml:space="preserve"> </w:t>
      </w:r>
      <w:r w:rsidR="00DF6BB1">
        <w:rPr>
          <w:lang w:eastAsia="zh-CN"/>
        </w:rPr>
        <w:t>feedback</w:t>
      </w:r>
      <w:r w:rsidR="00DF6BB1">
        <w:rPr>
          <w:rFonts w:hint="eastAsia"/>
          <w:lang w:eastAsia="zh-CN"/>
        </w:rPr>
        <w:t xml:space="preserve"> </w:t>
      </w:r>
      <w:r w:rsidR="00DF6BB1">
        <w:rPr>
          <w:lang w:eastAsia="zh-CN"/>
        </w:rPr>
        <w:t>for all configured HARQ process</w:t>
      </w:r>
      <w:r>
        <w:rPr>
          <w:lang w:eastAsia="zh-CN"/>
        </w:rPr>
        <w:t>es.</w:t>
      </w:r>
    </w:p>
    <w:p w14:paraId="365CBE9F" w14:textId="5F55A8F3" w:rsidR="00EA51DE" w:rsidRDefault="00EA51DE" w:rsidP="00EA51DE">
      <w:pPr>
        <w:spacing w:beforeLines="50" w:before="120"/>
        <w:jc w:val="both"/>
        <w:rPr>
          <w:lang w:eastAsia="zh-CN"/>
        </w:rPr>
      </w:pPr>
      <w:r>
        <w:rPr>
          <w:lang w:eastAsia="zh-CN"/>
        </w:rPr>
        <w:lastRenderedPageBreak/>
        <w:t>O</w:t>
      </w:r>
      <w:r w:rsidR="00DF6BB1">
        <w:rPr>
          <w:lang w:eastAsia="zh-CN"/>
        </w:rPr>
        <w:t>ption 2</w:t>
      </w:r>
      <w:r>
        <w:rPr>
          <w:lang w:eastAsia="zh-CN"/>
        </w:rPr>
        <w:t>:</w:t>
      </w:r>
      <w:r w:rsidR="008849F9">
        <w:rPr>
          <w:lang w:eastAsia="zh-CN"/>
        </w:rPr>
        <w:t xml:space="preserve"> </w:t>
      </w:r>
      <w:r>
        <w:rPr>
          <w:lang w:eastAsia="zh-CN"/>
        </w:rPr>
        <w:t>The gNB triggers the UE to o</w:t>
      </w:r>
      <w:r w:rsidR="008849F9">
        <w:rPr>
          <w:lang w:eastAsia="zh-CN"/>
        </w:rPr>
        <w:t xml:space="preserve">nly </w:t>
      </w:r>
      <w:r>
        <w:rPr>
          <w:lang w:eastAsia="zh-CN"/>
        </w:rPr>
        <w:t xml:space="preserve">transmit the </w:t>
      </w:r>
      <w:r w:rsidR="008849F9">
        <w:rPr>
          <w:lang w:eastAsia="zh-CN"/>
        </w:rPr>
        <w:t>HARQ</w:t>
      </w:r>
      <w:r w:rsidR="00823C4D">
        <w:rPr>
          <w:lang w:eastAsia="zh-CN"/>
        </w:rPr>
        <w:t>-ACK</w:t>
      </w:r>
      <w:r w:rsidR="008849F9">
        <w:rPr>
          <w:lang w:eastAsia="zh-CN"/>
        </w:rPr>
        <w:t xml:space="preserve"> feedback </w:t>
      </w:r>
      <w:r>
        <w:rPr>
          <w:lang w:eastAsia="zh-CN"/>
        </w:rPr>
        <w:t>which has(have) not been transmitted yet</w:t>
      </w:r>
      <w:r w:rsidR="008849F9">
        <w:rPr>
          <w:lang w:eastAsia="zh-CN"/>
        </w:rPr>
        <w:t xml:space="preserve">. </w:t>
      </w:r>
    </w:p>
    <w:p w14:paraId="6DC9B8F5" w14:textId="09833636" w:rsidR="00D51954" w:rsidRPr="00D51954" w:rsidRDefault="005F53AA" w:rsidP="007F36DE">
      <w:pPr>
        <w:spacing w:beforeLines="50" w:before="120"/>
        <w:jc w:val="both"/>
        <w:rPr>
          <w:lang w:eastAsia="x-none"/>
        </w:rPr>
      </w:pPr>
      <w:r>
        <w:rPr>
          <w:lang w:eastAsia="zh-CN"/>
        </w:rPr>
        <w:t>We are not in favor of O</w:t>
      </w:r>
      <w:r w:rsidR="008849F9">
        <w:rPr>
          <w:lang w:eastAsia="zh-CN"/>
        </w:rPr>
        <w:t xml:space="preserve">ption 1 </w:t>
      </w:r>
      <w:r>
        <w:rPr>
          <w:lang w:eastAsia="zh-CN"/>
        </w:rPr>
        <w:t xml:space="preserve">since it </w:t>
      </w:r>
      <w:r w:rsidR="008849F9">
        <w:rPr>
          <w:lang w:eastAsia="zh-CN"/>
        </w:rPr>
        <w:t>will cause large overhead on PUCCH</w:t>
      </w:r>
      <w:r>
        <w:rPr>
          <w:lang w:eastAsia="zh-CN"/>
        </w:rPr>
        <w:t>,</w:t>
      </w:r>
      <w:r w:rsidR="008849F9">
        <w:rPr>
          <w:lang w:eastAsia="zh-CN"/>
        </w:rPr>
        <w:t xml:space="preserve"> which is not preferred in unlicensed band. </w:t>
      </w:r>
      <w:r>
        <w:rPr>
          <w:lang w:eastAsia="zh-CN"/>
        </w:rPr>
        <w:t>O</w:t>
      </w:r>
      <w:r w:rsidR="008849F9">
        <w:rPr>
          <w:lang w:eastAsia="zh-CN"/>
        </w:rPr>
        <w:t>ption 2</w:t>
      </w:r>
      <w:r>
        <w:rPr>
          <w:lang w:eastAsia="zh-CN"/>
        </w:rPr>
        <w:t xml:space="preserve"> is therefore better but</w:t>
      </w:r>
      <w:r w:rsidR="008849F9">
        <w:rPr>
          <w:lang w:eastAsia="zh-CN"/>
        </w:rPr>
        <w:t xml:space="preserve"> to avoid the ambiguity on the HARQ</w:t>
      </w:r>
      <w:r w:rsidR="00823C4D">
        <w:rPr>
          <w:lang w:eastAsia="zh-CN"/>
        </w:rPr>
        <w:t>-ACK</w:t>
      </w:r>
      <w:r w:rsidR="008849F9">
        <w:rPr>
          <w:lang w:eastAsia="zh-CN"/>
        </w:rPr>
        <w:t xml:space="preserve"> feedback </w:t>
      </w:r>
      <w:r w:rsidR="00097DB9">
        <w:rPr>
          <w:lang w:eastAsia="zh-CN"/>
        </w:rPr>
        <w:t>codebook size</w:t>
      </w:r>
      <w:r w:rsidR="008849F9">
        <w:rPr>
          <w:lang w:eastAsia="zh-CN"/>
        </w:rPr>
        <w:t>, the DCI used to trigger feedback for PDSCH from earlier COT(s) should be carefully designed</w:t>
      </w:r>
      <w:r w:rsidR="00610FFD">
        <w:rPr>
          <w:lang w:eastAsia="zh-CN"/>
        </w:rPr>
        <w:t xml:space="preserve">. </w:t>
      </w:r>
      <w:r>
        <w:rPr>
          <w:lang w:eastAsia="zh-CN"/>
        </w:rPr>
        <w:t>To this end, w</w:t>
      </w:r>
      <w:r w:rsidR="0052721D">
        <w:rPr>
          <w:lang w:eastAsia="zh-CN"/>
        </w:rPr>
        <w:t xml:space="preserve">e propose to </w:t>
      </w:r>
      <w:r w:rsidR="00EF47C4">
        <w:rPr>
          <w:lang w:eastAsia="zh-CN"/>
        </w:rPr>
        <w:t>introduce</w:t>
      </w:r>
      <w:r w:rsidR="0052721D">
        <w:rPr>
          <w:lang w:eastAsia="zh-CN"/>
        </w:rPr>
        <w:t xml:space="preserve"> </w:t>
      </w:r>
      <w:r w:rsidR="00EF47C4">
        <w:rPr>
          <w:lang w:eastAsia="zh-CN"/>
        </w:rPr>
        <w:t>a</w:t>
      </w:r>
      <w:r w:rsidR="0052721D">
        <w:rPr>
          <w:lang w:eastAsia="zh-CN"/>
        </w:rPr>
        <w:t xml:space="preserve"> </w:t>
      </w:r>
      <w:r w:rsidR="00C03A7A">
        <w:rPr>
          <w:lang w:eastAsia="zh-CN"/>
        </w:rPr>
        <w:t>new</w:t>
      </w:r>
      <w:r w:rsidR="0052721D">
        <w:rPr>
          <w:lang w:eastAsia="zh-CN"/>
        </w:rPr>
        <w:t xml:space="preserve"> </w:t>
      </w:r>
      <w:r w:rsidR="009E5B79">
        <w:rPr>
          <w:lang w:eastAsia="zh-CN"/>
        </w:rPr>
        <w:t xml:space="preserve">DCI </w:t>
      </w:r>
      <w:r w:rsidR="00C03A7A">
        <w:rPr>
          <w:lang w:eastAsia="zh-CN"/>
        </w:rPr>
        <w:t xml:space="preserve">field </w:t>
      </w:r>
      <w:r w:rsidR="0052721D">
        <w:rPr>
          <w:lang w:eastAsia="zh-CN"/>
        </w:rPr>
        <w:t xml:space="preserve">to trigger the </w:t>
      </w:r>
      <w:r w:rsidR="0052721D" w:rsidRPr="00875521">
        <w:rPr>
          <w:lang w:eastAsia="x-none"/>
        </w:rPr>
        <w:t>feedback for PDSCH</w:t>
      </w:r>
      <w:r w:rsidR="00C07FA9">
        <w:rPr>
          <w:lang w:eastAsia="x-none"/>
        </w:rPr>
        <w:t>s</w:t>
      </w:r>
      <w:r w:rsidR="0052721D" w:rsidRPr="00875521">
        <w:rPr>
          <w:lang w:eastAsia="x-none"/>
        </w:rPr>
        <w:t xml:space="preserve"> from earlier COT(s)</w:t>
      </w:r>
      <w:r w:rsidR="00610FFD">
        <w:rPr>
          <w:lang w:eastAsia="x-none"/>
        </w:rPr>
        <w:t xml:space="preserve"> </w:t>
      </w:r>
      <w:r w:rsidR="00610FFD" w:rsidRPr="00D51954">
        <w:rPr>
          <w:lang w:eastAsia="x-none"/>
        </w:rPr>
        <w:t xml:space="preserve">(the details can be found in </w:t>
      </w:r>
      <w:r w:rsidR="00610FFD">
        <w:rPr>
          <w:lang w:eastAsia="x-none"/>
        </w:rPr>
        <w:t>S</w:t>
      </w:r>
      <w:r w:rsidR="00610FFD" w:rsidRPr="00D51954">
        <w:rPr>
          <w:lang w:eastAsia="x-none"/>
        </w:rPr>
        <w:t>ection 4)</w:t>
      </w:r>
      <w:r w:rsidR="0052721D">
        <w:rPr>
          <w:lang w:eastAsia="x-none"/>
        </w:rPr>
        <w:t xml:space="preserve">. </w:t>
      </w:r>
      <w:r w:rsidR="009E5B79">
        <w:rPr>
          <w:lang w:eastAsia="x-none"/>
        </w:rPr>
        <w:t xml:space="preserve">For determining the HARQ-ACK codebook, the </w:t>
      </w:r>
      <w:r w:rsidR="0052721D">
        <w:rPr>
          <w:lang w:eastAsia="zh-CN"/>
        </w:rPr>
        <w:t xml:space="preserve">gNB </w:t>
      </w:r>
      <w:r w:rsidR="00283730">
        <w:rPr>
          <w:lang w:eastAsia="zh-CN"/>
        </w:rPr>
        <w:t xml:space="preserve">should </w:t>
      </w:r>
      <w:r w:rsidR="0052721D">
        <w:rPr>
          <w:lang w:eastAsia="zh-CN"/>
        </w:rPr>
        <w:t>use the counter DAI and total DAI</w:t>
      </w:r>
      <w:r w:rsidR="00A82A47">
        <w:rPr>
          <w:lang w:eastAsia="zh-CN"/>
        </w:rPr>
        <w:t xml:space="preserve">, </w:t>
      </w:r>
      <w:r w:rsidR="00EF47C4">
        <w:rPr>
          <w:lang w:eastAsia="zh-CN"/>
        </w:rPr>
        <w:t>while us</w:t>
      </w:r>
      <w:r w:rsidR="009E5B79">
        <w:rPr>
          <w:lang w:eastAsia="zh-CN"/>
        </w:rPr>
        <w:t>ing</w:t>
      </w:r>
      <w:r w:rsidR="00EF47C4">
        <w:rPr>
          <w:lang w:eastAsia="zh-CN"/>
        </w:rPr>
        <w:t xml:space="preserve"> </w:t>
      </w:r>
      <w:r w:rsidR="00EF47C4" w:rsidRPr="00D51954">
        <w:rPr>
          <w:lang w:eastAsia="zh-CN"/>
        </w:rPr>
        <w:t xml:space="preserve">the new </w:t>
      </w:r>
      <w:r w:rsidR="009E5B79">
        <w:rPr>
          <w:lang w:eastAsia="zh-CN"/>
        </w:rPr>
        <w:t xml:space="preserve">DCI </w:t>
      </w:r>
      <w:r w:rsidR="00E15C99">
        <w:rPr>
          <w:lang w:eastAsia="zh-CN"/>
        </w:rPr>
        <w:t>field</w:t>
      </w:r>
      <w:r w:rsidR="00EF47C4" w:rsidRPr="00D51954">
        <w:rPr>
          <w:lang w:eastAsia="zh-CN"/>
        </w:rPr>
        <w:t xml:space="preserve"> to</w:t>
      </w:r>
      <w:r w:rsidR="00AF558F" w:rsidRPr="00D51954">
        <w:rPr>
          <w:lang w:eastAsia="x-none"/>
        </w:rPr>
        <w:t xml:space="preserve"> indicate how many PDSCH sets </w:t>
      </w:r>
      <w:r w:rsidR="00342C21" w:rsidRPr="00D51954">
        <w:rPr>
          <w:lang w:eastAsia="x-none"/>
        </w:rPr>
        <w:t xml:space="preserve">(including the current PDSCH(s) transmission and the previous </w:t>
      </w:r>
      <w:r w:rsidR="00C90F17" w:rsidRPr="00D51954">
        <w:rPr>
          <w:lang w:eastAsia="x-none"/>
        </w:rPr>
        <w:t>PDSCH(s) for which the HARQ</w:t>
      </w:r>
      <w:r w:rsidR="00BB2365" w:rsidRPr="00D51954">
        <w:rPr>
          <w:lang w:eastAsia="x-none"/>
        </w:rPr>
        <w:t>-ACK</w:t>
      </w:r>
      <w:r w:rsidR="00C90F17" w:rsidRPr="00D51954">
        <w:rPr>
          <w:lang w:eastAsia="x-none"/>
        </w:rPr>
        <w:t xml:space="preserve"> feedback is </w:t>
      </w:r>
      <w:r w:rsidR="001A2690" w:rsidRPr="00D51954">
        <w:rPr>
          <w:lang w:eastAsia="x-none"/>
        </w:rPr>
        <w:t>yet unreported</w:t>
      </w:r>
      <w:r w:rsidR="00342C21" w:rsidRPr="00D51954">
        <w:rPr>
          <w:lang w:eastAsia="x-none"/>
        </w:rPr>
        <w:t>)</w:t>
      </w:r>
      <w:r w:rsidR="001A2690" w:rsidRPr="00D51954">
        <w:rPr>
          <w:lang w:eastAsia="x-none"/>
        </w:rPr>
        <w:t xml:space="preserve"> </w:t>
      </w:r>
      <w:r w:rsidR="009E5B79">
        <w:rPr>
          <w:lang w:eastAsia="x-none"/>
        </w:rPr>
        <w:t xml:space="preserve">which </w:t>
      </w:r>
      <w:r w:rsidR="00FB3294" w:rsidRPr="00D51954">
        <w:rPr>
          <w:lang w:eastAsia="x-none"/>
        </w:rPr>
        <w:t>should be acknowledged.</w:t>
      </w:r>
      <w:r w:rsidR="00D51954" w:rsidRPr="00D51954">
        <w:rPr>
          <w:lang w:eastAsia="zh-CN"/>
        </w:rPr>
        <w:t xml:space="preserve"> </w:t>
      </w:r>
    </w:p>
    <w:p w14:paraId="5AB40E3F" w14:textId="07C40E7B" w:rsidR="00823C4D" w:rsidRDefault="00823C4D" w:rsidP="00EA51DE">
      <w:pPr>
        <w:spacing w:beforeLines="50" w:before="120"/>
        <w:jc w:val="both"/>
        <w:rPr>
          <w:lang w:eastAsia="zh-CN"/>
        </w:rPr>
      </w:pPr>
      <w:r>
        <w:rPr>
          <w:lang w:eastAsia="zh-CN"/>
        </w:rPr>
        <w:t>For Alt</w:t>
      </w:r>
      <w:r w:rsidR="009E5B79">
        <w:rPr>
          <w:lang w:eastAsia="zh-CN"/>
        </w:rPr>
        <w:t>.</w:t>
      </w:r>
      <w:r>
        <w:rPr>
          <w:lang w:eastAsia="zh-CN"/>
        </w:rPr>
        <w:t xml:space="preserve"> 2, HARQ</w:t>
      </w:r>
      <w:r w:rsidR="009E5B79">
        <w:rPr>
          <w:lang w:eastAsia="zh-CN"/>
        </w:rPr>
        <w:t>-ACK</w:t>
      </w:r>
      <w:r>
        <w:rPr>
          <w:lang w:eastAsia="zh-CN"/>
        </w:rPr>
        <w:t xml:space="preserve"> feedback from earlier COT(s) could be transmitted </w:t>
      </w:r>
      <w:r w:rsidR="009E52CF">
        <w:rPr>
          <w:lang w:eastAsia="zh-CN"/>
        </w:rPr>
        <w:t>by</w:t>
      </w:r>
      <w:r>
        <w:rPr>
          <w:lang w:eastAsia="zh-CN"/>
        </w:rPr>
        <w:t xml:space="preserve"> predefined rules, e.g., the feedback for the PDSCH(s) located at the end the COT will be transmitted in the next COT. The benefit for </w:t>
      </w:r>
      <w:r w:rsidR="009E5B79">
        <w:rPr>
          <w:lang w:eastAsia="zh-CN"/>
        </w:rPr>
        <w:t>A</w:t>
      </w:r>
      <w:r>
        <w:rPr>
          <w:lang w:eastAsia="zh-CN"/>
        </w:rPr>
        <w:t>lt</w:t>
      </w:r>
      <w:r w:rsidR="009E5B79">
        <w:rPr>
          <w:lang w:eastAsia="zh-CN"/>
        </w:rPr>
        <w:t>.</w:t>
      </w:r>
      <w:r>
        <w:rPr>
          <w:lang w:eastAsia="zh-CN"/>
        </w:rPr>
        <w:t xml:space="preserve"> 2 is that it could save signaling, however, </w:t>
      </w:r>
      <w:r w:rsidR="00A20F3B">
        <w:rPr>
          <w:lang w:eastAsia="zh-CN"/>
        </w:rPr>
        <w:t xml:space="preserve">it will possibly cause ambiguity between </w:t>
      </w:r>
      <w:r w:rsidR="00610FFD">
        <w:rPr>
          <w:lang w:eastAsia="zh-CN"/>
        </w:rPr>
        <w:t xml:space="preserve">the </w:t>
      </w:r>
      <w:r w:rsidR="00A20F3B">
        <w:rPr>
          <w:lang w:eastAsia="zh-CN"/>
        </w:rPr>
        <w:t xml:space="preserve">gNB and </w:t>
      </w:r>
      <w:r w:rsidR="00610FFD">
        <w:rPr>
          <w:lang w:eastAsia="zh-CN"/>
        </w:rPr>
        <w:t xml:space="preserve">the </w:t>
      </w:r>
      <w:r w:rsidR="00A20F3B">
        <w:rPr>
          <w:lang w:eastAsia="zh-CN"/>
        </w:rPr>
        <w:t>UE</w:t>
      </w:r>
      <w:r w:rsidR="00C07FA9">
        <w:rPr>
          <w:lang w:eastAsia="zh-CN"/>
        </w:rPr>
        <w:t xml:space="preserve"> since </w:t>
      </w:r>
      <w:r w:rsidR="005F53AA">
        <w:rPr>
          <w:lang w:eastAsia="zh-CN"/>
        </w:rPr>
        <w:t xml:space="preserve">the UE </w:t>
      </w:r>
      <w:r w:rsidR="00C07FA9">
        <w:rPr>
          <w:lang w:eastAsia="zh-CN"/>
        </w:rPr>
        <w:t>needs to know wh</w:t>
      </w:r>
      <w:r w:rsidR="00A437BE">
        <w:rPr>
          <w:lang w:eastAsia="zh-CN"/>
        </w:rPr>
        <w:t>en</w:t>
      </w:r>
      <w:r w:rsidR="00C07FA9">
        <w:rPr>
          <w:lang w:eastAsia="zh-CN"/>
        </w:rPr>
        <w:t xml:space="preserve"> ‘end of COT’</w:t>
      </w:r>
      <w:r w:rsidR="00A437BE">
        <w:rPr>
          <w:lang w:eastAsia="zh-CN"/>
        </w:rPr>
        <w:t xml:space="preserve"> occurs</w:t>
      </w:r>
      <w:r w:rsidR="00C07FA9">
        <w:rPr>
          <w:lang w:eastAsia="zh-CN"/>
        </w:rPr>
        <w:t xml:space="preserve"> and there is no indication to the UE whether HARQ-ACK feedback for a PDSCH should be delayed or not</w:t>
      </w:r>
      <w:r w:rsidR="00A20F3B">
        <w:rPr>
          <w:lang w:eastAsia="zh-CN"/>
        </w:rPr>
        <w:t xml:space="preserve">. </w:t>
      </w:r>
      <w:r w:rsidR="00C07FA9">
        <w:rPr>
          <w:lang w:eastAsia="zh-CN"/>
        </w:rPr>
        <w:t>Moreover, s</w:t>
      </w:r>
      <w:r w:rsidR="00A20F3B">
        <w:rPr>
          <w:lang w:eastAsia="zh-CN"/>
        </w:rPr>
        <w:t xml:space="preserve">ince there is no explicit signaling to </w:t>
      </w:r>
      <w:r w:rsidR="006A06C0">
        <w:rPr>
          <w:lang w:eastAsia="zh-CN"/>
        </w:rPr>
        <w:t>trigger</w:t>
      </w:r>
      <w:r w:rsidR="00A61023">
        <w:rPr>
          <w:lang w:eastAsia="zh-CN"/>
        </w:rPr>
        <w:t xml:space="preserve"> HARQ-ACK feedback,</w:t>
      </w:r>
      <w:r w:rsidR="00A20F3B" w:rsidDel="007C2C13">
        <w:rPr>
          <w:lang w:eastAsia="zh-CN"/>
        </w:rPr>
        <w:t xml:space="preserve"> </w:t>
      </w:r>
      <w:r w:rsidR="009E5B79">
        <w:rPr>
          <w:lang w:eastAsia="zh-CN"/>
        </w:rPr>
        <w:t xml:space="preserve">the </w:t>
      </w:r>
      <w:r w:rsidR="0041065B">
        <w:rPr>
          <w:lang w:eastAsia="zh-CN"/>
        </w:rPr>
        <w:t xml:space="preserve">UE should </w:t>
      </w:r>
      <w:r w:rsidR="00DD63DA">
        <w:rPr>
          <w:lang w:eastAsia="zh-CN"/>
        </w:rPr>
        <w:t xml:space="preserve">use other </w:t>
      </w:r>
      <w:r w:rsidR="003B328F">
        <w:rPr>
          <w:lang w:eastAsia="zh-CN"/>
        </w:rPr>
        <w:t xml:space="preserve">information to </w:t>
      </w:r>
      <w:r w:rsidR="0041065B">
        <w:rPr>
          <w:lang w:eastAsia="zh-CN"/>
        </w:rPr>
        <w:t xml:space="preserve">determine the </w:t>
      </w:r>
      <w:r w:rsidR="006A06C0">
        <w:rPr>
          <w:lang w:eastAsia="zh-CN"/>
        </w:rPr>
        <w:t xml:space="preserve">resources for </w:t>
      </w:r>
      <w:r w:rsidR="00A06216">
        <w:rPr>
          <w:lang w:eastAsia="zh-CN"/>
        </w:rPr>
        <w:t>PUCCH transmission</w:t>
      </w:r>
      <w:r w:rsidR="00813896">
        <w:rPr>
          <w:lang w:eastAsia="zh-CN"/>
        </w:rPr>
        <w:t xml:space="preserve">, </w:t>
      </w:r>
      <w:r w:rsidR="00857C2B">
        <w:rPr>
          <w:lang w:eastAsia="zh-CN"/>
        </w:rPr>
        <w:t>e.g.</w:t>
      </w:r>
      <w:r w:rsidR="009E5B79">
        <w:rPr>
          <w:lang w:eastAsia="zh-CN"/>
        </w:rPr>
        <w:t>,</w:t>
      </w:r>
      <w:r w:rsidR="003161A3">
        <w:rPr>
          <w:lang w:eastAsia="zh-CN"/>
        </w:rPr>
        <w:t xml:space="preserve"> </w:t>
      </w:r>
      <w:r w:rsidR="00646E5C">
        <w:rPr>
          <w:lang w:eastAsia="zh-CN"/>
        </w:rPr>
        <w:t>the first slot</w:t>
      </w:r>
      <w:r w:rsidR="005978D1">
        <w:rPr>
          <w:lang w:eastAsia="zh-CN"/>
        </w:rPr>
        <w:t xml:space="preserve"> in </w:t>
      </w:r>
      <w:r w:rsidR="009E5B79">
        <w:rPr>
          <w:lang w:eastAsia="zh-CN"/>
        </w:rPr>
        <w:t xml:space="preserve">the </w:t>
      </w:r>
      <w:r w:rsidR="005978D1">
        <w:rPr>
          <w:lang w:eastAsia="zh-CN"/>
        </w:rPr>
        <w:t>COT</w:t>
      </w:r>
      <w:r w:rsidR="00646E5C">
        <w:rPr>
          <w:lang w:eastAsia="zh-CN"/>
        </w:rPr>
        <w:t xml:space="preserve"> </w:t>
      </w:r>
      <w:r w:rsidR="005978D1">
        <w:rPr>
          <w:lang w:eastAsia="zh-CN"/>
        </w:rPr>
        <w:t xml:space="preserve">is </w:t>
      </w:r>
      <w:r w:rsidR="003026A4">
        <w:rPr>
          <w:lang w:eastAsia="zh-CN"/>
        </w:rPr>
        <w:t>pre</w:t>
      </w:r>
      <w:r w:rsidR="005978D1" w:rsidRPr="00875521">
        <w:rPr>
          <w:lang w:eastAsia="x-none"/>
        </w:rPr>
        <w:t xml:space="preserve">configured </w:t>
      </w:r>
      <w:r w:rsidR="009E5B79">
        <w:rPr>
          <w:lang w:eastAsia="x-none"/>
        </w:rPr>
        <w:t>for</w:t>
      </w:r>
      <w:r w:rsidR="009E5B79" w:rsidRPr="00875521">
        <w:rPr>
          <w:lang w:eastAsia="x-none"/>
        </w:rPr>
        <w:t xml:space="preserve"> </w:t>
      </w:r>
      <w:r w:rsidR="005978D1" w:rsidRPr="00875521">
        <w:rPr>
          <w:lang w:eastAsia="x-none"/>
        </w:rPr>
        <w:t>HARQ</w:t>
      </w:r>
      <w:r w:rsidR="009E5B79">
        <w:rPr>
          <w:lang w:eastAsia="x-none"/>
        </w:rPr>
        <w:t>-ACK</w:t>
      </w:r>
      <w:r w:rsidR="005978D1" w:rsidRPr="00875521">
        <w:rPr>
          <w:lang w:eastAsia="x-none"/>
        </w:rPr>
        <w:t xml:space="preserve"> feedback for PDSCH from earlier COT(s)</w:t>
      </w:r>
      <w:r w:rsidR="009E5B79">
        <w:rPr>
          <w:lang w:eastAsia="x-none"/>
        </w:rPr>
        <w:t>.</w:t>
      </w:r>
      <w:r w:rsidR="003026A4">
        <w:rPr>
          <w:lang w:eastAsia="zh-CN"/>
        </w:rPr>
        <w:t xml:space="preserve"> </w:t>
      </w:r>
      <w:r w:rsidR="009E5B79">
        <w:rPr>
          <w:lang w:eastAsia="zh-CN"/>
        </w:rPr>
        <w:t>This requires</w:t>
      </w:r>
      <w:r w:rsidR="00646E5C">
        <w:rPr>
          <w:lang w:eastAsia="zh-CN"/>
        </w:rPr>
        <w:t xml:space="preserve"> </w:t>
      </w:r>
      <w:r w:rsidR="00813896">
        <w:rPr>
          <w:lang w:eastAsia="zh-CN"/>
        </w:rPr>
        <w:t xml:space="preserve">the </w:t>
      </w:r>
      <w:r w:rsidR="003161A3">
        <w:rPr>
          <w:lang w:eastAsia="zh-CN"/>
        </w:rPr>
        <w:t>starting point for the COT</w:t>
      </w:r>
      <w:r w:rsidR="00813896">
        <w:rPr>
          <w:lang w:eastAsia="zh-CN"/>
        </w:rPr>
        <w:t xml:space="preserve"> </w:t>
      </w:r>
      <w:r w:rsidR="009E5B79">
        <w:rPr>
          <w:lang w:eastAsia="zh-CN"/>
        </w:rPr>
        <w:t xml:space="preserve">to </w:t>
      </w:r>
      <w:r w:rsidR="00857C2B">
        <w:rPr>
          <w:lang w:eastAsia="zh-CN"/>
        </w:rPr>
        <w:t xml:space="preserve">be </w:t>
      </w:r>
      <w:r w:rsidR="003161A3">
        <w:rPr>
          <w:lang w:eastAsia="zh-CN"/>
        </w:rPr>
        <w:t xml:space="preserve">accurately </w:t>
      </w:r>
      <w:r w:rsidR="00857C2B">
        <w:rPr>
          <w:lang w:eastAsia="zh-CN"/>
        </w:rPr>
        <w:t xml:space="preserve">detected by </w:t>
      </w:r>
      <w:r w:rsidR="009E5B79">
        <w:rPr>
          <w:lang w:eastAsia="zh-CN"/>
        </w:rPr>
        <w:t xml:space="preserve">the </w:t>
      </w:r>
      <w:r w:rsidR="00857C2B">
        <w:rPr>
          <w:lang w:eastAsia="zh-CN"/>
        </w:rPr>
        <w:t>UE</w:t>
      </w:r>
      <w:r w:rsidR="009432FD">
        <w:rPr>
          <w:lang w:eastAsia="zh-CN"/>
        </w:rPr>
        <w:t xml:space="preserve">, otherwise, </w:t>
      </w:r>
      <w:r w:rsidR="009E5B79">
        <w:rPr>
          <w:lang w:eastAsia="zh-CN"/>
        </w:rPr>
        <w:t xml:space="preserve">it </w:t>
      </w:r>
      <w:r w:rsidR="009432FD">
        <w:rPr>
          <w:lang w:eastAsia="zh-CN"/>
        </w:rPr>
        <w:t>cannot determine</w:t>
      </w:r>
      <w:r w:rsidR="00853AEB">
        <w:rPr>
          <w:lang w:eastAsia="zh-CN"/>
        </w:rPr>
        <w:t xml:space="preserve"> whe</w:t>
      </w:r>
      <w:r w:rsidR="009E5B79">
        <w:rPr>
          <w:lang w:eastAsia="zh-CN"/>
        </w:rPr>
        <w:t>n</w:t>
      </w:r>
      <w:r w:rsidR="00853AEB">
        <w:rPr>
          <w:lang w:eastAsia="zh-CN"/>
        </w:rPr>
        <w:t xml:space="preserve"> to transmit </w:t>
      </w:r>
      <w:r w:rsidR="0085010D">
        <w:rPr>
          <w:lang w:eastAsia="zh-CN"/>
        </w:rPr>
        <w:t>the HARQ-ACK feedback</w:t>
      </w:r>
      <w:r w:rsidR="009432FD">
        <w:rPr>
          <w:lang w:eastAsia="zh-CN"/>
        </w:rPr>
        <w:t>.</w:t>
      </w:r>
      <w:r w:rsidR="004415C0">
        <w:rPr>
          <w:lang w:eastAsia="zh-CN"/>
        </w:rPr>
        <w:t xml:space="preserve"> Another potential solution for Alt.2 is UE </w:t>
      </w:r>
      <w:r w:rsidR="004415C0" w:rsidRPr="004415C0">
        <w:rPr>
          <w:lang w:eastAsia="zh-CN"/>
        </w:rPr>
        <w:t>autonomously piggyback information for reporting HARQ-ACK feedback for PDSCH from earlier COT(s)</w:t>
      </w:r>
      <w:r w:rsidR="004415C0">
        <w:rPr>
          <w:lang w:eastAsia="zh-CN"/>
        </w:rPr>
        <w:t xml:space="preserve">. To </w:t>
      </w:r>
      <w:r w:rsidR="004415C0" w:rsidRPr="00DE30E4">
        <w:rPr>
          <w:rFonts w:eastAsiaTheme="minorEastAsia"/>
          <w:sz w:val="20"/>
          <w:lang w:eastAsia="zh-CN"/>
        </w:rPr>
        <w:t>align the understanding between gNB and UE on HARQ-A</w:t>
      </w:r>
      <w:r w:rsidR="004415C0">
        <w:rPr>
          <w:rFonts w:eastAsiaTheme="minorEastAsia" w:hint="eastAsia"/>
          <w:sz w:val="20"/>
          <w:lang w:eastAsia="zh-CN"/>
        </w:rPr>
        <w:t>CK</w:t>
      </w:r>
      <w:r w:rsidR="004415C0" w:rsidRPr="00DE30E4">
        <w:rPr>
          <w:rFonts w:eastAsiaTheme="minorEastAsia"/>
          <w:sz w:val="20"/>
          <w:lang w:eastAsia="zh-CN"/>
        </w:rPr>
        <w:t xml:space="preserve"> resources and the number of bits</w:t>
      </w:r>
      <w:r w:rsidR="004415C0">
        <w:rPr>
          <w:rFonts w:eastAsiaTheme="minorEastAsia"/>
          <w:sz w:val="20"/>
          <w:lang w:eastAsia="zh-CN"/>
        </w:rPr>
        <w:t>,</w:t>
      </w:r>
      <w:r w:rsidR="004415C0">
        <w:rPr>
          <w:lang w:eastAsia="zh-CN"/>
        </w:rPr>
        <w:t xml:space="preserve"> information including</w:t>
      </w:r>
      <w:r w:rsidR="004415C0" w:rsidRPr="004415C0">
        <w:rPr>
          <w:lang w:eastAsia="zh-CN"/>
        </w:rPr>
        <w:t xml:space="preserve"> presence/absence of the UCI transmission from earlier COT(s), or the number of UCIs,</w:t>
      </w:r>
      <w:r w:rsidR="004415C0">
        <w:rPr>
          <w:lang w:eastAsia="zh-CN"/>
        </w:rPr>
        <w:t xml:space="preserve"> etc. should also be transmitted. Besides, in some worst cases, HARQ process IDs should also be included, which will leads to a large overhead for PUCCH. </w:t>
      </w:r>
    </w:p>
    <w:p w14:paraId="0848349D" w14:textId="360069A7" w:rsidR="00311438" w:rsidRDefault="00823C4D" w:rsidP="00EA51DE">
      <w:pPr>
        <w:spacing w:beforeLines="50" w:before="120"/>
        <w:jc w:val="both"/>
        <w:rPr>
          <w:lang w:eastAsia="zh-CN"/>
        </w:rPr>
      </w:pPr>
      <w:r>
        <w:rPr>
          <w:lang w:eastAsia="zh-CN"/>
        </w:rPr>
        <w:t xml:space="preserve">For Alt 3, </w:t>
      </w:r>
      <w:r w:rsidR="009E56A9">
        <w:rPr>
          <w:lang w:eastAsia="zh-CN"/>
        </w:rPr>
        <w:t xml:space="preserve">whether HARQ-ACK feedback for the associated PDSCH is to be transmitted in the </w:t>
      </w:r>
      <w:r w:rsidR="001D7438">
        <w:rPr>
          <w:lang w:eastAsia="zh-CN"/>
        </w:rPr>
        <w:t>next</w:t>
      </w:r>
      <w:r w:rsidR="009E56A9">
        <w:rPr>
          <w:lang w:eastAsia="zh-CN"/>
        </w:rPr>
        <w:t xml:space="preserve"> COT is controlla</w:t>
      </w:r>
      <w:r w:rsidR="00945854">
        <w:rPr>
          <w:lang w:eastAsia="zh-CN"/>
        </w:rPr>
        <w:t xml:space="preserve">ble by </w:t>
      </w:r>
      <w:r w:rsidR="009E56A9">
        <w:rPr>
          <w:lang w:eastAsia="zh-CN"/>
        </w:rPr>
        <w:t>the gNB through</w:t>
      </w:r>
      <w:r w:rsidR="009E56A9" w:rsidDel="009E5B79">
        <w:rPr>
          <w:lang w:eastAsia="zh-CN"/>
        </w:rPr>
        <w:t xml:space="preserve"> </w:t>
      </w:r>
      <w:r w:rsidR="003C31E3">
        <w:rPr>
          <w:lang w:eastAsia="zh-CN"/>
        </w:rPr>
        <w:t xml:space="preserve">the </w:t>
      </w:r>
      <w:bookmarkStart w:id="5" w:name="OLE_LINK7"/>
      <w:r w:rsidR="003C31E3">
        <w:rPr>
          <w:lang w:eastAsia="zh-CN"/>
        </w:rPr>
        <w:t>PDSCH-to-HARQ-timing-indicator</w:t>
      </w:r>
      <w:bookmarkEnd w:id="5"/>
      <w:r w:rsidR="001D7438">
        <w:rPr>
          <w:lang w:eastAsia="zh-CN"/>
        </w:rPr>
        <w:t xml:space="preserve"> if the </w:t>
      </w:r>
      <w:r w:rsidR="001D7438" w:rsidRPr="006A5ADA">
        <w:rPr>
          <w:i/>
          <w:lang w:eastAsia="zh-CN"/>
        </w:rPr>
        <w:t>K</w:t>
      </w:r>
      <w:r w:rsidR="001D7438" w:rsidRPr="006A5ADA">
        <w:rPr>
          <w:i/>
          <w:vertAlign w:val="subscript"/>
          <w:lang w:eastAsia="zh-CN"/>
        </w:rPr>
        <w:t>1</w:t>
      </w:r>
      <w:r w:rsidR="005F53AA">
        <w:rPr>
          <w:lang w:eastAsia="zh-CN"/>
        </w:rPr>
        <w:t xml:space="preserve"> delay value can be chosen</w:t>
      </w:r>
      <w:r w:rsidR="001D7438">
        <w:rPr>
          <w:lang w:eastAsia="zh-CN"/>
        </w:rPr>
        <w:t xml:space="preserve"> large enough</w:t>
      </w:r>
      <w:r w:rsidR="00B02AA0">
        <w:rPr>
          <w:lang w:eastAsia="zh-CN"/>
        </w:rPr>
        <w:t xml:space="preserve">. </w:t>
      </w:r>
      <w:r w:rsidR="00610FFD">
        <w:rPr>
          <w:lang w:eastAsia="zh-CN"/>
        </w:rPr>
        <w:t>Deferring the feedback to a later COT</w:t>
      </w:r>
      <w:r w:rsidR="00B02AA0">
        <w:rPr>
          <w:lang w:eastAsia="zh-CN"/>
        </w:rPr>
        <w:t xml:space="preserve"> could be achieved by </w:t>
      </w:r>
      <w:r w:rsidR="002178F8">
        <w:rPr>
          <w:lang w:eastAsia="zh-CN"/>
        </w:rPr>
        <w:t xml:space="preserve">introducing </w:t>
      </w:r>
      <w:r w:rsidR="00B02AA0">
        <w:rPr>
          <w:lang w:eastAsia="zh-CN"/>
        </w:rPr>
        <w:t xml:space="preserve">one </w:t>
      </w:r>
      <w:r w:rsidR="002178F8">
        <w:rPr>
          <w:lang w:eastAsia="zh-CN"/>
        </w:rPr>
        <w:t xml:space="preserve">large </w:t>
      </w:r>
      <w:r w:rsidR="00C07FA9">
        <w:rPr>
          <w:lang w:eastAsia="zh-CN"/>
        </w:rPr>
        <w:t>delay</w:t>
      </w:r>
      <w:r w:rsidR="00610FFD">
        <w:rPr>
          <w:lang w:eastAsia="zh-CN"/>
        </w:rPr>
        <w:t xml:space="preserve"> value</w:t>
      </w:r>
      <w:r w:rsidR="00B02AA0">
        <w:rPr>
          <w:lang w:eastAsia="zh-CN"/>
        </w:rPr>
        <w:t>, e.g., labelled ‘</w:t>
      </w:r>
      <w:r w:rsidR="00C07FA9">
        <w:rPr>
          <w:lang w:eastAsia="zh-CN"/>
        </w:rPr>
        <w:t>Inf</w:t>
      </w:r>
      <w:r w:rsidR="008260E1">
        <w:rPr>
          <w:lang w:eastAsia="zh-CN"/>
        </w:rPr>
        <w:t>inity</w:t>
      </w:r>
      <w:r w:rsidR="00B02AA0">
        <w:rPr>
          <w:lang w:eastAsia="zh-CN"/>
        </w:rPr>
        <w:t xml:space="preserve">’, which </w:t>
      </w:r>
      <w:r w:rsidR="00C07FA9">
        <w:rPr>
          <w:lang w:eastAsia="zh-CN"/>
        </w:rPr>
        <w:t>is</w:t>
      </w:r>
      <w:r w:rsidR="00B02AA0">
        <w:rPr>
          <w:lang w:eastAsia="zh-CN"/>
        </w:rPr>
        <w:t xml:space="preserve"> </w:t>
      </w:r>
      <w:r w:rsidR="00C07FA9">
        <w:rPr>
          <w:lang w:eastAsia="zh-CN"/>
        </w:rPr>
        <w:t xml:space="preserve">RRC </w:t>
      </w:r>
      <w:r w:rsidR="00B02AA0">
        <w:rPr>
          <w:lang w:eastAsia="zh-CN"/>
        </w:rPr>
        <w:t>configured for the PDSCH-to-HARQ-timing-indicator.</w:t>
      </w:r>
      <w:r w:rsidR="009E52CF">
        <w:rPr>
          <w:lang w:eastAsia="zh-CN"/>
        </w:rPr>
        <w:t xml:space="preserve"> </w:t>
      </w:r>
      <w:r w:rsidR="001D7438">
        <w:rPr>
          <w:lang w:eastAsia="zh-CN"/>
        </w:rPr>
        <w:t>T</w:t>
      </w:r>
      <w:r w:rsidR="004B6D08">
        <w:rPr>
          <w:lang w:eastAsia="zh-CN"/>
        </w:rPr>
        <w:t xml:space="preserve">he PUCCH resource will be allocated by a </w:t>
      </w:r>
      <w:r w:rsidR="001D7438">
        <w:rPr>
          <w:lang w:eastAsia="zh-CN"/>
        </w:rPr>
        <w:t xml:space="preserve">new </w:t>
      </w:r>
      <w:r w:rsidR="004B6D08">
        <w:rPr>
          <w:lang w:eastAsia="zh-CN"/>
        </w:rPr>
        <w:t xml:space="preserve">PDCCH in the next COT </w:t>
      </w:r>
      <w:r w:rsidR="009E56A9">
        <w:rPr>
          <w:lang w:eastAsia="zh-CN"/>
        </w:rPr>
        <w:t>or</w:t>
      </w:r>
      <w:r w:rsidR="009E52CF">
        <w:rPr>
          <w:lang w:eastAsia="zh-CN"/>
        </w:rPr>
        <w:t xml:space="preserve"> </w:t>
      </w:r>
      <w:r w:rsidR="003C31E3">
        <w:rPr>
          <w:lang w:eastAsia="zh-CN"/>
        </w:rPr>
        <w:t>could</w:t>
      </w:r>
      <w:r w:rsidR="00945854">
        <w:rPr>
          <w:lang w:eastAsia="zh-CN"/>
        </w:rPr>
        <w:t xml:space="preserve"> be determined as being</w:t>
      </w:r>
      <w:r w:rsidR="003C31E3">
        <w:rPr>
          <w:lang w:eastAsia="zh-CN"/>
        </w:rPr>
        <w:t xml:space="preserve"> relative to a time reference point for the next COT</w:t>
      </w:r>
      <w:r w:rsidR="009E52CF">
        <w:rPr>
          <w:lang w:eastAsia="zh-CN"/>
        </w:rPr>
        <w:t>, e.g., its</w:t>
      </w:r>
      <w:r w:rsidR="003C31E3">
        <w:rPr>
          <w:lang w:eastAsia="zh-CN"/>
        </w:rPr>
        <w:t xml:space="preserve"> first slot</w:t>
      </w:r>
      <w:r w:rsidR="002178F8">
        <w:rPr>
          <w:lang w:eastAsia="zh-CN"/>
        </w:rPr>
        <w:t>,</w:t>
      </w:r>
      <w:r w:rsidR="002178F8" w:rsidRPr="002178F8">
        <w:rPr>
          <w:lang w:eastAsia="zh-CN"/>
        </w:rPr>
        <w:t xml:space="preserve"> </w:t>
      </w:r>
      <w:r w:rsidR="002178F8">
        <w:rPr>
          <w:lang w:eastAsia="zh-CN"/>
        </w:rPr>
        <w:t>assuming the COT structure will be known to both the gNB and the UE</w:t>
      </w:r>
      <w:r w:rsidR="003C31E3">
        <w:rPr>
          <w:lang w:eastAsia="zh-CN"/>
        </w:rPr>
        <w:t xml:space="preserve">. </w:t>
      </w:r>
      <w:r w:rsidR="009E52CF">
        <w:rPr>
          <w:lang w:eastAsia="zh-CN"/>
        </w:rPr>
        <w:t>For a gNB acquired channel occupancy, the PDSCH-to-HARQ-timing-indicator</w:t>
      </w:r>
      <w:r w:rsidR="004B6D08">
        <w:rPr>
          <w:lang w:eastAsia="zh-CN"/>
        </w:rPr>
        <w:t xml:space="preserve"> </w:t>
      </w:r>
      <w:r w:rsidR="001D7438">
        <w:rPr>
          <w:lang w:eastAsia="zh-CN"/>
        </w:rPr>
        <w:t xml:space="preserve">of a PDCCH in this next COT </w:t>
      </w:r>
      <w:r w:rsidR="004B6D08">
        <w:rPr>
          <w:lang w:eastAsia="zh-CN"/>
        </w:rPr>
        <w:t>could indicate</w:t>
      </w:r>
      <w:r w:rsidR="009E52CF">
        <w:rPr>
          <w:lang w:eastAsia="zh-CN"/>
        </w:rPr>
        <w:t xml:space="preserve"> </w:t>
      </w:r>
      <w:r w:rsidR="005F53AA">
        <w:rPr>
          <w:lang w:eastAsia="zh-CN"/>
        </w:rPr>
        <w:t xml:space="preserve">any </w:t>
      </w:r>
      <w:r w:rsidR="004B6D08">
        <w:rPr>
          <w:lang w:eastAsia="zh-CN"/>
        </w:rPr>
        <w:t>PUCCH resource</w:t>
      </w:r>
      <w:r w:rsidR="009E52CF">
        <w:rPr>
          <w:lang w:eastAsia="zh-CN"/>
        </w:rPr>
        <w:t>.</w:t>
      </w:r>
      <w:r w:rsidR="00440DA4">
        <w:rPr>
          <w:lang w:eastAsia="zh-CN"/>
        </w:rPr>
        <w:t xml:space="preserve"> </w:t>
      </w:r>
      <w:r w:rsidR="009E56A9">
        <w:rPr>
          <w:lang w:eastAsia="zh-CN"/>
        </w:rPr>
        <w:t>Therefore</w:t>
      </w:r>
      <w:r w:rsidR="00440DA4">
        <w:rPr>
          <w:lang w:eastAsia="zh-CN"/>
        </w:rPr>
        <w:t xml:space="preserve">, it is sufficient that the PDSCH-to-HARQ-timing indicator </w:t>
      </w:r>
      <w:r w:rsidR="00B02AA0">
        <w:rPr>
          <w:lang w:eastAsia="zh-CN"/>
        </w:rPr>
        <w:t xml:space="preserve">can be </w:t>
      </w:r>
      <w:r w:rsidR="008260E1">
        <w:rPr>
          <w:lang w:eastAsia="zh-CN"/>
        </w:rPr>
        <w:t xml:space="preserve">RRC </w:t>
      </w:r>
      <w:r w:rsidR="00B02AA0">
        <w:rPr>
          <w:lang w:eastAsia="zh-CN"/>
        </w:rPr>
        <w:t xml:space="preserve">configured with </w:t>
      </w:r>
      <w:r w:rsidR="00440DA4">
        <w:rPr>
          <w:lang w:eastAsia="zh-CN"/>
        </w:rPr>
        <w:t xml:space="preserve">one </w:t>
      </w:r>
      <w:r w:rsidR="0008536B">
        <w:rPr>
          <w:lang w:eastAsia="zh-CN"/>
        </w:rPr>
        <w:t xml:space="preserve">resource </w:t>
      </w:r>
      <w:r w:rsidR="00440DA4">
        <w:rPr>
          <w:lang w:eastAsia="zh-CN"/>
        </w:rPr>
        <w:t xml:space="preserve">state </w:t>
      </w:r>
      <w:r w:rsidR="00B02AA0">
        <w:rPr>
          <w:lang w:eastAsia="zh-CN"/>
        </w:rPr>
        <w:t>(</w:t>
      </w:r>
      <w:r w:rsidR="008260E1">
        <w:rPr>
          <w:lang w:eastAsia="zh-CN"/>
        </w:rPr>
        <w:t xml:space="preserve">e.g., </w:t>
      </w:r>
      <w:r w:rsidR="00B02AA0">
        <w:rPr>
          <w:lang w:eastAsia="zh-CN"/>
        </w:rPr>
        <w:t>‘</w:t>
      </w:r>
      <w:r w:rsidR="008260E1">
        <w:rPr>
          <w:lang w:eastAsia="zh-CN"/>
        </w:rPr>
        <w:t>Infinity’</w:t>
      </w:r>
      <w:r w:rsidR="00B02AA0">
        <w:rPr>
          <w:lang w:eastAsia="zh-CN"/>
        </w:rPr>
        <w:t xml:space="preserve">) </w:t>
      </w:r>
      <w:r w:rsidR="00440DA4">
        <w:rPr>
          <w:lang w:eastAsia="zh-CN"/>
        </w:rPr>
        <w:t xml:space="preserve">to indicate </w:t>
      </w:r>
      <w:r w:rsidR="0008536B">
        <w:rPr>
          <w:lang w:eastAsia="zh-CN"/>
        </w:rPr>
        <w:t xml:space="preserve">HARQ-ACK to be transmitted in the next COT. </w:t>
      </w:r>
    </w:p>
    <w:p w14:paraId="59CF2208" w14:textId="3152ECAF" w:rsidR="009E56A9" w:rsidRDefault="009E56A9" w:rsidP="00EA51DE">
      <w:pPr>
        <w:spacing w:beforeLines="50" w:before="120"/>
        <w:jc w:val="both"/>
        <w:rPr>
          <w:lang w:eastAsia="zh-CN"/>
        </w:rPr>
      </w:pPr>
      <w:r>
        <w:rPr>
          <w:lang w:eastAsia="zh-CN"/>
        </w:rPr>
        <w:t xml:space="preserve">In conclusion, we see merits </w:t>
      </w:r>
      <w:r w:rsidR="008260E1">
        <w:rPr>
          <w:lang w:eastAsia="zh-CN"/>
        </w:rPr>
        <w:t xml:space="preserve">both </w:t>
      </w:r>
      <w:r>
        <w:rPr>
          <w:lang w:eastAsia="zh-CN"/>
        </w:rPr>
        <w:t xml:space="preserve">of Alt. 1 as a way to trigger HARQ-ACK feedback for outstanding feedback </w:t>
      </w:r>
      <w:r w:rsidR="008260E1">
        <w:rPr>
          <w:lang w:eastAsia="zh-CN"/>
        </w:rPr>
        <w:t xml:space="preserve">and </w:t>
      </w:r>
      <w:r>
        <w:rPr>
          <w:lang w:eastAsia="zh-CN"/>
        </w:rPr>
        <w:t>Alt. 3</w:t>
      </w:r>
      <w:r w:rsidR="008260E1">
        <w:rPr>
          <w:lang w:eastAsia="zh-CN"/>
        </w:rPr>
        <w:t>,</w:t>
      </w:r>
      <w:r>
        <w:rPr>
          <w:lang w:eastAsia="zh-CN"/>
        </w:rPr>
        <w:t xml:space="preserve"> </w:t>
      </w:r>
      <w:r w:rsidR="008260E1">
        <w:rPr>
          <w:lang w:eastAsia="zh-CN"/>
        </w:rPr>
        <w:t xml:space="preserve">which </w:t>
      </w:r>
      <w:r>
        <w:rPr>
          <w:lang w:eastAsia="zh-CN"/>
        </w:rPr>
        <w:t>gives the gNB means to control which PDSCHs should be fed</w:t>
      </w:r>
      <w:r w:rsidR="008260E1">
        <w:rPr>
          <w:lang w:eastAsia="zh-CN"/>
        </w:rPr>
        <w:t xml:space="preserve"> back in a later COT</w:t>
      </w:r>
      <w:r>
        <w:rPr>
          <w:lang w:eastAsia="zh-CN"/>
        </w:rPr>
        <w:t xml:space="preserve">. </w:t>
      </w:r>
      <w:r w:rsidR="008260E1">
        <w:rPr>
          <w:lang w:eastAsia="zh-CN"/>
        </w:rPr>
        <w:t>These</w:t>
      </w:r>
      <w:r>
        <w:rPr>
          <w:lang w:eastAsia="zh-CN"/>
        </w:rPr>
        <w:t xml:space="preserve"> principle </w:t>
      </w:r>
      <w:r w:rsidR="008260E1">
        <w:rPr>
          <w:lang w:eastAsia="zh-CN"/>
        </w:rPr>
        <w:t>a</w:t>
      </w:r>
      <w:r>
        <w:rPr>
          <w:lang w:eastAsia="zh-CN"/>
        </w:rPr>
        <w:t xml:space="preserve">re not exclusive alternatives. </w:t>
      </w:r>
    </w:p>
    <w:p w14:paraId="03D178AE" w14:textId="77777777" w:rsidR="00B073E7" w:rsidRPr="00FC3791" w:rsidRDefault="00B073E7" w:rsidP="00B073E7">
      <w:pPr>
        <w:spacing w:beforeLines="50" w:before="120"/>
        <w:jc w:val="both"/>
        <w:rPr>
          <w:b/>
          <w:i/>
          <w:kern w:val="2"/>
          <w:lang w:eastAsia="zh-CN"/>
        </w:rPr>
      </w:pPr>
      <w:r w:rsidRPr="00FC3791">
        <w:rPr>
          <w:b/>
          <w:i/>
          <w:kern w:val="2"/>
          <w:lang w:eastAsia="zh-CN"/>
        </w:rPr>
        <w:t>Proposal 1:  For the cross-COT HARQ-ACK feedback:</w:t>
      </w:r>
    </w:p>
    <w:p w14:paraId="160F5699" w14:textId="56A45519" w:rsidR="00B073E7" w:rsidRPr="00FC3791" w:rsidRDefault="00B073E7" w:rsidP="00FC3791">
      <w:pPr>
        <w:numPr>
          <w:ilvl w:val="0"/>
          <w:numId w:val="41"/>
        </w:numPr>
        <w:spacing w:beforeLines="50" w:before="120"/>
        <w:jc w:val="both"/>
        <w:rPr>
          <w:b/>
          <w:i/>
          <w:kern w:val="2"/>
          <w:lang w:eastAsia="zh-CN"/>
        </w:rPr>
      </w:pPr>
      <w:r w:rsidRPr="00FC3791">
        <w:rPr>
          <w:b/>
          <w:i/>
          <w:kern w:val="2"/>
          <w:lang w:eastAsia="zh-CN"/>
        </w:rPr>
        <w:t>A new field in the DCI is used to trigger the UE to report feedback for unacknowledged PDSCHs from earlier COT(s).</w:t>
      </w:r>
    </w:p>
    <w:p w14:paraId="6667C202" w14:textId="79617592" w:rsidR="00B073E7" w:rsidRPr="00FC3791" w:rsidRDefault="00B073E7" w:rsidP="00FC3791">
      <w:pPr>
        <w:numPr>
          <w:ilvl w:val="0"/>
          <w:numId w:val="41"/>
        </w:numPr>
        <w:spacing w:beforeLines="50" w:before="120"/>
        <w:jc w:val="both"/>
        <w:rPr>
          <w:b/>
          <w:i/>
          <w:kern w:val="2"/>
          <w:lang w:eastAsia="zh-CN"/>
        </w:rPr>
      </w:pPr>
      <w:r w:rsidRPr="00FC3791">
        <w:rPr>
          <w:b/>
          <w:i/>
          <w:kern w:val="2"/>
          <w:lang w:eastAsia="zh-CN"/>
        </w:rPr>
        <w:t>The PDSCH-to-HARQ-timing-indicator indicates that HARQ-ACK feedback for a PDSCH is not to be transmitted in the current COT.</w:t>
      </w:r>
    </w:p>
    <w:p w14:paraId="3901B30D" w14:textId="77777777" w:rsidR="0085627F" w:rsidRPr="00CF195E" w:rsidRDefault="0085627F" w:rsidP="007F36DE">
      <w:pPr>
        <w:pStyle w:val="Heading1"/>
        <w:tabs>
          <w:tab w:val="clear" w:pos="3125"/>
          <w:tab w:val="num" w:pos="567"/>
        </w:tabs>
        <w:spacing w:beforeLines="50"/>
        <w:ind w:hanging="3125"/>
        <w:jc w:val="both"/>
      </w:pPr>
      <w:r>
        <w:rPr>
          <w:lang w:eastAsia="zh-CN"/>
        </w:rPr>
        <w:t>Multiple HARQ-ACK feedback Opportunities for DL</w:t>
      </w:r>
      <w:r>
        <w:t xml:space="preserve"> </w:t>
      </w:r>
    </w:p>
    <w:p w14:paraId="31331967" w14:textId="7BB35607" w:rsidR="0085627F" w:rsidRDefault="00681A37" w:rsidP="00EA51DE">
      <w:pPr>
        <w:spacing w:beforeLines="50" w:before="120"/>
        <w:jc w:val="both"/>
        <w:rPr>
          <w:kern w:val="2"/>
        </w:rPr>
      </w:pPr>
      <w:r>
        <w:rPr>
          <w:kern w:val="2"/>
          <w:lang w:eastAsia="zh-CN"/>
        </w:rPr>
        <w:t>T</w:t>
      </w:r>
      <w:r w:rsidRPr="00681A37">
        <w:rPr>
          <w:kern w:val="2"/>
          <w:lang w:eastAsia="zh-CN"/>
        </w:rPr>
        <w:t>o handle reduced HARQ-ACKHARQ A/N transmission opportunities for a given HARQ process due to LBT failure</w:t>
      </w:r>
      <w:r>
        <w:rPr>
          <w:kern w:val="2"/>
        </w:rPr>
        <w:t xml:space="preserve">, </w:t>
      </w:r>
      <w:r w:rsidR="0085627F">
        <w:rPr>
          <w:kern w:val="2"/>
        </w:rPr>
        <w:t xml:space="preserve">gNB </w:t>
      </w:r>
      <w:r>
        <w:rPr>
          <w:kern w:val="2"/>
        </w:rPr>
        <w:t xml:space="preserve">could </w:t>
      </w:r>
      <w:r w:rsidR="0085627F">
        <w:rPr>
          <w:kern w:val="2"/>
        </w:rPr>
        <w:t>schedul</w:t>
      </w:r>
      <w:r w:rsidR="007435B2">
        <w:rPr>
          <w:kern w:val="2"/>
        </w:rPr>
        <w:t>e</w:t>
      </w:r>
      <w:r w:rsidR="0085627F">
        <w:rPr>
          <w:kern w:val="2"/>
        </w:rPr>
        <w:t xml:space="preserve"> multiple/supplemental resources for transmission of the PUCCH carrying the HARQ feedback in either the time domain or the frequency domain.</w:t>
      </w:r>
    </w:p>
    <w:p w14:paraId="10624370" w14:textId="77777777" w:rsidR="0085627F" w:rsidRDefault="0085627F" w:rsidP="00EA51DE">
      <w:pPr>
        <w:pStyle w:val="Heading2"/>
        <w:spacing w:beforeLines="50"/>
        <w:jc w:val="both"/>
      </w:pPr>
      <w:r>
        <w:t xml:space="preserve">Multiple HARQ feedback opportunities in the time domain </w:t>
      </w:r>
    </w:p>
    <w:p w14:paraId="24C1C9F3" w14:textId="77777777" w:rsidR="0085627F" w:rsidRPr="00325706" w:rsidRDefault="0085627F" w:rsidP="00EA51DE">
      <w:pPr>
        <w:spacing w:beforeLines="50" w:before="120"/>
        <w:jc w:val="both"/>
        <w:rPr>
          <w:rFonts w:eastAsia="Times New Roman"/>
          <w:bCs/>
          <w:kern w:val="2"/>
          <w:lang w:eastAsia="zh-CN"/>
        </w:rPr>
      </w:pPr>
      <w:r w:rsidRPr="00325706">
        <w:rPr>
          <w:rFonts w:eastAsia="Times New Roman"/>
          <w:kern w:val="2"/>
          <w:lang w:eastAsia="zh-CN"/>
        </w:rPr>
        <w:t>The PUCCH time resource is provided by the PDSCH-to-HARQ-timing-indicator field in the DCI, which provides the PUCCH slot index. There is a one-to-one mapping between the value of the PDSCH-to-</w:t>
      </w:r>
      <w:r w:rsidRPr="00325706">
        <w:rPr>
          <w:rFonts w:eastAsia="Times New Roman"/>
          <w:kern w:val="2"/>
          <w:lang w:eastAsia="zh-CN"/>
        </w:rPr>
        <w:lastRenderedPageBreak/>
        <w:t>HARQ-timing-indicator and the slot index. The slot indices are either pre-defined (e.g., for DCI format 1_0) or are RRC configured (e.g., DCI format 1_1). For a slot which has been determined by the PDSCH-to-HARQ-timing-indicator, the UE transmits HARQ-ACK bits (on PUCCH or PUSCH). The slots for the associated HARQ-ACK bits are given either by determining a set of slots for PDSCH receptions (for semi-static HARQ-ACK codebook) or by determining a set of PDCCH monitoring occasions and using DAI values (</w:t>
      </w:r>
      <w:r>
        <w:rPr>
          <w:rFonts w:eastAsia="Times New Roman"/>
          <w:kern w:val="2"/>
          <w:lang w:eastAsia="zh-CN"/>
        </w:rPr>
        <w:t xml:space="preserve">both counter-DAI and total-DAI </w:t>
      </w:r>
      <w:r w:rsidRPr="00325706">
        <w:rPr>
          <w:rFonts w:eastAsia="Times New Roman"/>
          <w:kern w:val="2"/>
          <w:lang w:eastAsia="zh-CN"/>
        </w:rPr>
        <w:t xml:space="preserve">for dynamic HARQ-ACK codebook). </w:t>
      </w:r>
    </w:p>
    <w:p w14:paraId="396D33D6" w14:textId="77777777" w:rsidR="0085627F" w:rsidRDefault="0085627F" w:rsidP="00EA51DE">
      <w:pPr>
        <w:spacing w:beforeLines="50" w:before="120"/>
        <w:jc w:val="both"/>
        <w:rPr>
          <w:rFonts w:eastAsia="Times New Roman"/>
          <w:kern w:val="2"/>
          <w:lang w:eastAsia="zh-CN"/>
        </w:rPr>
      </w:pPr>
      <w:r w:rsidRPr="00325706">
        <w:rPr>
          <w:rFonts w:eastAsia="Times New Roman"/>
          <w:kern w:val="2"/>
          <w:lang w:eastAsia="zh-CN"/>
        </w:rPr>
        <w:t xml:space="preserve">If the PUCCH is subject to LBT, the UE cannot transmit the PUCCH upon a </w:t>
      </w:r>
      <w:r w:rsidRPr="00325706">
        <w:rPr>
          <w:rFonts w:eastAsia="Times New Roman"/>
          <w:bCs/>
          <w:kern w:val="2"/>
          <w:lang w:eastAsia="zh-CN"/>
        </w:rPr>
        <w:t>LBT</w:t>
      </w:r>
      <w:r w:rsidRPr="00325706">
        <w:rPr>
          <w:rFonts w:eastAsia="Times New Roman"/>
          <w:kern w:val="2"/>
          <w:lang w:eastAsia="zh-CN"/>
        </w:rPr>
        <w:t xml:space="preserve"> failure. </w:t>
      </w:r>
      <w:r>
        <w:rPr>
          <w:rFonts w:eastAsia="Times New Roman"/>
          <w:kern w:val="2"/>
          <w:lang w:eastAsia="zh-CN"/>
        </w:rPr>
        <w:t>For PUCCH reception, the following assumptions apply:</w:t>
      </w:r>
    </w:p>
    <w:p w14:paraId="2D6A7A4D" w14:textId="77777777" w:rsidR="0085627F" w:rsidRPr="00E46B6B" w:rsidRDefault="0085627F" w:rsidP="00EA51DE">
      <w:pPr>
        <w:pStyle w:val="ListParagraph"/>
        <w:numPr>
          <w:ilvl w:val="0"/>
          <w:numId w:val="43"/>
        </w:numPr>
        <w:spacing w:beforeLines="50" w:before="120"/>
        <w:jc w:val="both"/>
        <w:rPr>
          <w:kern w:val="2"/>
        </w:rPr>
      </w:pPr>
      <w:r w:rsidRPr="005C506F">
        <w:rPr>
          <w:kern w:val="2"/>
          <w:sz w:val="22"/>
        </w:rPr>
        <w:t>The gNB should perform PUCCH DTX detection</w:t>
      </w:r>
      <w:r w:rsidRPr="005C506F">
        <w:rPr>
          <w:rStyle w:val="FootnoteReference"/>
          <w:sz w:val="22"/>
        </w:rPr>
        <w:footnoteReference w:id="2"/>
      </w:r>
      <w:r w:rsidRPr="005C506F">
        <w:rPr>
          <w:kern w:val="2"/>
          <w:sz w:val="22"/>
        </w:rPr>
        <w:t xml:space="preserve"> and is expected to determine whether the PUCCH was received.</w:t>
      </w:r>
    </w:p>
    <w:p w14:paraId="68E2A27A" w14:textId="77777777" w:rsidR="0085627F" w:rsidRPr="006A4FF7" w:rsidRDefault="0085627F" w:rsidP="00EA51DE">
      <w:pPr>
        <w:pStyle w:val="ListParagraph"/>
        <w:numPr>
          <w:ilvl w:val="0"/>
          <w:numId w:val="43"/>
        </w:numPr>
        <w:spacing w:beforeLines="50" w:before="120"/>
        <w:jc w:val="both"/>
        <w:rPr>
          <w:rFonts w:eastAsiaTheme="minorEastAsia"/>
          <w:kern w:val="2"/>
        </w:rPr>
      </w:pPr>
      <w:r w:rsidRPr="005C506F">
        <w:rPr>
          <w:kern w:val="2"/>
          <w:sz w:val="22"/>
        </w:rPr>
        <w:t xml:space="preserve">The gNB may not be able to discriminate between whether no PUCCH reception is due to </w:t>
      </w:r>
      <w:r w:rsidRPr="005C506F">
        <w:rPr>
          <w:bCs/>
          <w:kern w:val="2"/>
          <w:sz w:val="22"/>
        </w:rPr>
        <w:t>LBT</w:t>
      </w:r>
      <w:r w:rsidRPr="005C506F">
        <w:rPr>
          <w:kern w:val="2"/>
          <w:sz w:val="22"/>
        </w:rPr>
        <w:t xml:space="preserve"> failure or due to complete DTX (i.e., all PDCCHs were missed). </w:t>
      </w:r>
    </w:p>
    <w:p w14:paraId="59801F99" w14:textId="77777777" w:rsidR="0085627F" w:rsidRPr="00325706" w:rsidRDefault="0085627F" w:rsidP="00EA51DE">
      <w:pPr>
        <w:spacing w:beforeLines="50" w:before="120"/>
        <w:jc w:val="both"/>
        <w:rPr>
          <w:rFonts w:eastAsia="Times New Roman"/>
          <w:bCs/>
          <w:kern w:val="2"/>
          <w:lang w:eastAsia="zh-CN"/>
        </w:rPr>
      </w:pPr>
      <w:r>
        <w:rPr>
          <w:rFonts w:eastAsia="Times New Roman"/>
          <w:kern w:val="2"/>
          <w:lang w:eastAsia="zh-CN"/>
        </w:rPr>
        <w:t>Complete DTX</w:t>
      </w:r>
      <w:r w:rsidRPr="00325706">
        <w:rPr>
          <w:rFonts w:eastAsia="Times New Roman"/>
          <w:kern w:val="2"/>
          <w:lang w:eastAsia="zh-CN"/>
        </w:rPr>
        <w:t xml:space="preserve"> would incur retransmission of all PDSCHs and should be avoided, while </w:t>
      </w:r>
      <w:r>
        <w:rPr>
          <w:rFonts w:eastAsia="Times New Roman"/>
          <w:kern w:val="2"/>
          <w:lang w:eastAsia="zh-CN"/>
        </w:rPr>
        <w:t>LBT failure</w:t>
      </w:r>
      <w:r w:rsidRPr="00325706">
        <w:rPr>
          <w:rFonts w:eastAsia="Times New Roman"/>
          <w:kern w:val="2"/>
          <w:lang w:eastAsia="zh-CN"/>
        </w:rPr>
        <w:t xml:space="preserve"> could be alleviated by allowing the UE to make another transmission attempt of the PUCCH. Therefore, multiple opportunities for HARQ-ACK feedback should be supported in NR-U</w:t>
      </w:r>
      <w:r w:rsidRPr="00325706">
        <w:rPr>
          <w:rFonts w:eastAsia="Times New Roman"/>
          <w:bCs/>
          <w:kern w:val="2"/>
          <w:lang w:eastAsia="zh-CN"/>
        </w:rPr>
        <w:t>, and two options could be considered as follow</w:t>
      </w:r>
      <w:r>
        <w:rPr>
          <w:rFonts w:eastAsia="Times New Roman"/>
          <w:bCs/>
          <w:kern w:val="2"/>
          <w:lang w:eastAsia="zh-CN"/>
        </w:rPr>
        <w:t>s:</w:t>
      </w:r>
    </w:p>
    <w:p w14:paraId="5228C6BA" w14:textId="7736FD63" w:rsidR="004D353F" w:rsidRDefault="0085627F" w:rsidP="007F36DE">
      <w:pPr>
        <w:numPr>
          <w:ilvl w:val="0"/>
          <w:numId w:val="42"/>
        </w:numPr>
        <w:spacing w:beforeLines="50" w:before="120"/>
        <w:jc w:val="both"/>
        <w:rPr>
          <w:rFonts w:eastAsia="Times New Roman"/>
          <w:bCs/>
          <w:kern w:val="2"/>
          <w:lang w:eastAsia="zh-CN"/>
        </w:rPr>
      </w:pPr>
      <w:r w:rsidRPr="00325706">
        <w:rPr>
          <w:rFonts w:eastAsia="Times New Roman"/>
          <w:bCs/>
          <w:kern w:val="2"/>
          <w:lang w:eastAsia="zh-CN"/>
        </w:rPr>
        <w:t xml:space="preserve">Option 1: </w:t>
      </w:r>
      <w:r w:rsidR="004D353F">
        <w:rPr>
          <w:rFonts w:eastAsia="Times New Roman"/>
          <w:bCs/>
          <w:kern w:val="2"/>
          <w:lang w:eastAsia="zh-CN"/>
        </w:rPr>
        <w:t xml:space="preserve">Multiple resources are provided by the </w:t>
      </w:r>
      <w:r w:rsidR="004D353F" w:rsidRPr="00325706">
        <w:rPr>
          <w:rFonts w:eastAsia="Times New Roman"/>
          <w:bCs/>
          <w:kern w:val="2"/>
          <w:lang w:eastAsia="zh-CN"/>
        </w:rPr>
        <w:t>PDSCH-to-HARQ-timing-indicator</w:t>
      </w:r>
    </w:p>
    <w:p w14:paraId="34BDE18B" w14:textId="511D0796" w:rsidR="00A6649A" w:rsidRDefault="0085627F" w:rsidP="004D353F">
      <w:pPr>
        <w:spacing w:beforeLines="50" w:before="120"/>
        <w:ind w:left="420"/>
        <w:jc w:val="both"/>
        <w:rPr>
          <w:rFonts w:eastAsia="Times New Roman"/>
          <w:kern w:val="2"/>
          <w:lang w:eastAsia="zh-CN"/>
        </w:rPr>
      </w:pPr>
      <w:r w:rsidRPr="00325706">
        <w:rPr>
          <w:rFonts w:eastAsia="Times New Roman"/>
          <w:bCs/>
          <w:kern w:val="2"/>
          <w:lang w:eastAsia="zh-CN"/>
        </w:rPr>
        <w:t>The PDSCH-to-HARQ-timing-indicator can provide a set of slots in which the PUCCH can be transmitted</w:t>
      </w:r>
      <w:r w:rsidRPr="00325706">
        <w:rPr>
          <w:rFonts w:eastAsia="Times New Roman"/>
          <w:kern w:val="2"/>
          <w:lang w:eastAsia="zh-CN"/>
        </w:rPr>
        <w:t>. The UE would cho</w:t>
      </w:r>
      <w:r>
        <w:rPr>
          <w:rFonts w:asciiTheme="minorEastAsia" w:eastAsiaTheme="minorEastAsia" w:hAnsiTheme="minorEastAsia" w:hint="eastAsia"/>
          <w:kern w:val="2"/>
          <w:lang w:eastAsia="zh-CN"/>
        </w:rPr>
        <w:t>o</w:t>
      </w:r>
      <w:r w:rsidRPr="00325706">
        <w:rPr>
          <w:rFonts w:eastAsia="Times New Roman"/>
          <w:kern w:val="2"/>
          <w:lang w:eastAsia="zh-CN"/>
        </w:rPr>
        <w:t>se the first slot if LBT succeeds but if LBT fails, proceed to the next slot (possibly with new LBT</w:t>
      </w:r>
      <w:r>
        <w:rPr>
          <w:rFonts w:eastAsia="Times New Roman"/>
          <w:kern w:val="2"/>
          <w:lang w:eastAsia="zh-CN"/>
        </w:rPr>
        <w:t xml:space="preserve"> and it may not need to be consecutive to the first slot</w:t>
      </w:r>
      <w:r w:rsidRPr="00325706">
        <w:rPr>
          <w:rFonts w:eastAsia="Times New Roman"/>
          <w:kern w:val="2"/>
          <w:lang w:eastAsia="zh-CN"/>
        </w:rPr>
        <w:t xml:space="preserve">) etc., until all indicated slots have been exhausted. </w:t>
      </w:r>
      <w:r>
        <w:rPr>
          <w:rFonts w:eastAsia="Times New Roman"/>
          <w:kern w:val="2"/>
          <w:lang w:eastAsia="zh-CN"/>
        </w:rPr>
        <w:t xml:space="preserve">Thus this option aims to provide instant feedback as the UE does not need to await assignment of a new PUCCH resource, e.g., by being scheduled a new PDSCH or by receiving a dedicated PDCCH triggering HARQ-ACK feedback (if supported). </w:t>
      </w:r>
      <w:r w:rsidRPr="00A6649A">
        <w:rPr>
          <w:rFonts w:eastAsia="Times New Roman"/>
          <w:kern w:val="2"/>
          <w:lang w:eastAsia="zh-CN"/>
        </w:rPr>
        <w:t xml:space="preserve">When the PUCCH has been received in a slot, either the remaining slots could be utilized dynamically by the gNB for other signals/channels or the PUCCH could be transmitted repeatedly in all indicated slots for improved reliability.  </w:t>
      </w:r>
    </w:p>
    <w:p w14:paraId="482C7459" w14:textId="2908B014" w:rsidR="0085627F" w:rsidRDefault="0085627F" w:rsidP="00EA51DE">
      <w:pPr>
        <w:spacing w:beforeLines="50" w:before="120"/>
        <w:ind w:left="420"/>
        <w:jc w:val="both"/>
        <w:rPr>
          <w:rFonts w:eastAsia="Times New Roman"/>
          <w:kern w:val="2"/>
          <w:lang w:eastAsia="zh-CN"/>
        </w:rPr>
      </w:pPr>
      <w:r w:rsidRPr="00325706">
        <w:rPr>
          <w:rFonts w:eastAsia="Times New Roman"/>
          <w:kern w:val="2"/>
          <w:lang w:eastAsia="zh-CN"/>
        </w:rPr>
        <w:t xml:space="preserve">The associated PDSCHs could be determined as normally done for the indicated slot containing the PUCCH. </w:t>
      </w:r>
      <w:r>
        <w:rPr>
          <w:rFonts w:eastAsia="Times New Roman"/>
          <w:kern w:val="2"/>
          <w:lang w:eastAsia="zh-CN"/>
        </w:rPr>
        <w:t xml:space="preserve">Figure </w:t>
      </w:r>
      <w:r w:rsidRPr="00325706">
        <w:fldChar w:fldCharType="begin"/>
      </w:r>
      <w:r w:rsidRPr="00325706">
        <w:instrText xml:space="preserve"> REF _Ref509395175 \h  \* MERGEFORMAT </w:instrText>
      </w:r>
      <w:r w:rsidRPr="00325706">
        <w:fldChar w:fldCharType="end"/>
      </w:r>
      <w:r>
        <w:rPr>
          <w:rFonts w:eastAsia="Times New Roman"/>
          <w:bCs/>
          <w:kern w:val="2"/>
          <w:lang w:eastAsia="zh-CN"/>
        </w:rPr>
        <w:t>1</w:t>
      </w:r>
      <w:r w:rsidRPr="00325706">
        <w:rPr>
          <w:rFonts w:eastAsia="Times New Roman"/>
          <w:kern w:val="2"/>
          <w:lang w:eastAsia="zh-CN"/>
        </w:rPr>
        <w:t xml:space="preserve"> shows an example with a semi-static HARQ-ACK codebook, where the PDSCH-to-HARQ-ACK-timing-indicator provides two slots and since the LBT fails for slot n+m+K</w:t>
      </w:r>
      <w:r w:rsidRPr="00325706">
        <w:rPr>
          <w:rFonts w:eastAsia="Times New Roman"/>
          <w:kern w:val="2"/>
          <w:vertAlign w:val="subscript"/>
          <w:lang w:eastAsia="zh-CN"/>
        </w:rPr>
        <w:t>1</w:t>
      </w:r>
      <w:r w:rsidRPr="00325706">
        <w:rPr>
          <w:rFonts w:eastAsia="Times New Roman"/>
          <w:kern w:val="2"/>
          <w:lang w:eastAsia="zh-CN"/>
        </w:rPr>
        <w:t>, the PUCCH is (after successful LBT) transmitted in slot n+m+K</w:t>
      </w:r>
      <w:r w:rsidRPr="00325706">
        <w:rPr>
          <w:rFonts w:eastAsia="Times New Roman"/>
          <w:kern w:val="2"/>
          <w:vertAlign w:val="subscript"/>
          <w:lang w:eastAsia="zh-CN"/>
        </w:rPr>
        <w:t>1</w:t>
      </w:r>
      <w:r w:rsidRPr="00325706">
        <w:rPr>
          <w:rFonts w:eastAsia="Times New Roman"/>
          <w:kern w:val="2"/>
          <w:lang w:eastAsia="zh-CN"/>
        </w:rPr>
        <w:t>+x, containing the HARQ-ACKs for PDSCH in slot n+K</w:t>
      </w:r>
      <w:r w:rsidRPr="00325706">
        <w:rPr>
          <w:rFonts w:eastAsia="Times New Roman"/>
          <w:kern w:val="2"/>
          <w:vertAlign w:val="subscript"/>
          <w:lang w:eastAsia="zh-CN"/>
        </w:rPr>
        <w:t>0</w:t>
      </w:r>
      <w:r w:rsidRPr="00325706">
        <w:rPr>
          <w:rFonts w:eastAsia="Times New Roman"/>
          <w:kern w:val="2"/>
          <w:lang w:eastAsia="zh-CN"/>
        </w:rPr>
        <w:t>+1 and n+K</w:t>
      </w:r>
      <w:r w:rsidRPr="00325706">
        <w:rPr>
          <w:rFonts w:eastAsia="Times New Roman"/>
          <w:kern w:val="2"/>
          <w:vertAlign w:val="subscript"/>
          <w:lang w:eastAsia="zh-CN"/>
        </w:rPr>
        <w:t>0</w:t>
      </w:r>
      <w:r w:rsidRPr="00325706">
        <w:rPr>
          <w:rFonts w:eastAsia="Times New Roman"/>
          <w:kern w:val="2"/>
          <w:lang w:eastAsia="zh-CN"/>
        </w:rPr>
        <w:t>+2.</w:t>
      </w:r>
    </w:p>
    <w:p w14:paraId="787E2427" w14:textId="77777777" w:rsidR="00A3182C" w:rsidRDefault="00A3182C" w:rsidP="00A3182C">
      <w:pPr>
        <w:spacing w:beforeLines="50" w:before="120"/>
        <w:ind w:left="420"/>
        <w:jc w:val="both"/>
        <w:rPr>
          <w:rFonts w:eastAsia="Times New Roman"/>
          <w:kern w:val="2"/>
          <w:lang w:eastAsia="zh-CN"/>
        </w:rPr>
      </w:pPr>
      <w:r>
        <w:rPr>
          <w:rFonts w:eastAsia="Times New Roman"/>
          <w:kern w:val="2"/>
          <w:lang w:eastAsia="zh-CN"/>
        </w:rPr>
        <w:t xml:space="preserve">Option 1 has no major impact to the PHY layer design as the number of bits for the </w:t>
      </w:r>
      <w:r w:rsidRPr="00325706">
        <w:rPr>
          <w:rFonts w:eastAsia="Times New Roman"/>
          <w:bCs/>
          <w:kern w:val="2"/>
          <w:lang w:eastAsia="zh-CN"/>
        </w:rPr>
        <w:t>PDSCH-to-HARQ-timing-indicator</w:t>
      </w:r>
      <w:r>
        <w:rPr>
          <w:rFonts w:eastAsia="Times New Roman"/>
          <w:kern w:val="2"/>
          <w:lang w:eastAsia="zh-CN"/>
        </w:rPr>
        <w:t xml:space="preserve"> does not need to be increased. Instead it could be achieved by allowing one or multiple resources to be RRC configured for each value of the </w:t>
      </w:r>
      <w:r w:rsidRPr="00325706">
        <w:rPr>
          <w:rFonts w:eastAsia="Times New Roman"/>
          <w:bCs/>
          <w:kern w:val="2"/>
          <w:lang w:eastAsia="zh-CN"/>
        </w:rPr>
        <w:t>PDSCH-to-HARQ-timing-indicator</w:t>
      </w:r>
      <w:r>
        <w:rPr>
          <w:rFonts w:eastAsia="Times New Roman"/>
          <w:bCs/>
          <w:kern w:val="2"/>
          <w:lang w:eastAsia="zh-CN"/>
        </w:rPr>
        <w:t>. As discussed in Sec. 2, one such resource could be denoted, e.g., by ‘Infinity’, to indicate that no resource is allocated in the current COT.</w:t>
      </w:r>
      <w:r>
        <w:rPr>
          <w:rFonts w:eastAsia="Times New Roman"/>
          <w:kern w:val="2"/>
          <w:lang w:eastAsia="zh-CN"/>
        </w:rPr>
        <w:t xml:space="preserve"> For example, a configuration could be as follows:</w:t>
      </w:r>
    </w:p>
    <w:p w14:paraId="3779A435" w14:textId="4B2DBBE6" w:rsidR="00A3182C" w:rsidRDefault="00A3182C" w:rsidP="006A5ADA">
      <w:pPr>
        <w:spacing w:beforeLines="50" w:before="120"/>
        <w:ind w:left="845" w:firstLine="5"/>
        <w:jc w:val="both"/>
        <w:rPr>
          <w:rFonts w:eastAsia="Times New Roman"/>
          <w:kern w:val="2"/>
          <w:lang w:eastAsia="zh-CN"/>
        </w:rPr>
      </w:pPr>
      <w:r>
        <w:rPr>
          <w:rFonts w:eastAsia="Times New Roman"/>
          <w:kern w:val="2"/>
          <w:lang w:eastAsia="zh-CN"/>
        </w:rPr>
        <w:t>PDSCH-to-HARQ-timing-indicator</w:t>
      </w:r>
      <w:r>
        <w:rPr>
          <w:rFonts w:eastAsia="Times New Roman"/>
          <w:kern w:val="2"/>
          <w:lang w:eastAsia="zh-CN"/>
        </w:rPr>
        <w:tab/>
        <w:t xml:space="preserve">  HARQ-ACK feedback delay </w:t>
      </w:r>
      <w:r w:rsidRPr="006A5ADA">
        <w:rPr>
          <w:rFonts w:eastAsia="Times New Roman"/>
          <w:i/>
          <w:kern w:val="2"/>
          <w:lang w:eastAsia="zh-CN"/>
        </w:rPr>
        <w:t>K</w:t>
      </w:r>
      <w:r w:rsidRPr="006A5ADA">
        <w:rPr>
          <w:rFonts w:eastAsia="Times New Roman"/>
          <w:i/>
          <w:kern w:val="2"/>
          <w:vertAlign w:val="subscript"/>
          <w:lang w:eastAsia="zh-CN"/>
        </w:rPr>
        <w:t>1</w:t>
      </w:r>
      <w:r>
        <w:rPr>
          <w:rFonts w:eastAsia="Times New Roman"/>
          <w:kern w:val="2"/>
          <w:lang w:eastAsia="zh-CN"/>
        </w:rPr>
        <w:t xml:space="preserve"> [slots]</w:t>
      </w:r>
    </w:p>
    <w:p w14:paraId="348E5560" w14:textId="4F5CC258"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‘000’</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{1}</w:t>
      </w:r>
    </w:p>
    <w:p w14:paraId="34988994" w14:textId="2E24BBEA"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‘001’</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{2}</w:t>
      </w:r>
    </w:p>
    <w:p w14:paraId="5249D68D" w14:textId="18A70B16"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‘010’</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{3}</w:t>
      </w:r>
    </w:p>
    <w:p w14:paraId="5B61037D" w14:textId="4D017FB1"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‘011’</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{1, 2}</w:t>
      </w:r>
    </w:p>
    <w:p w14:paraId="7912FAC8" w14:textId="74E9EBA1"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‘100’</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{2, 3}</w:t>
      </w:r>
    </w:p>
    <w:p w14:paraId="5E4CDE80" w14:textId="4634DC08"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‘101’</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{1, 2, Infinity}</w:t>
      </w:r>
    </w:p>
    <w:p w14:paraId="30435B46" w14:textId="20C73CAC"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t>‘110’</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{1, 2, 3, Infinity}</w:t>
      </w:r>
    </w:p>
    <w:p w14:paraId="08DD5C9F" w14:textId="16DF11B5" w:rsidR="00A3182C" w:rsidRDefault="00A3182C" w:rsidP="006A5ADA">
      <w:pPr>
        <w:spacing w:beforeLines="50" w:before="120"/>
        <w:ind w:left="1270" w:firstLine="5"/>
        <w:jc w:val="both"/>
        <w:rPr>
          <w:rFonts w:eastAsia="Times New Roman"/>
          <w:kern w:val="2"/>
          <w:lang w:eastAsia="zh-CN"/>
        </w:rPr>
      </w:pPr>
      <w:r>
        <w:rPr>
          <w:rFonts w:eastAsia="Times New Roman"/>
          <w:kern w:val="2"/>
          <w:lang w:eastAsia="zh-CN"/>
        </w:rPr>
        <w:lastRenderedPageBreak/>
        <w:t>‘111’</w:t>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r>
      <w:r>
        <w:rPr>
          <w:rFonts w:eastAsia="Times New Roman"/>
          <w:kern w:val="2"/>
          <w:lang w:eastAsia="zh-CN"/>
        </w:rPr>
        <w:tab/>
        <w:t>{Infinity}</w:t>
      </w:r>
    </w:p>
    <w:p w14:paraId="4D57AC4B" w14:textId="77777777" w:rsidR="00A3182C" w:rsidRPr="00ED2B78" w:rsidRDefault="00A3182C" w:rsidP="00ED2B78">
      <w:pPr>
        <w:spacing w:beforeLines="50" w:before="120"/>
        <w:jc w:val="both"/>
        <w:rPr>
          <w:rFonts w:eastAsiaTheme="minorEastAsia"/>
          <w:bCs/>
          <w:kern w:val="2"/>
          <w:lang w:eastAsia="zh-CN"/>
        </w:rPr>
      </w:pPr>
    </w:p>
    <w:p w14:paraId="6C78604F" w14:textId="77777777" w:rsidR="0085627F" w:rsidRDefault="0085627F">
      <w:pPr>
        <w:keepNext/>
        <w:spacing w:beforeLines="50" w:before="120"/>
        <w:jc w:val="center"/>
      </w:pPr>
      <w:r w:rsidRPr="00325706">
        <w:rPr>
          <w:noProof/>
          <w:lang w:eastAsia="zh-CN"/>
        </w:rPr>
        <w:drawing>
          <wp:inline distT="0" distB="0" distL="0" distR="0" wp14:anchorId="4D3BFFB8" wp14:editId="7ADB7CCE">
            <wp:extent cx="4685030" cy="268351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685030" cy="2683510"/>
                    </a:xfrm>
                    <a:prstGeom prst="rect">
                      <a:avLst/>
                    </a:prstGeom>
                    <a:noFill/>
                    <a:ln w="9525">
                      <a:noFill/>
                      <a:miter lim="800000"/>
                      <a:headEnd/>
                      <a:tailEnd/>
                    </a:ln>
                  </pic:spPr>
                </pic:pic>
              </a:graphicData>
            </a:graphic>
          </wp:inline>
        </w:drawing>
      </w:r>
    </w:p>
    <w:p w14:paraId="611398B4" w14:textId="77777777" w:rsidR="0085627F" w:rsidRPr="00325706" w:rsidRDefault="0085627F" w:rsidP="00EA51DE">
      <w:pPr>
        <w:pStyle w:val="Caption"/>
        <w:spacing w:beforeLines="50" w:before="120"/>
        <w:jc w:val="both"/>
        <w:rPr>
          <w:lang w:eastAsia="zh-CN"/>
        </w:rPr>
      </w:pPr>
      <w:r>
        <w:t xml:space="preserve">Figure </w:t>
      </w:r>
      <w:r>
        <w:rPr>
          <w:b w:val="0"/>
          <w:bCs w:val="0"/>
        </w:rPr>
        <w:fldChar w:fldCharType="begin"/>
      </w:r>
      <w:r>
        <w:instrText xml:space="preserve"> SEQ Figure \* ARABIC </w:instrText>
      </w:r>
      <w:r>
        <w:rPr>
          <w:b w:val="0"/>
          <w:bCs w:val="0"/>
        </w:rPr>
        <w:fldChar w:fldCharType="separate"/>
      </w:r>
      <w:r>
        <w:rPr>
          <w:noProof/>
        </w:rPr>
        <w:t>1</w:t>
      </w:r>
      <w:r>
        <w:rPr>
          <w:b w:val="0"/>
          <w:bCs w:val="0"/>
        </w:rPr>
        <w:fldChar w:fldCharType="end"/>
      </w:r>
      <w:r>
        <w:t xml:space="preserve">: </w:t>
      </w:r>
      <w:r w:rsidRPr="00063BAC">
        <w:t xml:space="preserve">Example of </w:t>
      </w:r>
      <w:r>
        <w:t>O</w:t>
      </w:r>
      <w:r w:rsidRPr="00063BAC">
        <w:t>ption 1</w:t>
      </w:r>
      <w:r>
        <w:t xml:space="preserve"> where the HARQ-ACK indicator provides two slots for PUCCH transmission and where semi-static HARQ-ACK codebook is used</w:t>
      </w:r>
      <w:r w:rsidRPr="00063BAC">
        <w:t>.</w:t>
      </w:r>
    </w:p>
    <w:p w14:paraId="76E659DB" w14:textId="0899F07F" w:rsidR="004D353F" w:rsidRDefault="0085627F" w:rsidP="00EA51DE">
      <w:pPr>
        <w:numPr>
          <w:ilvl w:val="0"/>
          <w:numId w:val="42"/>
        </w:numPr>
        <w:spacing w:beforeLines="50" w:before="120"/>
        <w:jc w:val="both"/>
        <w:rPr>
          <w:rFonts w:eastAsia="Times New Roman"/>
          <w:bCs/>
          <w:kern w:val="2"/>
          <w:lang w:eastAsia="zh-CN"/>
        </w:rPr>
      </w:pPr>
      <w:r w:rsidRPr="00325706">
        <w:rPr>
          <w:rFonts w:eastAsia="Times New Roman"/>
          <w:bCs/>
          <w:kern w:val="2"/>
          <w:lang w:eastAsia="zh-CN"/>
        </w:rPr>
        <w:t xml:space="preserve">Option 2: </w:t>
      </w:r>
      <w:r w:rsidR="003111BB">
        <w:rPr>
          <w:rFonts w:eastAsia="Times New Roman"/>
          <w:bCs/>
          <w:kern w:val="2"/>
          <w:lang w:eastAsia="zh-CN"/>
        </w:rPr>
        <w:t>HARQ-ACK feedback which cannot be transmitted is included in a later PUCCH</w:t>
      </w:r>
    </w:p>
    <w:p w14:paraId="47D621B5" w14:textId="0C4E3233" w:rsidR="0085627F" w:rsidRPr="00325706" w:rsidRDefault="0085627F" w:rsidP="007F36DE">
      <w:pPr>
        <w:spacing w:beforeLines="50" w:before="120"/>
        <w:ind w:left="420"/>
        <w:jc w:val="both"/>
        <w:rPr>
          <w:rFonts w:eastAsia="Times New Roman"/>
          <w:bCs/>
          <w:kern w:val="2"/>
          <w:lang w:eastAsia="zh-CN"/>
        </w:rPr>
      </w:pPr>
      <w:r w:rsidRPr="00325706">
        <w:rPr>
          <w:rFonts w:eastAsia="Times New Roman"/>
          <w:kern w:val="2"/>
          <w:lang w:eastAsia="zh-CN"/>
        </w:rPr>
        <w:t xml:space="preserve">Only one </w:t>
      </w:r>
      <w:r>
        <w:rPr>
          <w:rFonts w:eastAsia="Times New Roman"/>
          <w:kern w:val="2"/>
          <w:lang w:eastAsia="zh-CN"/>
        </w:rPr>
        <w:t>occasion</w:t>
      </w:r>
      <w:r w:rsidRPr="00325706">
        <w:rPr>
          <w:rFonts w:eastAsia="Times New Roman"/>
          <w:kern w:val="2"/>
          <w:lang w:eastAsia="zh-CN"/>
        </w:rPr>
        <w:t xml:space="preserve"> for PUCCH transmission is indicated in each PDCCH as done in NR, however supplementary transmission of UCI could be </w:t>
      </w:r>
      <w:r w:rsidR="003111BB">
        <w:rPr>
          <w:rFonts w:eastAsia="Times New Roman"/>
          <w:kern w:val="2"/>
          <w:lang w:eastAsia="zh-CN"/>
        </w:rPr>
        <w:t>included</w:t>
      </w:r>
      <w:r w:rsidR="003111BB" w:rsidRPr="00325706">
        <w:rPr>
          <w:rFonts w:eastAsia="Times New Roman"/>
          <w:kern w:val="2"/>
          <w:lang w:eastAsia="zh-CN"/>
        </w:rPr>
        <w:t xml:space="preserve"> </w:t>
      </w:r>
      <w:r w:rsidRPr="00325706">
        <w:rPr>
          <w:rFonts w:eastAsia="Times New Roman"/>
          <w:kern w:val="2"/>
          <w:lang w:eastAsia="zh-CN"/>
        </w:rPr>
        <w:t>together with the following UCI</w:t>
      </w:r>
      <w:r>
        <w:rPr>
          <w:rFonts w:eastAsia="Times New Roman"/>
          <w:kern w:val="2"/>
          <w:lang w:eastAsia="zh-CN"/>
        </w:rPr>
        <w:t xml:space="preserve"> when the corresponding HARQ processes are still valid</w:t>
      </w:r>
      <w:r w:rsidRPr="00325706">
        <w:rPr>
          <w:rFonts w:eastAsia="Times New Roman"/>
          <w:kern w:val="2"/>
          <w:lang w:eastAsia="zh-CN"/>
        </w:rPr>
        <w:t>.</w:t>
      </w:r>
      <w:r>
        <w:rPr>
          <w:rFonts w:eastAsia="Times New Roman"/>
          <w:kern w:val="2"/>
          <w:lang w:eastAsia="zh-CN"/>
        </w:rPr>
        <w:t xml:space="preserve"> As shown in Figure 2</w:t>
      </w:r>
      <w:r w:rsidRPr="00325706">
        <w:rPr>
          <w:rFonts w:eastAsia="Times New Roman"/>
          <w:kern w:val="2"/>
          <w:lang w:eastAsia="zh-CN"/>
        </w:rPr>
        <w:t>, PUCCH slot n+k contains the HARQ-ACKs for PDSCH in slot n and n+1</w:t>
      </w:r>
      <w:r w:rsidRPr="00325706">
        <w:rPr>
          <w:kern w:val="2"/>
          <w:lang w:eastAsia="zh-CN"/>
        </w:rPr>
        <w:t>.</w:t>
      </w:r>
      <w:r w:rsidRPr="00325706">
        <w:rPr>
          <w:rFonts w:eastAsia="Times New Roman"/>
          <w:kern w:val="2"/>
          <w:lang w:eastAsia="zh-CN"/>
        </w:rPr>
        <w:t xml:space="preserve"> If LBT succeeds for slot n+k, the next available PUCCH slot n+m+x will only contain the HARQ-ACKs for PDSCH in slot n+m. However, if LBT fails for slot n+k, the failed HARQ-ACK feedback could be </w:t>
      </w:r>
      <w:r>
        <w:rPr>
          <w:rFonts w:eastAsia="Times New Roman"/>
          <w:kern w:val="2"/>
          <w:lang w:eastAsia="zh-CN"/>
        </w:rPr>
        <w:t>included</w:t>
      </w:r>
      <w:r w:rsidRPr="00325706">
        <w:rPr>
          <w:rFonts w:eastAsia="Times New Roman"/>
          <w:kern w:val="2"/>
          <w:lang w:eastAsia="zh-CN"/>
        </w:rPr>
        <w:t xml:space="preserve"> in the next available opportunity, and slot n+m+x will contain the HARQ-ACKs for PDSCH in slot n, n+1 and n+m.</w:t>
      </w:r>
    </w:p>
    <w:p w14:paraId="7CD8014E" w14:textId="77777777" w:rsidR="0085627F" w:rsidRDefault="0085627F" w:rsidP="00EA51DE">
      <w:pPr>
        <w:keepNext/>
        <w:spacing w:beforeLines="50" w:before="120"/>
        <w:jc w:val="center"/>
      </w:pPr>
      <w:r w:rsidRPr="00C40D52">
        <w:rPr>
          <w:noProof/>
          <w:lang w:eastAsia="zh-CN"/>
        </w:rPr>
        <w:drawing>
          <wp:inline distT="0" distB="0" distL="0" distR="0" wp14:anchorId="2BDD1FFC" wp14:editId="5D20DAB1">
            <wp:extent cx="5916295" cy="1515110"/>
            <wp:effectExtent l="0" t="0" r="825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515110"/>
                    </a:xfrm>
                    <a:prstGeom prst="rect">
                      <a:avLst/>
                    </a:prstGeom>
                    <a:noFill/>
                    <a:ln>
                      <a:noFill/>
                    </a:ln>
                  </pic:spPr>
                </pic:pic>
              </a:graphicData>
            </a:graphic>
          </wp:inline>
        </w:drawing>
      </w:r>
    </w:p>
    <w:p w14:paraId="05B70467" w14:textId="77777777" w:rsidR="0085627F" w:rsidRPr="00325706" w:rsidRDefault="0085627F" w:rsidP="00EA51DE">
      <w:pPr>
        <w:pStyle w:val="Caption"/>
        <w:spacing w:beforeLines="50" w:before="120"/>
        <w:jc w:val="both"/>
        <w:rPr>
          <w:lang w:eastAsia="zh-CN"/>
        </w:rPr>
      </w:pPr>
      <w:r>
        <w:t xml:space="preserve">Figure </w:t>
      </w:r>
      <w:r>
        <w:fldChar w:fldCharType="begin"/>
      </w:r>
      <w:r>
        <w:instrText xml:space="preserve"> SEQ Figure \* ARABIC </w:instrText>
      </w:r>
      <w:r>
        <w:fldChar w:fldCharType="separate"/>
      </w:r>
      <w:r>
        <w:rPr>
          <w:noProof/>
        </w:rPr>
        <w:t>2</w:t>
      </w:r>
      <w:r>
        <w:fldChar w:fldCharType="end"/>
      </w:r>
      <w:r>
        <w:t>: Example of Option 2 where the HARQ-ACK feedback of a PUCCH which fails LBT is included in the next PUCCH which succeeds LBT</w:t>
      </w:r>
      <w:r w:rsidRPr="00973084">
        <w:t>.</w:t>
      </w:r>
    </w:p>
    <w:p w14:paraId="593088A8" w14:textId="56854F14" w:rsidR="0085627F" w:rsidRPr="00325706" w:rsidRDefault="0085627F" w:rsidP="00EA51DE">
      <w:pPr>
        <w:spacing w:beforeLines="50" w:before="120"/>
        <w:jc w:val="both"/>
        <w:rPr>
          <w:b/>
          <w:i/>
          <w:kern w:val="2"/>
          <w:lang w:eastAsia="zh-CN"/>
        </w:rPr>
      </w:pPr>
      <w:r w:rsidRPr="00325706">
        <w:rPr>
          <w:b/>
          <w:i/>
          <w:kern w:val="2"/>
          <w:lang w:eastAsia="zh-CN"/>
        </w:rPr>
        <w:t xml:space="preserve">Proposal </w:t>
      </w:r>
      <w:r w:rsidR="008B6075">
        <w:rPr>
          <w:b/>
          <w:i/>
          <w:kern w:val="2"/>
          <w:lang w:eastAsia="zh-CN"/>
        </w:rPr>
        <w:t>2</w:t>
      </w:r>
      <w:r w:rsidRPr="00325706">
        <w:rPr>
          <w:b/>
          <w:i/>
          <w:kern w:val="2"/>
          <w:lang w:eastAsia="zh-CN"/>
        </w:rPr>
        <w:t>: Multiple opportunities in time domain for HARQ-ACK feedback of one HARQ process should be supported in NR-U, and the following two options should be further studied.</w:t>
      </w:r>
    </w:p>
    <w:p w14:paraId="35F77970" w14:textId="77777777" w:rsidR="0085627F" w:rsidRDefault="0085627F" w:rsidP="00EA51DE">
      <w:pPr>
        <w:numPr>
          <w:ilvl w:val="0"/>
          <w:numId w:val="41"/>
        </w:numPr>
        <w:spacing w:beforeLines="50" w:before="120"/>
        <w:jc w:val="both"/>
        <w:rPr>
          <w:b/>
          <w:i/>
          <w:kern w:val="2"/>
          <w:lang w:eastAsia="zh-CN"/>
        </w:rPr>
      </w:pPr>
      <w:r w:rsidRPr="00325706">
        <w:rPr>
          <w:b/>
          <w:i/>
          <w:kern w:val="2"/>
          <w:lang w:eastAsia="zh-CN"/>
        </w:rPr>
        <w:t>The PDSCH-to-HARQ-timing-indicator can provide a set of slots in which the PUCCH can be transmitted.</w:t>
      </w:r>
    </w:p>
    <w:p w14:paraId="4279E83A" w14:textId="36CA89B0" w:rsidR="00EF5EDA" w:rsidRPr="00325706" w:rsidRDefault="00EF5EDA" w:rsidP="00EF5EDA">
      <w:pPr>
        <w:numPr>
          <w:ilvl w:val="0"/>
          <w:numId w:val="41"/>
        </w:numPr>
        <w:spacing w:beforeLines="50" w:before="120"/>
        <w:jc w:val="both"/>
        <w:rPr>
          <w:b/>
          <w:i/>
          <w:kern w:val="2"/>
          <w:lang w:eastAsia="zh-CN"/>
        </w:rPr>
      </w:pPr>
      <w:r w:rsidRPr="00EF5EDA">
        <w:rPr>
          <w:b/>
          <w:i/>
          <w:kern w:val="2"/>
          <w:lang w:eastAsia="zh-CN"/>
        </w:rPr>
        <w:t>One slot for PUCCH transmission is indicated in the PDCCH when supplementary transmission of UCI is scheduled together with the following UCI</w:t>
      </w:r>
      <w:r>
        <w:rPr>
          <w:b/>
          <w:i/>
          <w:kern w:val="2"/>
          <w:lang w:eastAsia="zh-CN"/>
        </w:rPr>
        <w:t>.</w:t>
      </w:r>
    </w:p>
    <w:p w14:paraId="321E8F8C" w14:textId="77777777" w:rsidR="0085627F" w:rsidRDefault="0085627F" w:rsidP="00EA51DE">
      <w:pPr>
        <w:pStyle w:val="Heading2"/>
        <w:spacing w:beforeLines="50"/>
        <w:jc w:val="both"/>
        <w:rPr>
          <w:kern w:val="2"/>
        </w:rPr>
      </w:pPr>
      <w:r>
        <w:t>Multiple HARQ feedback opportunities in the frequency domain</w:t>
      </w:r>
    </w:p>
    <w:p w14:paraId="5975CAB2" w14:textId="77777777" w:rsidR="0085627F" w:rsidRDefault="0085627F" w:rsidP="00EA51DE">
      <w:pPr>
        <w:spacing w:beforeLines="50" w:before="120"/>
        <w:jc w:val="both"/>
        <w:rPr>
          <w:lang w:eastAsia="zh-CN"/>
        </w:rPr>
      </w:pPr>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 xml:space="preserve">dden nodes on that channel despite the LBT success. </w:t>
      </w:r>
      <w:r>
        <w:rPr>
          <w:lang w:eastAsia="zh-CN"/>
        </w:rPr>
        <w:lastRenderedPageBreak/>
        <w:t>Exploiting the frequency domain diversity in this mechanism potentially avoids the latency/loss of HARQ feedback.</w:t>
      </w:r>
    </w:p>
    <w:p w14:paraId="16EDEA87" w14:textId="77777777" w:rsidR="0085627F" w:rsidRDefault="0085627F" w:rsidP="00EA51DE">
      <w:pPr>
        <w:spacing w:beforeLines="50" w:before="120"/>
        <w:jc w:val="both"/>
        <w:rPr>
          <w:kern w:val="2"/>
        </w:rPr>
      </w:pPr>
      <w:r>
        <w:rPr>
          <w:rFonts w:hint="eastAsia"/>
          <w:lang w:eastAsia="zh-CN"/>
        </w:rPr>
        <w:t xml:space="preserve">As </w:t>
      </w:r>
      <w:r>
        <w:rPr>
          <w:lang w:eastAsia="zh-CN"/>
        </w:rPr>
        <w:t xml:space="preserve">discussed in details in </w:t>
      </w:r>
      <w:r>
        <w:rPr>
          <w:rFonts w:hint="eastAsia"/>
          <w:lang w:eastAsia="zh-CN"/>
        </w:rPr>
        <w:t>our companion contribution [</w:t>
      </w:r>
      <w:r>
        <w:rPr>
          <w:lang w:eastAsia="zh-CN"/>
        </w:rPr>
        <w:t>3</w:t>
      </w:r>
      <w:r>
        <w:rPr>
          <w:rFonts w:hint="eastAsia"/>
          <w:lang w:eastAsia="zh-CN"/>
        </w:rPr>
        <w:t>]</w:t>
      </w:r>
      <w:r>
        <w:rPr>
          <w:lang w:eastAsia="zh-CN"/>
        </w:rPr>
        <w:t>, for the wideband operation of NR-U, the UE can be configured to operate on one or more wideband carriers each, for instance, comprising multiple 20 MHz unlicensed channels. Since the LBT procedure is meant to check the availability of individual unlicensed channels (subbands), it is intuitive for each PUCCH resource to be confined within the unlicensed channel bandwidth, i.e., 20 MHz in such case. If the gNB configures the UE with PUCCH Resource Sets that are</w:t>
      </w:r>
      <w:r w:rsidRPr="000D57C2">
        <w:rPr>
          <w:lang w:eastAsia="zh-CN"/>
        </w:rPr>
        <w:t xml:space="preserve"> distributed across </w:t>
      </w:r>
      <w:r>
        <w:rPr>
          <w:lang w:eastAsia="zh-CN"/>
        </w:rPr>
        <w:t xml:space="preserve">the bandwidth of the wideband carrier, </w:t>
      </w:r>
      <w:r>
        <w:rPr>
          <w:kern w:val="2"/>
        </w:rPr>
        <w:t>a frequency-domain LBT-resilient mechanism can be devised such that the gNB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04B0B0B" w14:textId="2EE89629" w:rsidR="0085627F" w:rsidRDefault="0085627F" w:rsidP="00EA51DE">
      <w:pPr>
        <w:spacing w:beforeLines="50" w:before="120"/>
        <w:jc w:val="both"/>
        <w:rPr>
          <w:lang w:eastAsia="zh-CN"/>
        </w:rPr>
      </w:pPr>
      <w:r>
        <w:rPr>
          <w:lang w:eastAsia="zh-CN"/>
        </w:rPr>
        <w:t xml:space="preserve">As shown in the example in </w:t>
      </w:r>
      <w:r>
        <w:rPr>
          <w:lang w:eastAsia="zh-CN"/>
        </w:rPr>
        <w:fldChar w:fldCharType="begin"/>
      </w:r>
      <w:r>
        <w:rPr>
          <w:lang w:eastAsia="zh-CN"/>
        </w:rPr>
        <w:instrText xml:space="preserve"> REF _Ref520244380 \h </w:instrText>
      </w:r>
      <w:r w:rsidR="001A77AB">
        <w:rPr>
          <w:lang w:eastAsia="zh-CN"/>
        </w:rPr>
        <w:instrText xml:space="preserve"> \* MERGEFORMAT </w:instrText>
      </w:r>
      <w:r>
        <w:rPr>
          <w:lang w:eastAsia="zh-CN"/>
        </w:rPr>
      </w:r>
      <w:r>
        <w:rPr>
          <w:lang w:eastAsia="zh-CN"/>
        </w:rPr>
        <w:fldChar w:fldCharType="separate"/>
      </w:r>
      <w:r>
        <w:t xml:space="preserve">Figure </w:t>
      </w:r>
      <w:r w:rsidR="008260E1">
        <w:t>3</w:t>
      </w:r>
      <w:r>
        <w:rPr>
          <w:lang w:eastAsia="zh-CN"/>
        </w:rPr>
        <w:fldChar w:fldCharType="end"/>
      </w:r>
      <w:r>
        <w:rPr>
          <w:lang w:eastAsia="zh-CN"/>
        </w:rPr>
        <w:t>, on the 80 MHz active BWP that might span the whole bandwidth of a wideband carrier or a part thereof, the gNB indicated to the UE in PDCCH</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19F38236" w14:textId="77777777" w:rsidR="0085627F" w:rsidRDefault="0085627F">
      <w:pPr>
        <w:keepNext/>
        <w:spacing w:beforeLines="50" w:before="120"/>
        <w:jc w:val="center"/>
      </w:pPr>
      <w:r>
        <w:rPr>
          <w:noProof/>
          <w:lang w:eastAsia="zh-CN"/>
        </w:rPr>
        <w:drawing>
          <wp:inline distT="0" distB="0" distL="0" distR="0" wp14:anchorId="50729177" wp14:editId="564361E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2DD70399" w14:textId="192B1AC9" w:rsidR="0085627F" w:rsidRPr="00F6707C" w:rsidRDefault="0085627F">
      <w:pPr>
        <w:pStyle w:val="Caption"/>
        <w:spacing w:beforeLines="50" w:before="120"/>
        <w:rPr>
          <w:kern w:val="2"/>
          <w:lang w:eastAsia="zh-CN"/>
        </w:rPr>
      </w:pPr>
      <w:r>
        <w:t xml:space="preserve">Figure 3: </w:t>
      </w:r>
      <w:r w:rsidRPr="0027550A">
        <w:t>Multiple PUCCH resources for HARQ feedback indicated on multiple subbands of an active BWP</w:t>
      </w:r>
      <w:r w:rsidR="00D51ECC">
        <w:t>.</w:t>
      </w:r>
    </w:p>
    <w:p w14:paraId="2CB1BDFB" w14:textId="77777777" w:rsidR="0085627F" w:rsidRPr="00B64B56" w:rsidRDefault="0085627F" w:rsidP="00EA51DE">
      <w:pPr>
        <w:spacing w:beforeLines="50" w:before="120"/>
        <w:jc w:val="both"/>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gNB to </w:t>
      </w:r>
      <w:r w:rsidRPr="00182322">
        <w:rPr>
          <w:lang w:eastAsia="zh-CN"/>
        </w:rPr>
        <w:t>indicate multiple unique resource indexes within the appropriate PUCCH Resource Set the UE will identify</w:t>
      </w:r>
      <w:r>
        <w:rPr>
          <w:lang w:eastAsia="zh-CN"/>
        </w:rPr>
        <w:t xml:space="preserve">. </w:t>
      </w:r>
      <w:r w:rsidRPr="00E40445">
        <w:rPr>
          <w:lang w:eastAsia="zh-CN"/>
        </w:rPr>
        <w:t>Resource waste can be avoided by gNB assigning different priorities/starting positions for UEs configured with the same resource</w:t>
      </w:r>
    </w:p>
    <w:p w14:paraId="39D1FEE8" w14:textId="77777777" w:rsidR="0085627F" w:rsidRDefault="0085627F" w:rsidP="00EA51DE">
      <w:pPr>
        <w:spacing w:beforeLines="50" w:before="120"/>
        <w:jc w:val="both"/>
        <w:rPr>
          <w:lang w:eastAsia="zh-CN"/>
        </w:rPr>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as in LAA type B</w:t>
      </w:r>
      <w:r>
        <w:rPr>
          <w:lang w:eastAsia="zh-CN"/>
        </w:rPr>
        <w:t>),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r w:rsidRPr="003550B4">
        <w:rPr>
          <w:lang w:eastAsia="zh-CN"/>
        </w:rPr>
        <w:t xml:space="preserve">gNB blindly detects the PUCCH on the multiple </w:t>
      </w:r>
      <w:r>
        <w:rPr>
          <w:lang w:eastAsia="zh-CN"/>
        </w:rPr>
        <w:t>allocated</w:t>
      </w:r>
      <w:r w:rsidRPr="003550B4">
        <w:rPr>
          <w:lang w:eastAsia="zh-CN"/>
        </w:rPr>
        <w:t xml:space="preserve"> resources</w:t>
      </w:r>
      <w:r>
        <w:rPr>
          <w:lang w:eastAsia="zh-CN"/>
        </w:rPr>
        <w:t>.</w:t>
      </w:r>
    </w:p>
    <w:p w14:paraId="482CD103" w14:textId="77777777" w:rsidR="0085627F" w:rsidRDefault="0085627F" w:rsidP="00EA51DE">
      <w:pPr>
        <w:spacing w:beforeLines="50" w:before="120"/>
        <w:jc w:val="both"/>
        <w:rPr>
          <w:lang w:eastAsia="zh-CN"/>
        </w:rPr>
      </w:pPr>
    </w:p>
    <w:p w14:paraId="7A5B4BE9" w14:textId="77777777" w:rsidR="0085627F" w:rsidRPr="003E3D52" w:rsidRDefault="0085627F">
      <w:pPr>
        <w:spacing w:beforeLines="50" w:before="120" w:after="240"/>
        <w:jc w:val="center"/>
        <w:rPr>
          <w:sz w:val="20"/>
        </w:rPr>
      </w:pPr>
      <w:r w:rsidRPr="001E7595">
        <w:rPr>
          <w:noProof/>
          <w:sz w:val="20"/>
          <w:lang w:eastAsia="zh-CN"/>
        </w:rPr>
        <w:lastRenderedPageBreak/>
        <w:drawing>
          <wp:inline distT="0" distB="0" distL="0" distR="0" wp14:anchorId="7210261F" wp14:editId="7093647A">
            <wp:extent cx="3648772" cy="2394106"/>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3648772" cy="2394106"/>
                    </a:xfrm>
                    <a:prstGeom prst="rect">
                      <a:avLst/>
                    </a:prstGeom>
                  </pic:spPr>
                </pic:pic>
              </a:graphicData>
            </a:graphic>
          </wp:inline>
        </w:drawing>
      </w:r>
    </w:p>
    <w:p w14:paraId="1B7C1219" w14:textId="2AE1D1B7" w:rsidR="0085627F" w:rsidRPr="00C63511" w:rsidRDefault="0085627F" w:rsidP="00EA51DE">
      <w:pPr>
        <w:pStyle w:val="Caption"/>
        <w:spacing w:beforeLines="50" w:before="120"/>
        <w:ind w:left="420"/>
        <w:jc w:val="both"/>
      </w:pPr>
      <w:r>
        <w:t>Figure 4</w:t>
      </w:r>
      <w:r>
        <w:rPr>
          <w:noProof/>
        </w:rPr>
        <w:t>:</w:t>
      </w:r>
      <w:r>
        <w:t xml:space="preserve"> </w:t>
      </w:r>
      <w:r w:rsidRPr="00F8469C">
        <w:t>Multiple PUCCH resources indicated across multiple active BWPs of a WB carrier</w:t>
      </w:r>
      <w:r w:rsidR="008260E1">
        <w:t>.</w:t>
      </w:r>
    </w:p>
    <w:p w14:paraId="01CF04A7" w14:textId="7355956E" w:rsidR="0085627F" w:rsidRPr="00625A63" w:rsidRDefault="0085627F" w:rsidP="00EA51DE">
      <w:pPr>
        <w:widowControl w:val="0"/>
        <w:spacing w:beforeLines="50" w:before="120"/>
        <w:jc w:val="both"/>
      </w:pPr>
      <w:r w:rsidRPr="00625A63">
        <w:t xml:space="preserve">Alternatively, multiple PUCCH resources can be indicated across multiple active BWPs within the wideband CC. gNB configures the UE with multiple BWPs within a WB carrier. Each BWP contains independent PUCCH Resource Sets. gNB dynamically activates a set of BWPs on which PUCCH resources are allocated for transmission of A/N feedback. UE performs either independent BWP LBTs or </w:t>
      </w:r>
      <w:r w:rsidR="000C1BD2" w:rsidRPr="00625A63">
        <w:t>hierarch</w:t>
      </w:r>
      <w:r w:rsidR="000C1BD2">
        <w:t>ic</w:t>
      </w:r>
      <w:r w:rsidR="000C1BD2" w:rsidRPr="00625A63">
        <w:t xml:space="preserve">al </w:t>
      </w:r>
      <w:r w:rsidRPr="00625A63">
        <w:t xml:space="preserve">LBT as in LAA Type B. Based on LBT results, UE selects from the active BWP for which LBT results were successful for transmission of PUCCH. Overcoming resource waste and gNB detection of PUCCH </w:t>
      </w:r>
      <w:r>
        <w:t xml:space="preserve">are </w:t>
      </w:r>
      <w:r w:rsidRPr="00625A63">
        <w:t>as discussed earlier in the case of wideband BWP.</w:t>
      </w:r>
    </w:p>
    <w:p w14:paraId="7DF23DA7" w14:textId="3466DDFF" w:rsidR="0085627F" w:rsidRPr="00625A63" w:rsidRDefault="0085627F" w:rsidP="00EA51DE">
      <w:pPr>
        <w:snapToGrid w:val="0"/>
        <w:spacing w:beforeLines="50" w:before="120" w:after="120"/>
        <w:jc w:val="both"/>
      </w:pPr>
      <w:r w:rsidRPr="00B64B56">
        <w:t xml:space="preserve">As shown in </w:t>
      </w:r>
      <w:r w:rsidR="00D51ECC">
        <w:t>Figure 4</w:t>
      </w:r>
      <w:r w:rsidRPr="00625A63">
        <w:t>, the gNB indicated to the UE in PDCCH multiple PUCCH resources each on a different 20 MHz BWP. Since each BWP is configured with its own PUCCH Resource Sets, a PUCCH Resource Index (RI) may not be unique and additional indication is needed to associate the RI with the corresponding active BWP.</w:t>
      </w:r>
    </w:p>
    <w:p w14:paraId="51341858" w14:textId="13ED0628" w:rsidR="0085627F"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3</w:t>
      </w:r>
      <w:r>
        <w:rPr>
          <w:b/>
          <w:i/>
          <w:kern w:val="2"/>
          <w:lang w:eastAsia="zh-CN"/>
        </w:rPr>
        <w:t>:</w:t>
      </w:r>
      <w:r w:rsidRPr="00FE55C3">
        <w:rPr>
          <w:b/>
          <w:i/>
          <w:kern w:val="2"/>
          <w:lang w:eastAsia="zh-CN"/>
        </w:rPr>
        <w:t xml:space="preserve"> </w:t>
      </w:r>
      <w:r>
        <w:rPr>
          <w:b/>
          <w:i/>
          <w:kern w:val="2"/>
          <w:lang w:eastAsia="zh-CN"/>
        </w:rPr>
        <w:t xml:space="preserve">When UE is configured with a wideband BWP, the associated PUCCH Resource Sets should be </w:t>
      </w:r>
      <w:r w:rsidRPr="00BF4A02">
        <w:rPr>
          <w:b/>
          <w:i/>
          <w:kern w:val="2"/>
          <w:lang w:eastAsia="zh-CN"/>
        </w:rPr>
        <w:t xml:space="preserve">distributed across </w:t>
      </w:r>
      <w:r>
        <w:rPr>
          <w:b/>
          <w:i/>
          <w:kern w:val="2"/>
          <w:lang w:eastAsia="zh-CN"/>
        </w:rPr>
        <w:t xml:space="preserve">all </w:t>
      </w:r>
      <w:r w:rsidRPr="00BF4A02">
        <w:rPr>
          <w:b/>
          <w:i/>
          <w:kern w:val="2"/>
          <w:lang w:eastAsia="zh-CN"/>
        </w:rPr>
        <w:t xml:space="preserve">the </w:t>
      </w:r>
      <w:r>
        <w:rPr>
          <w:b/>
          <w:i/>
          <w:kern w:val="2"/>
          <w:lang w:eastAsia="zh-CN"/>
        </w:rPr>
        <w:t>20 MHz subbands</w:t>
      </w:r>
      <w:r w:rsidRPr="00BF4A02">
        <w:rPr>
          <w:b/>
          <w:i/>
          <w:kern w:val="2"/>
          <w:lang w:eastAsia="zh-CN"/>
        </w:rPr>
        <w:t xml:space="preserve"> of the wideband </w:t>
      </w:r>
      <w:r>
        <w:rPr>
          <w:b/>
          <w:i/>
          <w:kern w:val="2"/>
          <w:lang w:eastAsia="zh-CN"/>
        </w:rPr>
        <w:t>BWP.</w:t>
      </w:r>
    </w:p>
    <w:p w14:paraId="5696CF4B" w14:textId="56C25C41" w:rsidR="0085627F"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4</w:t>
      </w:r>
      <w:r>
        <w:rPr>
          <w:b/>
          <w:i/>
          <w:kern w:val="2"/>
          <w:lang w:eastAsia="zh-CN"/>
        </w:rPr>
        <w:t>:</w:t>
      </w:r>
      <w:r w:rsidRPr="00FE55C3">
        <w:rPr>
          <w:b/>
          <w:i/>
          <w:kern w:val="2"/>
          <w:lang w:eastAsia="zh-CN"/>
        </w:rPr>
        <w:t xml:space="preserve"> </w:t>
      </w:r>
      <w:r>
        <w:rPr>
          <w:b/>
          <w:i/>
          <w:kern w:val="2"/>
          <w:lang w:eastAsia="zh-CN"/>
        </w:rPr>
        <w:t>R</w:t>
      </w:r>
      <w:r w:rsidRPr="00E37850">
        <w:rPr>
          <w:b/>
          <w:i/>
          <w:kern w:val="2"/>
          <w:lang w:eastAsia="zh-CN"/>
        </w:rPr>
        <w:t xml:space="preserve">esource allocation </w:t>
      </w:r>
      <w:r>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HARQ-ACK feedback can be transmitted based on LBT results.</w:t>
      </w:r>
    </w:p>
    <w:p w14:paraId="781AD8F2" w14:textId="10E0E12C" w:rsidR="0085627F" w:rsidRPr="00EA51DE" w:rsidRDefault="0085627F" w:rsidP="00EA51DE">
      <w:pPr>
        <w:spacing w:beforeLines="50" w:before="120"/>
        <w:jc w:val="both"/>
        <w:rPr>
          <w:b/>
          <w:i/>
          <w:kern w:val="2"/>
          <w:lang w:eastAsia="zh-CN"/>
        </w:rPr>
      </w:pPr>
      <w:r>
        <w:rPr>
          <w:b/>
          <w:i/>
          <w:kern w:val="2"/>
          <w:lang w:eastAsia="zh-CN"/>
        </w:rPr>
        <w:t xml:space="preserve">Proposal </w:t>
      </w:r>
      <w:r w:rsidR="008B6075">
        <w:rPr>
          <w:b/>
          <w:i/>
          <w:kern w:val="2"/>
          <w:lang w:eastAsia="zh-CN"/>
        </w:rPr>
        <w:t>5</w:t>
      </w:r>
      <w:r>
        <w:rPr>
          <w:b/>
          <w:i/>
          <w:kern w:val="2"/>
          <w:lang w:eastAsia="zh-CN"/>
        </w:rPr>
        <w:t>:</w:t>
      </w:r>
      <w:r w:rsidRPr="00FE55C3">
        <w:rPr>
          <w:b/>
          <w:i/>
          <w:kern w:val="2"/>
          <w:lang w:eastAsia="zh-CN"/>
        </w:rPr>
        <w:t xml:space="preserve"> </w:t>
      </w:r>
      <w:r>
        <w:rPr>
          <w:b/>
          <w:i/>
          <w:kern w:val="2"/>
          <w:lang w:eastAsia="zh-CN"/>
        </w:rPr>
        <w:t>UEs configured with the same PUCCH resource can be assigned different access priorities/starting positions to improve the resource utilization.</w:t>
      </w:r>
    </w:p>
    <w:p w14:paraId="186F55A5" w14:textId="77A9D4E0" w:rsidR="00E01798" w:rsidRDefault="00E01798" w:rsidP="00EA51DE">
      <w:pPr>
        <w:pStyle w:val="Heading1"/>
        <w:tabs>
          <w:tab w:val="clear" w:pos="3125"/>
          <w:tab w:val="num" w:pos="567"/>
        </w:tabs>
        <w:spacing w:beforeLines="50"/>
        <w:ind w:hanging="3125"/>
        <w:jc w:val="both"/>
        <w:rPr>
          <w:lang w:eastAsia="zh-CN"/>
        </w:rPr>
      </w:pPr>
      <w:r>
        <w:rPr>
          <w:lang w:eastAsia="zh-CN"/>
        </w:rPr>
        <w:t>HARQ</w:t>
      </w:r>
      <w:r w:rsidR="00E50CFD">
        <w:rPr>
          <w:lang w:eastAsia="zh-CN"/>
        </w:rPr>
        <w:t>-ACK</w:t>
      </w:r>
      <w:r>
        <w:rPr>
          <w:lang w:eastAsia="zh-CN"/>
        </w:rPr>
        <w:t xml:space="preserve"> codebook size determination</w:t>
      </w:r>
    </w:p>
    <w:p w14:paraId="46AC261D" w14:textId="4636A4BF" w:rsidR="00CD2644" w:rsidRDefault="0086631D" w:rsidP="00EA51DE">
      <w:pPr>
        <w:spacing w:beforeLines="50" w:before="120"/>
        <w:jc w:val="both"/>
        <w:rPr>
          <w:kern w:val="2"/>
          <w:lang w:eastAsia="zh-CN"/>
        </w:rPr>
      </w:pPr>
      <w:r>
        <w:rPr>
          <w:kern w:val="2"/>
          <w:lang w:eastAsia="zh-CN"/>
        </w:rPr>
        <w:t>For HARQ-ACK codebook determination, t</w:t>
      </w:r>
      <w:r>
        <w:rPr>
          <w:rFonts w:hint="eastAsia"/>
          <w:kern w:val="2"/>
          <w:lang w:eastAsia="zh-CN"/>
        </w:rPr>
        <w:t>he</w:t>
      </w:r>
      <w:r>
        <w:rPr>
          <w:kern w:val="2"/>
          <w:lang w:eastAsia="zh-CN"/>
        </w:rPr>
        <w:t xml:space="preserve"> exist</w:t>
      </w:r>
      <w:r w:rsidR="006A5ADA">
        <w:rPr>
          <w:kern w:val="2"/>
          <w:lang w:eastAsia="zh-CN"/>
        </w:rPr>
        <w:t>ing</w:t>
      </w:r>
      <w:r>
        <w:rPr>
          <w:kern w:val="2"/>
          <w:lang w:eastAsia="zh-CN"/>
        </w:rPr>
        <w:t xml:space="preserve"> DAI mechanism in NR could </w:t>
      </w:r>
      <w:r>
        <w:rPr>
          <w:rFonts w:hint="eastAsia"/>
          <w:kern w:val="2"/>
          <w:lang w:eastAsia="zh-CN"/>
        </w:rPr>
        <w:t>be consi</w:t>
      </w:r>
      <w:r>
        <w:rPr>
          <w:kern w:val="2"/>
          <w:lang w:eastAsia="zh-CN"/>
        </w:rPr>
        <w:t xml:space="preserve">dered as the starting point, however, due to LBT uncertainty, </w:t>
      </w:r>
      <w:r w:rsidR="006A5ADA">
        <w:rPr>
          <w:kern w:val="2"/>
          <w:lang w:eastAsia="zh-CN"/>
        </w:rPr>
        <w:t xml:space="preserve">error </w:t>
      </w:r>
      <w:r>
        <w:rPr>
          <w:kern w:val="2"/>
          <w:lang w:eastAsia="zh-CN"/>
        </w:rPr>
        <w:t xml:space="preserve">cases </w:t>
      </w:r>
      <w:r w:rsidR="006A5ADA">
        <w:rPr>
          <w:kern w:val="2"/>
          <w:lang w:eastAsia="zh-CN"/>
        </w:rPr>
        <w:t>could</w:t>
      </w:r>
      <w:r>
        <w:rPr>
          <w:kern w:val="2"/>
          <w:lang w:eastAsia="zh-CN"/>
        </w:rPr>
        <w:t xml:space="preserve"> become more </w:t>
      </w:r>
      <w:r w:rsidR="006A5ADA">
        <w:rPr>
          <w:kern w:val="2"/>
          <w:lang w:eastAsia="zh-CN"/>
        </w:rPr>
        <w:t>frequent</w:t>
      </w:r>
      <w:r>
        <w:rPr>
          <w:kern w:val="2"/>
          <w:lang w:eastAsia="zh-CN"/>
        </w:rPr>
        <w:t xml:space="preserve"> in unlicensed band, e.g.</w:t>
      </w:r>
      <w:r w:rsidR="006A5ADA">
        <w:rPr>
          <w:kern w:val="2"/>
          <w:lang w:eastAsia="zh-CN"/>
        </w:rPr>
        <w:t>,</w:t>
      </w:r>
      <w:r>
        <w:rPr>
          <w:kern w:val="2"/>
          <w:lang w:eastAsia="zh-CN"/>
        </w:rPr>
        <w:t xml:space="preserve"> </w:t>
      </w:r>
      <w:r w:rsidR="006A5ADA">
        <w:rPr>
          <w:kern w:val="2"/>
          <w:lang w:eastAsia="zh-CN"/>
        </w:rPr>
        <w:t>PDCCH(s)</w:t>
      </w:r>
      <w:r>
        <w:rPr>
          <w:kern w:val="2"/>
          <w:lang w:eastAsia="zh-CN"/>
        </w:rPr>
        <w:t xml:space="preserve"> </w:t>
      </w:r>
      <w:r w:rsidRPr="0086631D">
        <w:rPr>
          <w:kern w:val="2"/>
          <w:lang w:eastAsia="zh-CN"/>
        </w:rPr>
        <w:t>not received by UE</w:t>
      </w:r>
      <w:r>
        <w:rPr>
          <w:kern w:val="2"/>
          <w:lang w:eastAsia="zh-CN"/>
        </w:rPr>
        <w:t xml:space="preserve"> and/or</w:t>
      </w:r>
      <w:r w:rsidRPr="0086631D">
        <w:rPr>
          <w:kern w:val="2"/>
          <w:lang w:eastAsia="zh-CN"/>
        </w:rPr>
        <w:t xml:space="preserve"> PUCCH</w:t>
      </w:r>
      <w:r>
        <w:rPr>
          <w:kern w:val="2"/>
          <w:lang w:eastAsia="zh-CN"/>
        </w:rPr>
        <w:t>(s)</w:t>
      </w:r>
      <w:r w:rsidRPr="0086631D">
        <w:rPr>
          <w:kern w:val="2"/>
          <w:lang w:eastAsia="zh-CN"/>
        </w:rPr>
        <w:t xml:space="preserve"> not received by gNB</w:t>
      </w:r>
      <w:r>
        <w:rPr>
          <w:kern w:val="2"/>
          <w:lang w:eastAsia="zh-CN"/>
        </w:rPr>
        <w:t xml:space="preserve">. </w:t>
      </w:r>
    </w:p>
    <w:p w14:paraId="15AF1D20" w14:textId="55756D63" w:rsidR="00CD2644" w:rsidRDefault="00CD2644" w:rsidP="00EA51DE">
      <w:pPr>
        <w:spacing w:beforeLines="50" w:before="120"/>
        <w:jc w:val="both"/>
        <w:rPr>
          <w:kern w:val="2"/>
          <w:lang w:eastAsia="zh-CN"/>
        </w:rPr>
      </w:pPr>
      <w:r>
        <w:rPr>
          <w:kern w:val="2"/>
          <w:lang w:eastAsia="zh-CN"/>
        </w:rPr>
        <w:t xml:space="preserve">Since the accumulated </w:t>
      </w:r>
      <w:r w:rsidRPr="00CA37BE">
        <w:rPr>
          <w:kern w:val="2"/>
          <w:lang w:eastAsia="zh-CN"/>
        </w:rPr>
        <w:t>unacknowledged PDSCH(s)</w:t>
      </w:r>
      <w:r>
        <w:rPr>
          <w:kern w:val="2"/>
          <w:lang w:eastAsia="zh-CN"/>
        </w:rPr>
        <w:t xml:space="preserve"> should be indicated, a natural way is to extend the counter DAI and/or total DAI, however, the DAI mechanism could just indicate that how many PDSCH(s) should be acknowledged and could not tell UE whether the previous pending PDSCH(s) are included or not. For the convenience of description, PDSCH set is utilized in the following statement, which is defined as the PDSCH(s) for which the HARQ-ACK information is originally indicated (e.g. by </w:t>
      </w:r>
      <w:r w:rsidRPr="007F36DE">
        <w:rPr>
          <w:i/>
          <w:kern w:val="2"/>
          <w:lang w:eastAsia="zh-CN"/>
        </w:rPr>
        <w:t>PDSCH-to-HARQ-timing-indicator</w:t>
      </w:r>
      <w:r>
        <w:rPr>
          <w:kern w:val="2"/>
          <w:lang w:eastAsia="zh-CN"/>
        </w:rPr>
        <w:t xml:space="preserve">) to be carried in a same PUCCH. As shown in Fig.5 (a), assume that PUCCH in slot j is not received by gNB, then the total DAI in set 2 could be updated (from 5 to 11) to indicate that the feedbacks for set 1 should be reported along with that for set 2. However, from UE’s perspective, there are two confused cases: </w:t>
      </w:r>
    </w:p>
    <w:p w14:paraId="272A9CCD" w14:textId="2F7E1AC7" w:rsidR="00CD2644" w:rsidRPr="006A5ADA" w:rsidRDefault="00CD2644" w:rsidP="00CD2644">
      <w:pPr>
        <w:pStyle w:val="ListParagraph"/>
        <w:numPr>
          <w:ilvl w:val="0"/>
          <w:numId w:val="74"/>
        </w:numPr>
        <w:spacing w:beforeLines="50" w:before="120"/>
        <w:jc w:val="both"/>
      </w:pPr>
      <w:r w:rsidRPr="006A5ADA">
        <w:rPr>
          <w:sz w:val="22"/>
          <w:szCs w:val="22"/>
        </w:rPr>
        <w:t xml:space="preserve">The </w:t>
      </w:r>
      <w:r>
        <w:rPr>
          <w:sz w:val="22"/>
          <w:szCs w:val="22"/>
        </w:rPr>
        <w:t xml:space="preserve">HARQ-ACK </w:t>
      </w:r>
      <w:r w:rsidRPr="006A5ADA">
        <w:rPr>
          <w:sz w:val="22"/>
          <w:szCs w:val="22"/>
        </w:rPr>
        <w:t xml:space="preserve">feedback for </w:t>
      </w:r>
      <w:r>
        <w:rPr>
          <w:sz w:val="22"/>
          <w:szCs w:val="22"/>
        </w:rPr>
        <w:t xml:space="preserve">PDSCH </w:t>
      </w:r>
      <w:r w:rsidRPr="006A5ADA">
        <w:rPr>
          <w:sz w:val="22"/>
          <w:szCs w:val="22"/>
        </w:rPr>
        <w:t xml:space="preserve">set 1 </w:t>
      </w:r>
      <w:r>
        <w:rPr>
          <w:sz w:val="22"/>
          <w:szCs w:val="22"/>
        </w:rPr>
        <w:t>is</w:t>
      </w:r>
      <w:r w:rsidRPr="006A5ADA">
        <w:rPr>
          <w:sz w:val="22"/>
          <w:szCs w:val="22"/>
        </w:rPr>
        <w:t xml:space="preserve"> not received by </w:t>
      </w:r>
      <w:r>
        <w:rPr>
          <w:sz w:val="22"/>
          <w:szCs w:val="22"/>
        </w:rPr>
        <w:t xml:space="preserve">the </w:t>
      </w:r>
      <w:r w:rsidRPr="006A5ADA">
        <w:rPr>
          <w:sz w:val="22"/>
          <w:szCs w:val="22"/>
        </w:rPr>
        <w:t>gNB</w:t>
      </w:r>
      <w:r>
        <w:rPr>
          <w:sz w:val="22"/>
          <w:szCs w:val="22"/>
        </w:rPr>
        <w:t>;</w:t>
      </w:r>
    </w:p>
    <w:p w14:paraId="28CE2D9B" w14:textId="1FFA92A3" w:rsidR="00CD2644" w:rsidRPr="006A5ADA" w:rsidRDefault="00CD2644" w:rsidP="00CD2644">
      <w:pPr>
        <w:pStyle w:val="ListParagraph"/>
        <w:numPr>
          <w:ilvl w:val="0"/>
          <w:numId w:val="74"/>
        </w:numPr>
        <w:spacing w:beforeLines="50" w:before="120"/>
        <w:jc w:val="both"/>
      </w:pPr>
      <w:r w:rsidRPr="006A5ADA">
        <w:rPr>
          <w:sz w:val="22"/>
          <w:szCs w:val="22"/>
        </w:rPr>
        <w:lastRenderedPageBreak/>
        <w:t xml:space="preserve">There are 6 PDSCHs </w:t>
      </w:r>
      <w:r>
        <w:rPr>
          <w:sz w:val="22"/>
          <w:szCs w:val="22"/>
        </w:rPr>
        <w:t xml:space="preserve">which </w:t>
      </w:r>
      <w:r w:rsidRPr="006A5ADA">
        <w:rPr>
          <w:sz w:val="22"/>
          <w:szCs w:val="22"/>
        </w:rPr>
        <w:t xml:space="preserve">have been missed in </w:t>
      </w:r>
      <w:r>
        <w:rPr>
          <w:sz w:val="22"/>
          <w:szCs w:val="22"/>
        </w:rPr>
        <w:t xml:space="preserve">PDSCH </w:t>
      </w:r>
      <w:r w:rsidRPr="006A5ADA">
        <w:rPr>
          <w:sz w:val="22"/>
          <w:szCs w:val="22"/>
        </w:rPr>
        <w:t>set 2</w:t>
      </w:r>
      <w:r>
        <w:rPr>
          <w:sz w:val="22"/>
          <w:szCs w:val="22"/>
        </w:rPr>
        <w:t>(</w:t>
      </w:r>
      <w:r w:rsidRPr="00CD2644">
        <w:rPr>
          <w:sz w:val="22"/>
          <w:szCs w:val="22"/>
        </w:rPr>
        <w:t>i.e., Total DAI indicates 11 and it only received 5 PDSCHs)</w:t>
      </w:r>
      <w:r>
        <w:rPr>
          <w:sz w:val="22"/>
          <w:szCs w:val="22"/>
        </w:rPr>
        <w:t>.</w:t>
      </w:r>
    </w:p>
    <w:p w14:paraId="553F0757" w14:textId="20536622" w:rsidR="00CD2644" w:rsidRDefault="00CD2644" w:rsidP="00EA51DE">
      <w:pPr>
        <w:spacing w:beforeLines="50" w:before="120"/>
        <w:jc w:val="both"/>
        <w:rPr>
          <w:kern w:val="2"/>
          <w:lang w:eastAsia="zh-CN"/>
        </w:rPr>
      </w:pPr>
      <w:r>
        <w:rPr>
          <w:lang w:eastAsia="zh-CN"/>
        </w:rPr>
        <w:t xml:space="preserve">There would be a mismatch of HARQ-ACK codebook and </w:t>
      </w:r>
      <w:r>
        <w:rPr>
          <w:kern w:val="2"/>
          <w:lang w:eastAsia="zh-CN"/>
        </w:rPr>
        <w:t xml:space="preserve">current DAI mechanism is not sufficient to indicate whether the previous </w:t>
      </w:r>
      <w:r>
        <w:rPr>
          <w:lang w:eastAsia="zh-CN"/>
        </w:rPr>
        <w:t>HARQ-ACK feedback is successfully detected or not.</w:t>
      </w:r>
    </w:p>
    <w:p w14:paraId="71812289" w14:textId="21E529DC" w:rsidR="00CD2644" w:rsidRDefault="00CD2644" w:rsidP="00EA51DE">
      <w:pPr>
        <w:spacing w:beforeLines="50" w:before="120"/>
        <w:jc w:val="both"/>
        <w:rPr>
          <w:b/>
          <w:i/>
          <w:kern w:val="2"/>
          <w:lang w:eastAsia="zh-CN"/>
        </w:rPr>
      </w:pPr>
      <w:r>
        <w:rPr>
          <w:b/>
          <w:i/>
          <w:kern w:val="2"/>
          <w:lang w:eastAsia="zh-CN"/>
        </w:rPr>
        <w:t>Observation 1</w:t>
      </w:r>
      <w:r w:rsidRPr="00325706">
        <w:rPr>
          <w:b/>
          <w:i/>
          <w:kern w:val="2"/>
          <w:lang w:eastAsia="zh-CN"/>
        </w:rPr>
        <w:t>:</w:t>
      </w:r>
      <w:r>
        <w:rPr>
          <w:b/>
          <w:i/>
          <w:kern w:val="2"/>
          <w:lang w:eastAsia="zh-CN"/>
        </w:rPr>
        <w:t xml:space="preserve"> </w:t>
      </w:r>
      <w:r w:rsidRPr="00CD2644">
        <w:rPr>
          <w:b/>
          <w:i/>
          <w:kern w:val="2"/>
          <w:lang w:eastAsia="zh-CN"/>
        </w:rPr>
        <w:t>DAI mechanism is not sufficient to indicate whether the previous HARQ-ACK feedback is successfully detected or not.</w:t>
      </w:r>
    </w:p>
    <w:p w14:paraId="7685B412" w14:textId="77777777" w:rsidR="00CD2644" w:rsidRDefault="00CD2644" w:rsidP="00EA51DE">
      <w:pPr>
        <w:spacing w:beforeLines="50" w:before="120"/>
        <w:jc w:val="both"/>
        <w:rPr>
          <w:lang w:eastAsia="zh-CN"/>
        </w:rPr>
      </w:pPr>
      <w:r>
        <w:rPr>
          <w:lang w:eastAsia="zh-CN"/>
        </w:rPr>
        <w:t xml:space="preserve">Alternative solutions have been suggested, e.g., using a toggled bit to indicate whether the previous HARQ-ACK feedback is successfully detected or not </w:t>
      </w:r>
      <w:r>
        <w:rPr>
          <w:lang w:eastAsia="zh-CN"/>
        </w:rPr>
        <w:fldChar w:fldCharType="begin"/>
      </w:r>
      <w:r>
        <w:rPr>
          <w:lang w:eastAsia="zh-CN"/>
        </w:rPr>
        <w:instrText xml:space="preserve"> REF _Ref528863800 \r \h </w:instrText>
      </w:r>
      <w:r>
        <w:rPr>
          <w:lang w:eastAsia="zh-CN"/>
        </w:rPr>
      </w:r>
      <w:r>
        <w:rPr>
          <w:lang w:eastAsia="zh-CN"/>
        </w:rPr>
        <w:fldChar w:fldCharType="separate"/>
      </w:r>
      <w:r>
        <w:rPr>
          <w:lang w:eastAsia="zh-CN"/>
        </w:rPr>
        <w:t>[4]</w:t>
      </w:r>
      <w:r>
        <w:rPr>
          <w:lang w:eastAsia="zh-CN"/>
        </w:rPr>
        <w:fldChar w:fldCharType="end"/>
      </w:r>
      <w:r>
        <w:rPr>
          <w:lang w:eastAsia="zh-CN"/>
        </w:rPr>
        <w:t xml:space="preserve">.  However, that appears to not completely solve the ambiguity issue. For example, if the UE misses PDCCHs from one or several previous COTs, using the total DAI, it may not be able to determine whether missing HARQ-ACK bits are from current COT and/or missed COTs. Another case is where the gNB toggles the bit but the UE misses the PDCCH. The gNB will then continue to send PDCCHs without toggling and once the UE receives such a PDCCH, it will appear as a PDCCH with toggled bit and the UE cannot determine that it missed several PDCCHs. </w:t>
      </w:r>
    </w:p>
    <w:p w14:paraId="32CEB460" w14:textId="608E8348" w:rsidR="00CD2644" w:rsidRDefault="00CD2644" w:rsidP="00EA51DE">
      <w:pPr>
        <w:spacing w:beforeLines="50" w:before="120"/>
        <w:jc w:val="both"/>
        <w:rPr>
          <w:kern w:val="2"/>
          <w:lang w:eastAsia="zh-CN"/>
        </w:rPr>
      </w:pPr>
      <w:r>
        <w:rPr>
          <w:lang w:eastAsia="zh-CN"/>
        </w:rPr>
        <w:t xml:space="preserve">A detailed example could be found in </w:t>
      </w:r>
      <w:r w:rsidRPr="00CD2644">
        <w:rPr>
          <w:lang w:eastAsia="zh-CN"/>
        </w:rPr>
        <w:t>Fig.5</w:t>
      </w:r>
      <w:r>
        <w:rPr>
          <w:lang w:eastAsia="zh-CN"/>
        </w:rPr>
        <w:t xml:space="preserve"> (b), where </w:t>
      </w:r>
      <w:r>
        <w:rPr>
          <w:kern w:val="2"/>
          <w:lang w:eastAsia="zh-CN"/>
        </w:rPr>
        <w:t xml:space="preserve">the cases of non-received PDCCH in slot </w:t>
      </w:r>
      <w:r w:rsidRPr="00CD2644">
        <w:rPr>
          <w:kern w:val="2"/>
          <w:lang w:eastAsia="zh-CN"/>
        </w:rPr>
        <w:t xml:space="preserve">m </w:t>
      </w:r>
      <w:r>
        <w:rPr>
          <w:kern w:val="2"/>
          <w:lang w:eastAsia="zh-CN"/>
        </w:rPr>
        <w:t>and non-received PUCCH in slot j are shown.</w:t>
      </w:r>
      <w:r w:rsidR="00EF5EDA">
        <w:rPr>
          <w:kern w:val="2"/>
          <w:lang w:eastAsia="zh-CN"/>
        </w:rPr>
        <w:t xml:space="preserve"> Assume that UE transmitted the feedbacks for set 2 in slot j, but gNB missed the detection.</w:t>
      </w:r>
      <w:r>
        <w:rPr>
          <w:kern w:val="2"/>
          <w:lang w:eastAsia="zh-CN"/>
        </w:rPr>
        <w:t xml:space="preserve"> In slot j+1, UE will consider that the bit is toggled and the </w:t>
      </w:r>
      <w:r>
        <w:rPr>
          <w:lang w:eastAsia="zh-CN"/>
        </w:rPr>
        <w:t xml:space="preserve">previous HARQ-ACK feedback is successfully detected and there are </w:t>
      </w:r>
      <w:r w:rsidRPr="006A5ADA">
        <w:t xml:space="preserve">6 PDSCHs </w:t>
      </w:r>
      <w:r>
        <w:t xml:space="preserve">which </w:t>
      </w:r>
      <w:r w:rsidRPr="006A5ADA">
        <w:t xml:space="preserve">have been missed in </w:t>
      </w:r>
      <w:r>
        <w:t xml:space="preserve">PDSCH </w:t>
      </w:r>
      <w:r w:rsidRPr="006A5ADA">
        <w:t xml:space="preserve">set </w:t>
      </w:r>
      <w:r>
        <w:t>3</w:t>
      </w:r>
      <w:r>
        <w:rPr>
          <w:lang w:eastAsia="zh-CN"/>
        </w:rPr>
        <w:t>, but actually the feedbacks for set 2 are expected to be transmitted along with set 3, still leading to a mismatch of HARQ-ACK codebook.</w:t>
      </w:r>
    </w:p>
    <w:p w14:paraId="1FDB2C3E" w14:textId="3D11D135" w:rsidR="00CD2644" w:rsidRDefault="00CD2644" w:rsidP="00EA51DE">
      <w:pPr>
        <w:spacing w:beforeLines="50" w:before="120"/>
        <w:jc w:val="both"/>
        <w:rPr>
          <w:kern w:val="2"/>
          <w:lang w:eastAsia="zh-CN"/>
        </w:rPr>
      </w:pPr>
      <w:r>
        <w:rPr>
          <w:b/>
          <w:i/>
          <w:kern w:val="2"/>
          <w:lang w:eastAsia="zh-CN"/>
        </w:rPr>
        <w:t xml:space="preserve">Observation 2: Just indicating </w:t>
      </w:r>
      <w:r w:rsidRPr="00CD2644">
        <w:rPr>
          <w:b/>
          <w:i/>
          <w:kern w:val="2"/>
          <w:lang w:eastAsia="zh-CN"/>
        </w:rPr>
        <w:t>whether the previous HARQ-ACK feedback is successfully detected or not</w:t>
      </w:r>
      <w:r>
        <w:rPr>
          <w:b/>
          <w:i/>
          <w:kern w:val="2"/>
          <w:lang w:eastAsia="zh-CN"/>
        </w:rPr>
        <w:t xml:space="preserve"> is not sufficient for </w:t>
      </w:r>
      <w:r w:rsidRPr="00CD2644">
        <w:rPr>
          <w:b/>
          <w:i/>
          <w:kern w:val="2"/>
          <w:lang w:eastAsia="zh-CN"/>
        </w:rPr>
        <w:t>HARQ-ACK codebook size determination</w:t>
      </w:r>
      <w:r>
        <w:rPr>
          <w:b/>
          <w:i/>
          <w:kern w:val="2"/>
          <w:lang w:eastAsia="zh-CN"/>
        </w:rPr>
        <w:t xml:space="preserve">. </w:t>
      </w:r>
    </w:p>
    <w:p w14:paraId="2385096E" w14:textId="77B2BA92" w:rsidR="006A5ADA" w:rsidRDefault="00D51954">
      <w:pPr>
        <w:spacing w:beforeLines="50" w:before="120"/>
        <w:jc w:val="both"/>
        <w:rPr>
          <w:kern w:val="2"/>
          <w:lang w:eastAsia="zh-CN"/>
        </w:rPr>
      </w:pPr>
      <w:r>
        <w:rPr>
          <w:kern w:val="2"/>
          <w:lang w:eastAsia="zh-CN"/>
        </w:rPr>
        <w:t xml:space="preserve">As discussed in </w:t>
      </w:r>
      <w:r w:rsidR="00D51ECC">
        <w:rPr>
          <w:kern w:val="2"/>
          <w:lang w:eastAsia="zh-CN"/>
        </w:rPr>
        <w:t>S</w:t>
      </w:r>
      <w:r>
        <w:rPr>
          <w:kern w:val="2"/>
          <w:lang w:eastAsia="zh-CN"/>
        </w:rPr>
        <w:t>ec</w:t>
      </w:r>
      <w:r w:rsidR="00D51ECC">
        <w:rPr>
          <w:kern w:val="2"/>
          <w:lang w:eastAsia="zh-CN"/>
        </w:rPr>
        <w:t>.</w:t>
      </w:r>
      <w:r w:rsidR="003F7991">
        <w:rPr>
          <w:kern w:val="2"/>
          <w:lang w:eastAsia="zh-CN"/>
        </w:rPr>
        <w:t xml:space="preserve"> </w:t>
      </w:r>
      <w:r>
        <w:rPr>
          <w:kern w:val="2"/>
          <w:lang w:eastAsia="zh-CN"/>
        </w:rPr>
        <w:t>2, a new</w:t>
      </w:r>
      <w:r w:rsidR="00E1365C">
        <w:rPr>
          <w:kern w:val="2"/>
          <w:lang w:eastAsia="zh-CN"/>
        </w:rPr>
        <w:t xml:space="preserve"> DCI</w:t>
      </w:r>
      <w:r>
        <w:rPr>
          <w:kern w:val="2"/>
          <w:lang w:eastAsia="zh-CN"/>
        </w:rPr>
        <w:t xml:space="preserve"> </w:t>
      </w:r>
      <w:r w:rsidR="007857DD">
        <w:rPr>
          <w:kern w:val="2"/>
          <w:lang w:eastAsia="zh-CN"/>
        </w:rPr>
        <w:t>field</w:t>
      </w:r>
      <w:r w:rsidR="009A2060">
        <w:rPr>
          <w:kern w:val="2"/>
          <w:lang w:eastAsia="zh-CN"/>
        </w:rPr>
        <w:t xml:space="preserve"> </w:t>
      </w:r>
      <w:r>
        <w:rPr>
          <w:kern w:val="2"/>
          <w:lang w:eastAsia="zh-CN"/>
        </w:rPr>
        <w:t xml:space="preserve">is </w:t>
      </w:r>
      <w:r w:rsidR="00D51ECC">
        <w:rPr>
          <w:kern w:val="2"/>
          <w:lang w:eastAsia="zh-CN"/>
        </w:rPr>
        <w:t xml:space="preserve">proposed </w:t>
      </w:r>
      <w:r>
        <w:rPr>
          <w:kern w:val="2"/>
          <w:lang w:eastAsia="zh-CN"/>
        </w:rPr>
        <w:t>for</w:t>
      </w:r>
      <w:r w:rsidR="009A2060">
        <w:rPr>
          <w:kern w:val="2"/>
          <w:lang w:eastAsia="zh-CN"/>
        </w:rPr>
        <w:t xml:space="preserve"> the dynamic HARQ-ACK codebook</w:t>
      </w:r>
      <w:r w:rsidR="00E54887">
        <w:rPr>
          <w:kern w:val="2"/>
          <w:lang w:eastAsia="zh-CN"/>
        </w:rPr>
        <w:t xml:space="preserve"> determination</w:t>
      </w:r>
      <w:r w:rsidR="00CD2644">
        <w:rPr>
          <w:kern w:val="2"/>
          <w:lang w:eastAsia="zh-CN"/>
        </w:rPr>
        <w:t>. W</w:t>
      </w:r>
      <w:r w:rsidR="006A5ADA">
        <w:rPr>
          <w:kern w:val="2"/>
          <w:lang w:eastAsia="zh-CN"/>
        </w:rPr>
        <w:t>e consider the following</w:t>
      </w:r>
      <w:r w:rsidR="003F7991">
        <w:rPr>
          <w:kern w:val="2"/>
          <w:lang w:eastAsia="zh-CN"/>
        </w:rPr>
        <w:t xml:space="preserve"> to be contained in the DCI</w:t>
      </w:r>
      <w:r w:rsidR="006A5ADA">
        <w:rPr>
          <w:kern w:val="2"/>
          <w:lang w:eastAsia="zh-CN"/>
        </w:rPr>
        <w:t>:</w:t>
      </w:r>
    </w:p>
    <w:p w14:paraId="4A457532" w14:textId="29E4B04D" w:rsidR="004F7C11" w:rsidRPr="004F7C11" w:rsidRDefault="006A5ADA" w:rsidP="00CA37BE">
      <w:pPr>
        <w:pStyle w:val="ListParagraph"/>
        <w:numPr>
          <w:ilvl w:val="0"/>
          <w:numId w:val="77"/>
        </w:numPr>
        <w:spacing w:beforeLines="50" w:before="120"/>
        <w:jc w:val="both"/>
        <w:rPr>
          <w:kern w:val="2"/>
        </w:rPr>
      </w:pPr>
      <w:r w:rsidRPr="00CA37BE">
        <w:rPr>
          <w:kern w:val="2"/>
          <w:sz w:val="22"/>
        </w:rPr>
        <w:t xml:space="preserve">Counter DAI: </w:t>
      </w:r>
      <w:r w:rsidR="004F7C11">
        <w:rPr>
          <w:kern w:val="2"/>
          <w:sz w:val="22"/>
        </w:rPr>
        <w:t>Same</w:t>
      </w:r>
      <w:r w:rsidR="004F7C11" w:rsidRPr="00CA37BE">
        <w:rPr>
          <w:kern w:val="2"/>
          <w:sz w:val="22"/>
        </w:rPr>
        <w:t xml:space="preserve"> as in NR and indicates an index of a PDSCH.</w:t>
      </w:r>
    </w:p>
    <w:p w14:paraId="0AC4BF92" w14:textId="1BACCD10" w:rsidR="006A5ADA" w:rsidRPr="004F7C11" w:rsidRDefault="004F7C11" w:rsidP="00CA37BE">
      <w:pPr>
        <w:pStyle w:val="ListParagraph"/>
        <w:numPr>
          <w:ilvl w:val="0"/>
          <w:numId w:val="77"/>
        </w:numPr>
        <w:spacing w:beforeLines="50" w:before="120"/>
        <w:jc w:val="both"/>
        <w:rPr>
          <w:kern w:val="2"/>
        </w:rPr>
      </w:pPr>
      <w:r>
        <w:rPr>
          <w:kern w:val="2"/>
          <w:sz w:val="22"/>
        </w:rPr>
        <w:t xml:space="preserve">Total DAI: Enhanced from NR and indicates the total number of PDSCH(s) </w:t>
      </w:r>
      <w:r w:rsidR="003F7991">
        <w:rPr>
          <w:kern w:val="2"/>
          <w:sz w:val="22"/>
        </w:rPr>
        <w:t xml:space="preserve">for which </w:t>
      </w:r>
      <w:r w:rsidRPr="004F7C11">
        <w:rPr>
          <w:kern w:val="2"/>
          <w:sz w:val="22"/>
        </w:rPr>
        <w:t>HARQ-ACK fe</w:t>
      </w:r>
      <w:r>
        <w:rPr>
          <w:kern w:val="2"/>
          <w:sz w:val="22"/>
        </w:rPr>
        <w:t>edback should be reported</w:t>
      </w:r>
      <w:r w:rsidRPr="004F7C11">
        <w:rPr>
          <w:kern w:val="2"/>
          <w:sz w:val="22"/>
        </w:rPr>
        <w:t>.</w:t>
      </w:r>
      <w:r>
        <w:rPr>
          <w:kern w:val="2"/>
          <w:sz w:val="22"/>
        </w:rPr>
        <w:t xml:space="preserve"> Thus, it counts all PDSCHs, including those in previous PDSCH sets for which the PUCCH was not received.</w:t>
      </w:r>
    </w:p>
    <w:p w14:paraId="7030DD01" w14:textId="618198BA" w:rsidR="004F7C11" w:rsidRPr="004F7C11" w:rsidRDefault="004F7C11" w:rsidP="00CA37BE">
      <w:pPr>
        <w:pStyle w:val="ListParagraph"/>
        <w:numPr>
          <w:ilvl w:val="0"/>
          <w:numId w:val="77"/>
        </w:numPr>
        <w:spacing w:beforeLines="50" w:before="120"/>
        <w:jc w:val="both"/>
        <w:rPr>
          <w:kern w:val="2"/>
        </w:rPr>
      </w:pPr>
      <w:r>
        <w:rPr>
          <w:kern w:val="2"/>
          <w:sz w:val="22"/>
        </w:rPr>
        <w:t xml:space="preserve">Number of PDSCH sets: </w:t>
      </w:r>
      <w:r w:rsidRPr="004F7C11">
        <w:rPr>
          <w:kern w:val="2"/>
          <w:sz w:val="22"/>
        </w:rPr>
        <w:t xml:space="preserve">Denote </w:t>
      </w:r>
      <w:r>
        <w:rPr>
          <w:kern w:val="2"/>
          <w:sz w:val="22"/>
        </w:rPr>
        <w:t xml:space="preserve">by </w:t>
      </w:r>
      <w:r w:rsidRPr="004F7C11">
        <w:rPr>
          <w:kern w:val="2"/>
          <w:sz w:val="22"/>
        </w:rPr>
        <w:t xml:space="preserve">S the value of the </w:t>
      </w:r>
      <w:r w:rsidR="003F7991">
        <w:rPr>
          <w:kern w:val="2"/>
          <w:sz w:val="22"/>
        </w:rPr>
        <w:t>accumulated number of PDSCH sets</w:t>
      </w:r>
      <w:r w:rsidRPr="004F7C11">
        <w:rPr>
          <w:kern w:val="2"/>
          <w:sz w:val="22"/>
        </w:rPr>
        <w:t xml:space="preserve"> for which the HARQ-ACK feedback should be reported. For each DCI, the default value for S should be 1, however, if the gNB did not detect the HARQ-ACK feedback for previous PDSCH set(s), the value will be increased correspondingly. On the other hand,  if </w:t>
      </w:r>
      <w:r w:rsidR="003F7991">
        <w:rPr>
          <w:kern w:val="2"/>
          <w:sz w:val="22"/>
        </w:rPr>
        <w:t xml:space="preserve">the </w:t>
      </w:r>
      <w:r w:rsidRPr="004F7C11">
        <w:rPr>
          <w:kern w:val="2"/>
          <w:sz w:val="22"/>
        </w:rPr>
        <w:t>UE has detected that the value of S is larger than 1, the UE knows that it should transmit the HARQ-ACK feedback for the latest S-1 PDSCH set(s) along with the HARQ-ACK feedback for the current PDSCH set.</w:t>
      </w:r>
    </w:p>
    <w:p w14:paraId="3EE77636" w14:textId="2DCB3C3E" w:rsidR="004F7C11" w:rsidRPr="00CA37BE" w:rsidRDefault="004F7C11" w:rsidP="00CA37BE">
      <w:pPr>
        <w:pStyle w:val="ListParagraph"/>
        <w:numPr>
          <w:ilvl w:val="0"/>
          <w:numId w:val="77"/>
        </w:numPr>
        <w:spacing w:beforeLines="50" w:before="120"/>
        <w:jc w:val="both"/>
        <w:rPr>
          <w:kern w:val="2"/>
        </w:rPr>
      </w:pPr>
      <w:r>
        <w:rPr>
          <w:kern w:val="2"/>
          <w:sz w:val="22"/>
        </w:rPr>
        <w:t>PDSCH set index: Denote by S_ID the index of the PDSCH set to which the PDSCH belongs.</w:t>
      </w:r>
    </w:p>
    <w:p w14:paraId="319306E2" w14:textId="2A36D65D" w:rsidR="004D24F1" w:rsidRPr="00D51954" w:rsidRDefault="00252603" w:rsidP="004D24F1">
      <w:pPr>
        <w:spacing w:beforeLines="50" w:before="120"/>
        <w:jc w:val="both"/>
        <w:rPr>
          <w:lang w:eastAsia="zh-CN"/>
        </w:rPr>
      </w:pPr>
      <w:r>
        <w:rPr>
          <w:kern w:val="2"/>
          <w:lang w:eastAsia="zh-CN"/>
        </w:rPr>
        <w:t xml:space="preserve">Together with the Counter DAI and Total DAI, the S and S_ID can unambiguously determine the HARQ-ACK codebook for cases where the PUCCH or PDCCHs were not received (e.g., due to LBT failure or hidden node interference). </w:t>
      </w:r>
      <w:r w:rsidR="004D24F1" w:rsidRPr="00D51954">
        <w:rPr>
          <w:lang w:eastAsia="zh-CN"/>
        </w:rPr>
        <w:t xml:space="preserve">The benefits for this scheme </w:t>
      </w:r>
      <w:r w:rsidR="004D24F1">
        <w:rPr>
          <w:lang w:eastAsia="zh-CN"/>
        </w:rPr>
        <w:t>are</w:t>
      </w:r>
      <w:r w:rsidR="004D24F1" w:rsidRPr="00D51954">
        <w:rPr>
          <w:lang w:eastAsia="zh-CN"/>
        </w:rPr>
        <w:t>:</w:t>
      </w:r>
    </w:p>
    <w:p w14:paraId="707BE616" w14:textId="03808687" w:rsidR="004D24F1" w:rsidRPr="00D51954" w:rsidRDefault="004D24F1" w:rsidP="004D24F1">
      <w:pPr>
        <w:numPr>
          <w:ilvl w:val="0"/>
          <w:numId w:val="56"/>
        </w:numPr>
        <w:spacing w:beforeLines="50" w:before="120"/>
        <w:jc w:val="both"/>
        <w:rPr>
          <w:lang w:eastAsia="x-none"/>
        </w:rPr>
      </w:pPr>
      <w:r w:rsidRPr="00D51954">
        <w:rPr>
          <w:lang w:eastAsia="x-none"/>
        </w:rPr>
        <w:t>Exact indicat</w:t>
      </w:r>
      <w:r w:rsidR="00AD3E83">
        <w:rPr>
          <w:lang w:eastAsia="x-none"/>
        </w:rPr>
        <w:t>ion</w:t>
      </w:r>
      <w:r w:rsidRPr="00D51954">
        <w:rPr>
          <w:lang w:eastAsia="x-none"/>
        </w:rPr>
        <w:t xml:space="preserve"> for which PDSCH </w:t>
      </w:r>
      <w:r w:rsidR="00A671D4">
        <w:rPr>
          <w:lang w:eastAsia="x-none"/>
        </w:rPr>
        <w:t>set(s)</w:t>
      </w:r>
      <w:r w:rsidRPr="00D51954">
        <w:rPr>
          <w:lang w:eastAsia="x-none"/>
        </w:rPr>
        <w:t xml:space="preserve"> the HARQ</w:t>
      </w:r>
      <w:r w:rsidR="00AD3E83">
        <w:rPr>
          <w:lang w:eastAsia="x-none"/>
        </w:rPr>
        <w:t>-ACK</w:t>
      </w:r>
      <w:r w:rsidRPr="00D51954">
        <w:rPr>
          <w:lang w:eastAsia="x-none"/>
        </w:rPr>
        <w:t xml:space="preserve"> feedback should be transmitted</w:t>
      </w:r>
      <w:r w:rsidR="00F30138">
        <w:rPr>
          <w:lang w:eastAsia="x-none"/>
        </w:rPr>
        <w:t>.</w:t>
      </w:r>
    </w:p>
    <w:p w14:paraId="5C36DFF6" w14:textId="74B58B48" w:rsidR="004D24F1" w:rsidRDefault="00155523" w:rsidP="004D24F1">
      <w:pPr>
        <w:numPr>
          <w:ilvl w:val="0"/>
          <w:numId w:val="56"/>
        </w:numPr>
        <w:spacing w:beforeLines="50" w:before="120"/>
        <w:jc w:val="both"/>
        <w:rPr>
          <w:lang w:eastAsia="x-none"/>
        </w:rPr>
      </w:pPr>
      <w:r>
        <w:rPr>
          <w:lang w:eastAsia="x-none"/>
        </w:rPr>
        <w:t>Common</w:t>
      </w:r>
      <w:r w:rsidRPr="00D51954">
        <w:rPr>
          <w:lang w:eastAsia="x-none"/>
        </w:rPr>
        <w:t xml:space="preserve"> </w:t>
      </w:r>
      <w:r w:rsidR="004D24F1" w:rsidRPr="00D51954">
        <w:rPr>
          <w:lang w:eastAsia="x-none"/>
        </w:rPr>
        <w:t>DCI format between self-contained COT HARQ</w:t>
      </w:r>
      <w:r w:rsidR="00AD3E83">
        <w:rPr>
          <w:lang w:eastAsia="x-none"/>
        </w:rPr>
        <w:t>-ACK</w:t>
      </w:r>
      <w:r w:rsidR="004D24F1" w:rsidRPr="00D51954">
        <w:rPr>
          <w:lang w:eastAsia="x-none"/>
        </w:rPr>
        <w:t xml:space="preserve"> feedback and cross-COT HARQ</w:t>
      </w:r>
      <w:r w:rsidR="00AD3E83">
        <w:rPr>
          <w:lang w:eastAsia="x-none"/>
        </w:rPr>
        <w:t>-ACK</w:t>
      </w:r>
      <w:r w:rsidR="004D24F1" w:rsidRPr="00D51954">
        <w:rPr>
          <w:lang w:eastAsia="x-none"/>
        </w:rPr>
        <w:t xml:space="preserve"> feedback which can save blind detection time</w:t>
      </w:r>
      <w:r w:rsidR="00F30138">
        <w:rPr>
          <w:lang w:eastAsia="x-none"/>
        </w:rPr>
        <w:t>.</w:t>
      </w:r>
    </w:p>
    <w:p w14:paraId="601F95D2" w14:textId="17651D0C" w:rsidR="00F30138" w:rsidRDefault="00F30138" w:rsidP="004D24F1">
      <w:pPr>
        <w:numPr>
          <w:ilvl w:val="0"/>
          <w:numId w:val="56"/>
        </w:numPr>
        <w:spacing w:beforeLines="50" w:before="120"/>
        <w:jc w:val="both"/>
        <w:rPr>
          <w:lang w:eastAsia="x-none"/>
        </w:rPr>
      </w:pPr>
      <w:r>
        <w:rPr>
          <w:lang w:eastAsia="zh-CN"/>
        </w:rPr>
        <w:t>The number of PDSCH sets, S,  coul</w:t>
      </w:r>
      <w:r w:rsidR="009C7A64">
        <w:rPr>
          <w:lang w:eastAsia="zh-CN"/>
        </w:rPr>
        <w:t xml:space="preserve">d </w:t>
      </w:r>
      <w:r>
        <w:rPr>
          <w:lang w:eastAsia="zh-CN"/>
        </w:rPr>
        <w:t>be used for triggering the cross-COT HARQ-ACK feedback, which provide</w:t>
      </w:r>
      <w:r w:rsidR="009C7A64">
        <w:rPr>
          <w:lang w:eastAsia="zh-CN"/>
        </w:rPr>
        <w:t>s</w:t>
      </w:r>
      <w:r>
        <w:rPr>
          <w:lang w:eastAsia="zh-CN"/>
        </w:rPr>
        <w:t xml:space="preserve"> a consistent indication scheme for self-contained COT HARQ-ACK feedback and cross-COT HARQ-ACK feedback.</w:t>
      </w:r>
    </w:p>
    <w:p w14:paraId="3020E35E" w14:textId="37772C7F" w:rsidR="002A745F" w:rsidRPr="0086631D" w:rsidRDefault="00CD2644" w:rsidP="00EA51DE">
      <w:pPr>
        <w:spacing w:beforeLines="50" w:before="120"/>
        <w:jc w:val="both"/>
        <w:rPr>
          <w:lang w:eastAsia="zh-CN"/>
        </w:rPr>
      </w:pPr>
      <w:r w:rsidRPr="00CD2644">
        <w:rPr>
          <w:noProof/>
          <w:lang w:eastAsia="zh-CN"/>
        </w:rPr>
        <w:lastRenderedPageBreak/>
        <w:drawing>
          <wp:inline distT="0" distB="0" distL="0" distR="0" wp14:anchorId="5B247874" wp14:editId="3755FEA3">
            <wp:extent cx="5916295" cy="2273019"/>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273019"/>
                    </a:xfrm>
                    <a:prstGeom prst="rect">
                      <a:avLst/>
                    </a:prstGeom>
                    <a:noFill/>
                    <a:ln>
                      <a:noFill/>
                    </a:ln>
                  </pic:spPr>
                </pic:pic>
              </a:graphicData>
            </a:graphic>
          </wp:inline>
        </w:drawing>
      </w:r>
    </w:p>
    <w:p w14:paraId="3F9CBB68" w14:textId="6B3092D9" w:rsidR="000A31B6" w:rsidRDefault="000A31B6" w:rsidP="006A5ADA">
      <w:pPr>
        <w:spacing w:beforeLines="50" w:before="120"/>
        <w:jc w:val="center"/>
        <w:rPr>
          <w:lang w:eastAsia="zh-CN"/>
        </w:rPr>
      </w:pPr>
      <w:r>
        <w:rPr>
          <w:rFonts w:hint="eastAsia"/>
          <w:lang w:eastAsia="zh-CN"/>
        </w:rPr>
        <w:t>(</w:t>
      </w:r>
      <w:r>
        <w:rPr>
          <w:lang w:eastAsia="zh-CN"/>
        </w:rPr>
        <w:t>a</w:t>
      </w:r>
      <w:r>
        <w:rPr>
          <w:rFonts w:hint="eastAsia"/>
          <w:lang w:eastAsia="zh-CN"/>
        </w:rPr>
        <w:t>)</w:t>
      </w:r>
      <w:r w:rsidR="00CD2644" w:rsidRPr="00CD2644">
        <w:t xml:space="preserve"> </w:t>
      </w:r>
      <w:r w:rsidR="00CD2644" w:rsidRPr="00CD2644">
        <w:rPr>
          <w:lang w:eastAsia="zh-CN"/>
        </w:rPr>
        <w:t xml:space="preserve">Illustration for HARQ-ACK codebook size indication by </w:t>
      </w:r>
      <w:r w:rsidR="00CD2644">
        <w:rPr>
          <w:lang w:eastAsia="zh-CN"/>
        </w:rPr>
        <w:t xml:space="preserve">extended </w:t>
      </w:r>
      <w:r w:rsidR="00CD2644" w:rsidRPr="00CD2644">
        <w:rPr>
          <w:lang w:eastAsia="zh-CN"/>
        </w:rPr>
        <w:t>total DAI</w:t>
      </w:r>
    </w:p>
    <w:p w14:paraId="473DC0D7" w14:textId="71F2D73B" w:rsidR="00CD2644" w:rsidRDefault="00EF5EDA" w:rsidP="006A5ADA">
      <w:pPr>
        <w:spacing w:beforeLines="50" w:before="120"/>
        <w:jc w:val="center"/>
        <w:rPr>
          <w:lang w:eastAsia="zh-CN"/>
        </w:rPr>
      </w:pPr>
      <w:r w:rsidRPr="00EF5EDA">
        <w:rPr>
          <w:lang w:eastAsia="zh-CN"/>
        </w:rPr>
        <w:t xml:space="preserve"> </w:t>
      </w:r>
      <w:r>
        <w:object w:dxaOrig="14835" w:dyaOrig="5295" w14:anchorId="2981C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66.15pt" o:ole="">
            <v:imagedata r:id="rId13" o:title=""/>
          </v:shape>
          <o:OLEObject Type="Embed" ProgID="Visio.Drawing.15" ShapeID="_x0000_i1025" DrawAspect="Content" ObjectID="_1602686946" r:id="rId14"/>
        </w:object>
      </w:r>
    </w:p>
    <w:p w14:paraId="0D14182A" w14:textId="36C5D168" w:rsidR="00CD2644" w:rsidRDefault="00CD2644" w:rsidP="006A5ADA">
      <w:pPr>
        <w:spacing w:beforeLines="50" w:before="120"/>
        <w:jc w:val="center"/>
        <w:rPr>
          <w:lang w:eastAsia="zh-CN"/>
        </w:rPr>
      </w:pPr>
      <w:r>
        <w:rPr>
          <w:rFonts w:hint="eastAsia"/>
          <w:lang w:eastAsia="zh-CN"/>
        </w:rPr>
        <w:t>(</w:t>
      </w:r>
      <w:r>
        <w:rPr>
          <w:lang w:eastAsia="zh-CN"/>
        </w:rPr>
        <w:t>b</w:t>
      </w:r>
      <w:r>
        <w:rPr>
          <w:rFonts w:hint="eastAsia"/>
          <w:lang w:eastAsia="zh-CN"/>
        </w:rPr>
        <w:t>)</w:t>
      </w:r>
      <w:r>
        <w:rPr>
          <w:lang w:eastAsia="zh-CN"/>
        </w:rPr>
        <w:t xml:space="preserve"> </w:t>
      </w:r>
      <w:r w:rsidRPr="003C5E06">
        <w:rPr>
          <w:sz w:val="21"/>
          <w:lang w:eastAsia="zh-CN"/>
        </w:rPr>
        <w:t xml:space="preserve">Illustration for </w:t>
      </w:r>
      <w:r w:rsidRPr="00CA37BE">
        <w:rPr>
          <w:sz w:val="21"/>
          <w:lang w:eastAsia="zh-CN"/>
        </w:rPr>
        <w:t>HARQ-ACK codebook size indication</w:t>
      </w:r>
      <w:r w:rsidRPr="003C5E06">
        <w:rPr>
          <w:sz w:val="21"/>
          <w:lang w:eastAsia="zh-CN"/>
        </w:rPr>
        <w:t xml:space="preserve"> by the</w:t>
      </w:r>
      <w:r>
        <w:rPr>
          <w:sz w:val="21"/>
          <w:lang w:eastAsia="zh-CN"/>
        </w:rPr>
        <w:t xml:space="preserve"> toggled bit </w:t>
      </w:r>
      <w:r w:rsidRPr="003C5E06">
        <w:rPr>
          <w:sz w:val="21"/>
          <w:lang w:eastAsia="zh-CN"/>
        </w:rPr>
        <w:t>together with the counter DAI and the total DAI</w:t>
      </w:r>
    </w:p>
    <w:p w14:paraId="7C7AA4C6" w14:textId="0C37DD23" w:rsidR="00AC560D" w:rsidRDefault="00EF5EDA" w:rsidP="006A5ADA">
      <w:pPr>
        <w:spacing w:beforeLines="50" w:before="120"/>
        <w:jc w:val="center"/>
        <w:rPr>
          <w:lang w:eastAsia="zh-CN"/>
        </w:rPr>
      </w:pPr>
      <w:r w:rsidRPr="00EF5EDA">
        <w:rPr>
          <w:lang w:eastAsia="zh-CN"/>
        </w:rPr>
        <w:t xml:space="preserve"> </w:t>
      </w:r>
      <w:r w:rsidRPr="00EF5EDA">
        <w:rPr>
          <w:noProof/>
          <w:lang w:eastAsia="zh-CN"/>
        </w:rPr>
        <w:drawing>
          <wp:inline distT="0" distB="0" distL="0" distR="0" wp14:anchorId="3E81E195" wp14:editId="21EA15A9">
            <wp:extent cx="5916295" cy="2136787"/>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2136787"/>
                    </a:xfrm>
                    <a:prstGeom prst="rect">
                      <a:avLst/>
                    </a:prstGeom>
                    <a:noFill/>
                    <a:ln>
                      <a:noFill/>
                    </a:ln>
                  </pic:spPr>
                </pic:pic>
              </a:graphicData>
            </a:graphic>
          </wp:inline>
        </w:drawing>
      </w:r>
    </w:p>
    <w:p w14:paraId="05ADB2A9" w14:textId="258ADCCA" w:rsidR="00374789" w:rsidRPr="00CA37BE" w:rsidRDefault="00AC560D" w:rsidP="006A5ADA">
      <w:pPr>
        <w:spacing w:beforeLines="50" w:before="120"/>
        <w:jc w:val="center"/>
        <w:rPr>
          <w:sz w:val="21"/>
          <w:lang w:eastAsia="zh-CN"/>
        </w:rPr>
      </w:pPr>
      <w:r w:rsidRPr="00CA37BE">
        <w:rPr>
          <w:sz w:val="21"/>
          <w:lang w:eastAsia="zh-CN"/>
        </w:rPr>
        <w:t>(</w:t>
      </w:r>
      <w:r w:rsidR="00CD2644" w:rsidRPr="00CA37BE">
        <w:rPr>
          <w:sz w:val="21"/>
          <w:lang w:eastAsia="zh-CN"/>
        </w:rPr>
        <w:t>c</w:t>
      </w:r>
      <w:r w:rsidRPr="00CA37BE">
        <w:rPr>
          <w:sz w:val="21"/>
          <w:lang w:eastAsia="zh-CN"/>
        </w:rPr>
        <w:t>)</w:t>
      </w:r>
      <w:r w:rsidR="00CD2644" w:rsidRPr="00CA37BE">
        <w:rPr>
          <w:sz w:val="21"/>
          <w:lang w:eastAsia="zh-CN"/>
        </w:rPr>
        <w:t xml:space="preserve"> Illustration for PDSCH set(s) indication by the parameters S and S_ID, which are used together with the counter DAI and the total DAI to determine the HARQ-ACK codebook size.</w:t>
      </w:r>
    </w:p>
    <w:p w14:paraId="71015FC0" w14:textId="5817F0AA" w:rsidR="004D24F1" w:rsidRDefault="00374789" w:rsidP="007F36DE">
      <w:pPr>
        <w:spacing w:beforeLines="50" w:before="120"/>
        <w:jc w:val="center"/>
        <w:rPr>
          <w:b/>
          <w:bCs/>
          <w:sz w:val="20"/>
          <w:szCs w:val="20"/>
        </w:rPr>
      </w:pPr>
      <w:r w:rsidRPr="007F36DE">
        <w:rPr>
          <w:b/>
          <w:bCs/>
          <w:sz w:val="20"/>
          <w:szCs w:val="20"/>
        </w:rPr>
        <w:t>Figure 5</w:t>
      </w:r>
      <w:r w:rsidR="00EB0029">
        <w:rPr>
          <w:b/>
          <w:bCs/>
          <w:sz w:val="20"/>
          <w:szCs w:val="20"/>
        </w:rPr>
        <w:t>. I</w:t>
      </w:r>
      <w:r w:rsidR="00247CBE">
        <w:rPr>
          <w:b/>
          <w:bCs/>
          <w:sz w:val="20"/>
          <w:szCs w:val="20"/>
        </w:rPr>
        <w:t>llustration</w:t>
      </w:r>
      <w:r w:rsidR="00CD2644">
        <w:rPr>
          <w:b/>
          <w:bCs/>
          <w:sz w:val="20"/>
          <w:szCs w:val="20"/>
        </w:rPr>
        <w:t>s</w:t>
      </w:r>
      <w:r w:rsidR="00247CBE">
        <w:rPr>
          <w:b/>
          <w:bCs/>
          <w:sz w:val="20"/>
          <w:szCs w:val="20"/>
        </w:rPr>
        <w:t xml:space="preserve"> for </w:t>
      </w:r>
      <w:r w:rsidR="00CD2644">
        <w:rPr>
          <w:b/>
          <w:bCs/>
          <w:sz w:val="20"/>
          <w:szCs w:val="20"/>
        </w:rPr>
        <w:t xml:space="preserve">dynamic </w:t>
      </w:r>
      <w:r w:rsidR="00AD3E83">
        <w:rPr>
          <w:b/>
          <w:bCs/>
          <w:sz w:val="20"/>
          <w:szCs w:val="20"/>
        </w:rPr>
        <w:t>HARQ-ACK codebook size</w:t>
      </w:r>
      <w:r w:rsidR="00CD2644">
        <w:rPr>
          <w:b/>
          <w:bCs/>
          <w:sz w:val="20"/>
          <w:szCs w:val="20"/>
        </w:rPr>
        <w:t xml:space="preserve"> determination</w:t>
      </w:r>
      <w:r w:rsidR="00AD3E83">
        <w:rPr>
          <w:b/>
          <w:bCs/>
          <w:sz w:val="20"/>
          <w:szCs w:val="20"/>
        </w:rPr>
        <w:t>.</w:t>
      </w:r>
    </w:p>
    <w:p w14:paraId="150F6082" w14:textId="562B2E01" w:rsidR="00EF5EDA" w:rsidRDefault="00EF5EDA" w:rsidP="00EF5EDA">
      <w:pPr>
        <w:spacing w:beforeLines="50" w:before="120"/>
        <w:jc w:val="both"/>
        <w:rPr>
          <w:lang w:eastAsia="zh-CN"/>
        </w:rPr>
      </w:pPr>
      <w:r>
        <w:rPr>
          <w:kern w:val="2"/>
          <w:lang w:eastAsia="zh-CN"/>
        </w:rPr>
        <w:t xml:space="preserve">In Figure 5 (c), the case of missed PDCCHs in PDSCH set 2 is shown. Thus there would be no PUCCH transmission in slot m+1 </w:t>
      </w:r>
      <w:r>
        <w:rPr>
          <w:lang w:eastAsia="zh-CN"/>
        </w:rPr>
        <w:t xml:space="preserve">and </w:t>
      </w:r>
      <w:r w:rsidRPr="006A5ADA">
        <w:rPr>
          <w:lang w:eastAsia="zh-CN"/>
        </w:rPr>
        <w:t xml:space="preserve">all the indications for </w:t>
      </w:r>
      <w:r>
        <w:rPr>
          <w:lang w:eastAsia="zh-CN"/>
        </w:rPr>
        <w:t xml:space="preserve">PDSCH </w:t>
      </w:r>
      <w:r w:rsidRPr="006A5ADA">
        <w:rPr>
          <w:lang w:eastAsia="zh-CN"/>
        </w:rPr>
        <w:t xml:space="preserve">set 2 are missed. </w:t>
      </w:r>
      <w:r>
        <w:rPr>
          <w:lang w:eastAsia="zh-CN"/>
        </w:rPr>
        <w:t>Without additional indications, from the UE’s perspective, there are three potential cases:</w:t>
      </w:r>
    </w:p>
    <w:p w14:paraId="09F60AF6" w14:textId="77777777" w:rsidR="00EF5EDA" w:rsidRPr="006A5ADA" w:rsidRDefault="00EF5EDA" w:rsidP="00EF5EDA">
      <w:pPr>
        <w:pStyle w:val="ListParagraph"/>
        <w:numPr>
          <w:ilvl w:val="0"/>
          <w:numId w:val="74"/>
        </w:numPr>
        <w:spacing w:beforeLines="50" w:before="120"/>
        <w:jc w:val="both"/>
      </w:pPr>
      <w:r w:rsidRPr="006A5ADA">
        <w:rPr>
          <w:sz w:val="22"/>
          <w:szCs w:val="22"/>
        </w:rPr>
        <w:lastRenderedPageBreak/>
        <w:t xml:space="preserve">The </w:t>
      </w:r>
      <w:r>
        <w:rPr>
          <w:sz w:val="22"/>
          <w:szCs w:val="22"/>
        </w:rPr>
        <w:t xml:space="preserve">HARQ-ACK </w:t>
      </w:r>
      <w:r w:rsidRPr="006A5ADA">
        <w:rPr>
          <w:sz w:val="22"/>
          <w:szCs w:val="22"/>
        </w:rPr>
        <w:t xml:space="preserve">feedback for </w:t>
      </w:r>
      <w:r>
        <w:rPr>
          <w:sz w:val="22"/>
          <w:szCs w:val="22"/>
        </w:rPr>
        <w:t xml:space="preserve">PDSCH </w:t>
      </w:r>
      <w:r w:rsidRPr="006A5ADA">
        <w:rPr>
          <w:sz w:val="22"/>
          <w:szCs w:val="22"/>
        </w:rPr>
        <w:t xml:space="preserve">set 1 </w:t>
      </w:r>
      <w:r>
        <w:rPr>
          <w:sz w:val="22"/>
          <w:szCs w:val="22"/>
        </w:rPr>
        <w:t>is</w:t>
      </w:r>
      <w:r w:rsidRPr="006A5ADA">
        <w:rPr>
          <w:sz w:val="22"/>
          <w:szCs w:val="22"/>
        </w:rPr>
        <w:t xml:space="preserve"> not received by </w:t>
      </w:r>
      <w:r>
        <w:rPr>
          <w:sz w:val="22"/>
          <w:szCs w:val="22"/>
        </w:rPr>
        <w:t xml:space="preserve">the </w:t>
      </w:r>
      <w:r w:rsidRPr="006A5ADA">
        <w:rPr>
          <w:sz w:val="22"/>
          <w:szCs w:val="22"/>
        </w:rPr>
        <w:t xml:space="preserve">gNB, since the </w:t>
      </w:r>
      <w:r>
        <w:rPr>
          <w:sz w:val="22"/>
          <w:szCs w:val="22"/>
        </w:rPr>
        <w:t xml:space="preserve">number of </w:t>
      </w:r>
      <w:r w:rsidRPr="006A5ADA">
        <w:rPr>
          <w:sz w:val="22"/>
          <w:szCs w:val="22"/>
        </w:rPr>
        <w:t>feedback</w:t>
      </w:r>
      <w:r>
        <w:rPr>
          <w:sz w:val="22"/>
          <w:szCs w:val="22"/>
        </w:rPr>
        <w:t xml:space="preserve"> bits</w:t>
      </w:r>
      <w:r w:rsidRPr="006A5ADA">
        <w:rPr>
          <w:sz w:val="22"/>
          <w:szCs w:val="22"/>
        </w:rPr>
        <w:t xml:space="preserve"> for </w:t>
      </w:r>
      <w:r>
        <w:rPr>
          <w:sz w:val="22"/>
          <w:szCs w:val="22"/>
        </w:rPr>
        <w:t xml:space="preserve">PDSCH </w:t>
      </w:r>
      <w:r w:rsidRPr="006A5ADA">
        <w:rPr>
          <w:sz w:val="22"/>
          <w:szCs w:val="22"/>
        </w:rPr>
        <w:t>set 1 is also 6</w:t>
      </w:r>
      <w:r>
        <w:rPr>
          <w:sz w:val="22"/>
          <w:szCs w:val="22"/>
        </w:rPr>
        <w:t>.</w:t>
      </w:r>
      <w:r w:rsidRPr="006A5ADA">
        <w:rPr>
          <w:sz w:val="22"/>
          <w:szCs w:val="22"/>
        </w:rPr>
        <w:t xml:space="preserve"> </w:t>
      </w:r>
    </w:p>
    <w:p w14:paraId="3F0F2787" w14:textId="77777777" w:rsidR="00EF5EDA" w:rsidRPr="006A5ADA" w:rsidRDefault="00EF5EDA" w:rsidP="00EF5EDA">
      <w:pPr>
        <w:pStyle w:val="ListParagraph"/>
        <w:numPr>
          <w:ilvl w:val="0"/>
          <w:numId w:val="74"/>
        </w:numPr>
        <w:spacing w:beforeLines="50" w:before="120"/>
        <w:jc w:val="both"/>
      </w:pPr>
      <w:r w:rsidRPr="006A5ADA">
        <w:rPr>
          <w:sz w:val="22"/>
          <w:szCs w:val="22"/>
        </w:rPr>
        <w:t xml:space="preserve">There are 6 PDSCHs </w:t>
      </w:r>
      <w:r>
        <w:rPr>
          <w:sz w:val="22"/>
          <w:szCs w:val="22"/>
        </w:rPr>
        <w:t xml:space="preserve">which </w:t>
      </w:r>
      <w:r w:rsidRPr="006A5ADA">
        <w:rPr>
          <w:sz w:val="22"/>
          <w:szCs w:val="22"/>
        </w:rPr>
        <w:t xml:space="preserve">have been missed in </w:t>
      </w:r>
      <w:r>
        <w:rPr>
          <w:sz w:val="22"/>
          <w:szCs w:val="22"/>
        </w:rPr>
        <w:t xml:space="preserve">PDSCH </w:t>
      </w:r>
      <w:r w:rsidRPr="006A5ADA">
        <w:rPr>
          <w:sz w:val="22"/>
          <w:szCs w:val="22"/>
        </w:rPr>
        <w:t>set 2</w:t>
      </w:r>
      <w:r>
        <w:rPr>
          <w:sz w:val="22"/>
          <w:szCs w:val="22"/>
        </w:rPr>
        <w:t>.</w:t>
      </w:r>
    </w:p>
    <w:p w14:paraId="436C4DAB" w14:textId="77777777" w:rsidR="00EF5EDA" w:rsidRPr="00CA37BE" w:rsidRDefault="00EF5EDA" w:rsidP="00EF5EDA">
      <w:pPr>
        <w:pStyle w:val="ListParagraph"/>
        <w:numPr>
          <w:ilvl w:val="0"/>
          <w:numId w:val="74"/>
        </w:numPr>
        <w:spacing w:beforeLines="50" w:before="120"/>
        <w:jc w:val="both"/>
      </w:pPr>
      <w:r w:rsidRPr="006A5ADA">
        <w:rPr>
          <w:sz w:val="22"/>
          <w:szCs w:val="22"/>
        </w:rPr>
        <w:t xml:space="preserve">There are 6 PDSCHs </w:t>
      </w:r>
      <w:r>
        <w:rPr>
          <w:sz w:val="22"/>
          <w:szCs w:val="22"/>
        </w:rPr>
        <w:t xml:space="preserve">which </w:t>
      </w:r>
      <w:r w:rsidRPr="006A5ADA">
        <w:rPr>
          <w:sz w:val="22"/>
          <w:szCs w:val="22"/>
        </w:rPr>
        <w:t xml:space="preserve">have been missed in </w:t>
      </w:r>
      <w:r>
        <w:rPr>
          <w:sz w:val="22"/>
          <w:szCs w:val="22"/>
        </w:rPr>
        <w:t xml:space="preserve">PDSCH </w:t>
      </w:r>
      <w:r w:rsidRPr="006A5ADA">
        <w:rPr>
          <w:sz w:val="22"/>
          <w:szCs w:val="22"/>
        </w:rPr>
        <w:t>set 3</w:t>
      </w:r>
      <w:r>
        <w:rPr>
          <w:sz w:val="22"/>
          <w:szCs w:val="22"/>
        </w:rPr>
        <w:t>.</w:t>
      </w:r>
    </w:p>
    <w:p w14:paraId="6D711752" w14:textId="11D64ABB" w:rsidR="006A5C67" w:rsidRPr="006A5ADA" w:rsidRDefault="0026537F" w:rsidP="006A5ADA">
      <w:pPr>
        <w:spacing w:beforeLines="50" w:before="120"/>
        <w:jc w:val="both"/>
        <w:rPr>
          <w:lang w:eastAsia="zh-CN"/>
        </w:rPr>
      </w:pPr>
      <w:r w:rsidRPr="006A5ADA">
        <w:rPr>
          <w:lang w:eastAsia="zh-CN"/>
        </w:rPr>
        <w:t xml:space="preserve">In </w:t>
      </w:r>
      <w:r w:rsidR="00F30138">
        <w:rPr>
          <w:lang w:eastAsia="zh-CN"/>
        </w:rPr>
        <w:t>slot m+1</w:t>
      </w:r>
      <w:r w:rsidRPr="006A5ADA">
        <w:rPr>
          <w:lang w:eastAsia="zh-CN"/>
        </w:rPr>
        <w:t>,</w:t>
      </w:r>
      <w:r w:rsidR="00F30138">
        <w:rPr>
          <w:lang w:eastAsia="zh-CN"/>
        </w:rPr>
        <w:t xml:space="preserve"> the</w:t>
      </w:r>
      <w:r w:rsidRPr="006A5ADA">
        <w:rPr>
          <w:lang w:eastAsia="zh-CN"/>
        </w:rPr>
        <w:t xml:space="preserve"> gNB </w:t>
      </w:r>
      <w:r w:rsidR="00F138A2" w:rsidRPr="006A5ADA">
        <w:rPr>
          <w:lang w:eastAsia="zh-CN"/>
        </w:rPr>
        <w:t xml:space="preserve">could not detect the </w:t>
      </w:r>
      <w:r w:rsidR="009D2A45" w:rsidRPr="006A5ADA">
        <w:rPr>
          <w:lang w:eastAsia="zh-CN"/>
        </w:rPr>
        <w:t xml:space="preserve">expected </w:t>
      </w:r>
      <w:r w:rsidR="00F138A2" w:rsidRPr="006A5ADA">
        <w:rPr>
          <w:lang w:eastAsia="zh-CN"/>
        </w:rPr>
        <w:t xml:space="preserve">HARQ-ACK feedback for </w:t>
      </w:r>
      <w:r w:rsidR="00F30138">
        <w:rPr>
          <w:lang w:eastAsia="zh-CN"/>
        </w:rPr>
        <w:t xml:space="preserve">PDSCH </w:t>
      </w:r>
      <w:r w:rsidR="00F138A2" w:rsidRPr="006A5ADA">
        <w:rPr>
          <w:lang w:eastAsia="zh-CN"/>
        </w:rPr>
        <w:t>set 2</w:t>
      </w:r>
      <w:r w:rsidR="009D2A45" w:rsidRPr="006A5ADA">
        <w:rPr>
          <w:lang w:eastAsia="zh-CN"/>
        </w:rPr>
        <w:t xml:space="preserve"> and</w:t>
      </w:r>
      <w:r w:rsidR="00F138A2" w:rsidRPr="006A5ADA">
        <w:rPr>
          <w:lang w:eastAsia="zh-CN"/>
        </w:rPr>
        <w:t xml:space="preserve"> </w:t>
      </w:r>
      <w:r w:rsidR="00F30138">
        <w:rPr>
          <w:lang w:eastAsia="zh-CN"/>
        </w:rPr>
        <w:t xml:space="preserve">thus </w:t>
      </w:r>
      <w:r w:rsidRPr="006A5ADA">
        <w:rPr>
          <w:lang w:eastAsia="zh-CN"/>
        </w:rPr>
        <w:t>indicate</w:t>
      </w:r>
      <w:r w:rsidR="009D2A45" w:rsidRPr="006A5ADA">
        <w:rPr>
          <w:lang w:eastAsia="zh-CN"/>
        </w:rPr>
        <w:t>s</w:t>
      </w:r>
      <w:r w:rsidRPr="006A5ADA">
        <w:rPr>
          <w:lang w:eastAsia="zh-CN"/>
        </w:rPr>
        <w:t xml:space="preserve"> </w:t>
      </w:r>
      <w:r w:rsidR="00F30138">
        <w:rPr>
          <w:lang w:eastAsia="zh-CN"/>
        </w:rPr>
        <w:t xml:space="preserve">in slot m+2 </w:t>
      </w:r>
      <w:r w:rsidRPr="006A5ADA">
        <w:rPr>
          <w:lang w:eastAsia="zh-CN"/>
        </w:rPr>
        <w:t xml:space="preserve">that there are 2 </w:t>
      </w:r>
      <w:r w:rsidR="00F30138">
        <w:rPr>
          <w:lang w:eastAsia="zh-CN"/>
        </w:rPr>
        <w:t xml:space="preserve">PDSCH </w:t>
      </w:r>
      <w:r w:rsidRPr="006A5ADA">
        <w:rPr>
          <w:lang w:eastAsia="zh-CN"/>
        </w:rPr>
        <w:t>sets</w:t>
      </w:r>
      <w:r w:rsidR="00F30138">
        <w:rPr>
          <w:lang w:eastAsia="zh-CN"/>
        </w:rPr>
        <w:t xml:space="preserve"> which</w:t>
      </w:r>
      <w:r w:rsidRPr="006A5ADA">
        <w:rPr>
          <w:lang w:eastAsia="zh-CN"/>
        </w:rPr>
        <w:t xml:space="preserve"> </w:t>
      </w:r>
      <w:r w:rsidR="00F138A2" w:rsidRPr="006A5ADA">
        <w:rPr>
          <w:lang w:eastAsia="zh-CN"/>
        </w:rPr>
        <w:t>should be acknowledged by setting S=2</w:t>
      </w:r>
      <w:r w:rsidR="009D2A45" w:rsidRPr="006A5ADA">
        <w:rPr>
          <w:lang w:eastAsia="zh-CN"/>
        </w:rPr>
        <w:t xml:space="preserve">. </w:t>
      </w:r>
      <w:r w:rsidR="0082349B">
        <w:rPr>
          <w:lang w:eastAsia="zh-CN"/>
        </w:rPr>
        <w:t xml:space="preserve">Obviously, </w:t>
      </w:r>
      <w:r w:rsidR="00F30138">
        <w:rPr>
          <w:lang w:eastAsia="zh-CN"/>
        </w:rPr>
        <w:t xml:space="preserve">the </w:t>
      </w:r>
      <w:r w:rsidR="009D2A45" w:rsidRPr="006A5ADA">
        <w:rPr>
          <w:lang w:eastAsia="zh-CN"/>
        </w:rPr>
        <w:t xml:space="preserve">UE could not be aware of the missing </w:t>
      </w:r>
      <w:r w:rsidR="00F30138">
        <w:rPr>
          <w:lang w:eastAsia="zh-CN"/>
        </w:rPr>
        <w:t>PDSCH</w:t>
      </w:r>
      <w:r w:rsidR="00E123E8">
        <w:rPr>
          <w:lang w:eastAsia="zh-CN"/>
        </w:rPr>
        <w:t xml:space="preserve"> </w:t>
      </w:r>
      <w:r w:rsidR="009D2A45" w:rsidRPr="006A5ADA">
        <w:rPr>
          <w:lang w:eastAsia="zh-CN"/>
        </w:rPr>
        <w:t>set 2</w:t>
      </w:r>
      <w:r w:rsidR="0082349B">
        <w:rPr>
          <w:lang w:eastAsia="zh-CN"/>
        </w:rPr>
        <w:t xml:space="preserve"> if there is no set ID information</w:t>
      </w:r>
      <w:r w:rsidR="009D2A45" w:rsidRPr="006A5ADA">
        <w:rPr>
          <w:lang w:eastAsia="zh-CN"/>
        </w:rPr>
        <w:t>.</w:t>
      </w:r>
      <w:r w:rsidR="001467AF" w:rsidRPr="006A5ADA">
        <w:rPr>
          <w:lang w:eastAsia="zh-CN"/>
        </w:rPr>
        <w:t xml:space="preserve"> </w:t>
      </w:r>
      <w:r w:rsidR="00F30138">
        <w:rPr>
          <w:lang w:eastAsia="zh-CN"/>
        </w:rPr>
        <w:t>Using the Total DAI together with the S_ID, the</w:t>
      </w:r>
      <w:r w:rsidR="00BB2EB3">
        <w:rPr>
          <w:lang w:eastAsia="zh-CN"/>
        </w:rPr>
        <w:t xml:space="preserve"> UE could </w:t>
      </w:r>
      <w:r w:rsidR="00421DC9">
        <w:rPr>
          <w:lang w:eastAsia="zh-CN"/>
        </w:rPr>
        <w:t>de</w:t>
      </w:r>
      <w:r w:rsidR="00F30138">
        <w:rPr>
          <w:lang w:eastAsia="zh-CN"/>
        </w:rPr>
        <w:t>termine that</w:t>
      </w:r>
      <w:r w:rsidR="00421DC9">
        <w:rPr>
          <w:lang w:eastAsia="zh-CN"/>
        </w:rPr>
        <w:t xml:space="preserve"> the </w:t>
      </w:r>
      <w:r w:rsidR="00F30138">
        <w:rPr>
          <w:lang w:eastAsia="zh-CN"/>
        </w:rPr>
        <w:t>missing 11-5=6 HARQ-ACK bits are from a missed PDSCH set 2 and that the PUCCH for PDSCH set 1 was correctly received.</w:t>
      </w:r>
      <w:r w:rsidR="00CD2644">
        <w:rPr>
          <w:lang w:eastAsia="zh-CN"/>
        </w:rPr>
        <w:t xml:space="preserve"> It can be found that, compared with the </w:t>
      </w:r>
      <w:r w:rsidR="00032C88">
        <w:rPr>
          <w:lang w:eastAsia="zh-CN"/>
        </w:rPr>
        <w:t>a</w:t>
      </w:r>
      <w:r w:rsidR="00032C88" w:rsidRPr="00032C88">
        <w:rPr>
          <w:lang w:eastAsia="zh-CN"/>
        </w:rPr>
        <w:t xml:space="preserve">forementioned </w:t>
      </w:r>
      <w:r w:rsidR="00032C88">
        <w:rPr>
          <w:lang w:eastAsia="zh-CN"/>
        </w:rPr>
        <w:t>scheme</w:t>
      </w:r>
      <w:r w:rsidR="00CD2644">
        <w:rPr>
          <w:lang w:eastAsia="zh-CN"/>
        </w:rPr>
        <w:t>s,</w:t>
      </w:r>
      <w:r w:rsidR="00032C88">
        <w:rPr>
          <w:lang w:eastAsia="zh-CN"/>
        </w:rPr>
        <w:t xml:space="preserve"> indication</w:t>
      </w:r>
      <w:r w:rsidR="004415C0">
        <w:rPr>
          <w:lang w:eastAsia="zh-CN"/>
        </w:rPr>
        <w:t xml:space="preserve"> based on </w:t>
      </w:r>
      <w:r w:rsidR="00781869">
        <w:rPr>
          <w:lang w:eastAsia="zh-CN"/>
        </w:rPr>
        <w:t xml:space="preserve">number of </w:t>
      </w:r>
      <w:r w:rsidR="003F7991">
        <w:rPr>
          <w:lang w:eastAsia="zh-CN"/>
        </w:rPr>
        <w:t xml:space="preserve">PDSCH </w:t>
      </w:r>
      <w:r w:rsidR="004415C0">
        <w:rPr>
          <w:lang w:eastAsia="zh-CN"/>
        </w:rPr>
        <w:t>set</w:t>
      </w:r>
      <w:r w:rsidR="003F7991">
        <w:rPr>
          <w:lang w:eastAsia="zh-CN"/>
        </w:rPr>
        <w:t>s</w:t>
      </w:r>
      <w:r w:rsidR="004415C0">
        <w:rPr>
          <w:lang w:eastAsia="zh-CN"/>
        </w:rPr>
        <w:t xml:space="preserve"> </w:t>
      </w:r>
      <w:r w:rsidR="00781869">
        <w:rPr>
          <w:lang w:eastAsia="zh-CN"/>
        </w:rPr>
        <w:t>S</w:t>
      </w:r>
      <w:r w:rsidR="004415C0">
        <w:rPr>
          <w:lang w:eastAsia="zh-CN"/>
        </w:rPr>
        <w:t xml:space="preserve"> and set ID S_ID is more robust. </w:t>
      </w:r>
      <w:r w:rsidR="00EF5EDA">
        <w:rPr>
          <w:lang w:eastAsia="zh-CN"/>
        </w:rPr>
        <w:t>(Note that S_ID will be reset based on successful reception of PUCCH, which is similar with the setting for HARQ processing ID)</w:t>
      </w:r>
    </w:p>
    <w:p w14:paraId="7570A821" w14:textId="6B9328E7" w:rsidR="00AA6E80" w:rsidRDefault="00D51954" w:rsidP="00EA51DE">
      <w:pPr>
        <w:spacing w:beforeLines="50" w:before="120"/>
        <w:jc w:val="both"/>
        <w:rPr>
          <w:lang w:eastAsia="zh-CN"/>
        </w:rPr>
      </w:pPr>
      <w:r>
        <w:rPr>
          <w:lang w:eastAsia="zh-CN"/>
        </w:rPr>
        <w:t>A</w:t>
      </w:r>
      <w:r>
        <w:rPr>
          <w:rFonts w:hint="eastAsia"/>
          <w:lang w:eastAsia="zh-CN"/>
        </w:rPr>
        <w:t xml:space="preserve">s </w:t>
      </w:r>
      <w:r>
        <w:rPr>
          <w:lang w:eastAsia="zh-CN"/>
        </w:rPr>
        <w:t>shown in the example</w:t>
      </w:r>
      <w:r w:rsidR="00FD441D">
        <w:rPr>
          <w:lang w:eastAsia="zh-CN"/>
        </w:rPr>
        <w:t>s</w:t>
      </w:r>
      <w:r>
        <w:rPr>
          <w:lang w:eastAsia="zh-CN"/>
        </w:rPr>
        <w:t xml:space="preserve"> in Figure </w:t>
      </w:r>
      <w:r w:rsidR="00374789">
        <w:rPr>
          <w:lang w:eastAsia="zh-CN"/>
        </w:rPr>
        <w:t>6</w:t>
      </w:r>
      <w:r>
        <w:rPr>
          <w:lang w:eastAsia="zh-CN"/>
        </w:rPr>
        <w:t xml:space="preserve">, we have considered different cases, where both the self-contained COT HARQ-ACK feedback and cross-COT HARQ-ACK feedback are taken into account. </w:t>
      </w:r>
      <w:r w:rsidR="007E2CCD">
        <w:rPr>
          <w:lang w:eastAsia="zh-CN"/>
        </w:rPr>
        <w:t>Note that i</w:t>
      </w:r>
      <w:r w:rsidR="00AA6E80">
        <w:rPr>
          <w:lang w:eastAsia="zh-CN"/>
        </w:rPr>
        <w:t xml:space="preserve">n the following examples, the number of feedback bits in each set could be indicated by </w:t>
      </w:r>
      <w:r w:rsidR="00781869">
        <w:rPr>
          <w:lang w:eastAsia="zh-CN"/>
        </w:rPr>
        <w:t>C</w:t>
      </w:r>
      <w:r w:rsidR="00AA6E80">
        <w:rPr>
          <w:lang w:eastAsia="zh-CN"/>
        </w:rPr>
        <w:t xml:space="preserve">ounter DAI and </w:t>
      </w:r>
      <w:r w:rsidR="00781869">
        <w:rPr>
          <w:lang w:eastAsia="zh-CN"/>
        </w:rPr>
        <w:t>T</w:t>
      </w:r>
      <w:r w:rsidR="00AA6E80">
        <w:rPr>
          <w:lang w:eastAsia="zh-CN"/>
        </w:rPr>
        <w:t>otal DAI</w:t>
      </w:r>
      <w:r w:rsidR="00AA6E80" w:rsidRPr="001D1459">
        <w:rPr>
          <w:lang w:eastAsia="zh-CN"/>
        </w:rPr>
        <w:t xml:space="preserve"> </w:t>
      </w:r>
      <w:r w:rsidR="00AA6E80">
        <w:rPr>
          <w:lang w:eastAsia="zh-CN"/>
        </w:rPr>
        <w:t xml:space="preserve">as </w:t>
      </w:r>
      <w:r w:rsidR="00BE41F0">
        <w:rPr>
          <w:lang w:eastAsia="zh-CN"/>
        </w:rPr>
        <w:t xml:space="preserve">described before, and </w:t>
      </w:r>
      <w:r w:rsidR="007E2CCD">
        <w:rPr>
          <w:lang w:eastAsia="zh-CN"/>
        </w:rPr>
        <w:t xml:space="preserve">only the </w:t>
      </w:r>
      <w:r w:rsidR="009C59CD">
        <w:rPr>
          <w:lang w:eastAsia="zh-CN"/>
        </w:rPr>
        <w:t xml:space="preserve">indication for </w:t>
      </w:r>
      <w:r w:rsidR="007E2CCD">
        <w:rPr>
          <w:lang w:eastAsia="zh-CN"/>
        </w:rPr>
        <w:t xml:space="preserve">PDSCH set </w:t>
      </w:r>
      <w:r w:rsidR="0031586E">
        <w:rPr>
          <w:lang w:eastAsia="zh-CN"/>
        </w:rPr>
        <w:t>(S and S_ID)</w:t>
      </w:r>
      <w:r w:rsidR="001855D4">
        <w:rPr>
          <w:lang w:eastAsia="zh-CN"/>
        </w:rPr>
        <w:t xml:space="preserve"> </w:t>
      </w:r>
      <w:r w:rsidR="007E2CCD">
        <w:rPr>
          <w:lang w:eastAsia="zh-CN"/>
        </w:rPr>
        <w:t xml:space="preserve">is </w:t>
      </w:r>
      <w:r w:rsidR="009C59CD">
        <w:rPr>
          <w:lang w:eastAsia="zh-CN"/>
        </w:rPr>
        <w:t>explained.</w:t>
      </w:r>
    </w:p>
    <w:p w14:paraId="37059D90" w14:textId="0795297F" w:rsidR="001C54BB" w:rsidRDefault="001C54BB" w:rsidP="00EA51DE">
      <w:pPr>
        <w:spacing w:beforeLines="50" w:before="120"/>
        <w:jc w:val="both"/>
        <w:rPr>
          <w:lang w:eastAsia="zh-CN"/>
        </w:rPr>
      </w:pPr>
      <w:r>
        <w:rPr>
          <w:lang w:eastAsia="zh-CN"/>
        </w:rPr>
        <w:t xml:space="preserve">In case a, </w:t>
      </w:r>
      <w:r w:rsidR="00781869">
        <w:rPr>
          <w:lang w:eastAsia="zh-CN"/>
        </w:rPr>
        <w:t xml:space="preserve">the </w:t>
      </w:r>
      <w:r>
        <w:rPr>
          <w:lang w:eastAsia="zh-CN"/>
        </w:rPr>
        <w:t xml:space="preserve">gNB indicates </w:t>
      </w:r>
      <w:r w:rsidR="00781869">
        <w:rPr>
          <w:lang w:eastAsia="zh-CN"/>
        </w:rPr>
        <w:t xml:space="preserve">to the </w:t>
      </w:r>
      <w:r>
        <w:rPr>
          <w:lang w:eastAsia="zh-CN"/>
        </w:rPr>
        <w:t>UE to transmit the HARQ-ACK feedback for PDSCHs in slot #n and #n+1</w:t>
      </w:r>
      <w:r w:rsidR="00781869">
        <w:rPr>
          <w:lang w:eastAsia="zh-CN"/>
        </w:rPr>
        <w:t xml:space="preserve"> </w:t>
      </w:r>
      <w:r>
        <w:rPr>
          <w:lang w:eastAsia="zh-CN"/>
        </w:rPr>
        <w:t>(constitute PDSCH set #</w:t>
      </w:r>
      <w:r w:rsidR="002020C9">
        <w:rPr>
          <w:lang w:eastAsia="zh-CN"/>
        </w:rPr>
        <w:t>1</w:t>
      </w:r>
      <w:r>
        <w:rPr>
          <w:lang w:eastAsia="zh-CN"/>
        </w:rPr>
        <w:t xml:space="preserve">) in slot #n+p by setting S=1, however, the PUCCH may not be transmitted due to LBT failure, then </w:t>
      </w:r>
      <w:r w:rsidR="00781869">
        <w:rPr>
          <w:lang w:eastAsia="zh-CN"/>
        </w:rPr>
        <w:t xml:space="preserve">the </w:t>
      </w:r>
      <w:r>
        <w:rPr>
          <w:lang w:eastAsia="zh-CN"/>
        </w:rPr>
        <w:t>gNB trigger</w:t>
      </w:r>
      <w:r w:rsidR="00857582">
        <w:rPr>
          <w:lang w:eastAsia="zh-CN"/>
        </w:rPr>
        <w:t>s</w:t>
      </w:r>
      <w:r>
        <w:rPr>
          <w:lang w:eastAsia="zh-CN"/>
        </w:rPr>
        <w:t xml:space="preserve"> the </w:t>
      </w:r>
      <w:r w:rsidR="008928D7">
        <w:rPr>
          <w:lang w:eastAsia="zh-CN"/>
        </w:rPr>
        <w:t xml:space="preserve">retransmission </w:t>
      </w:r>
      <w:r w:rsidR="009746C4">
        <w:rPr>
          <w:lang w:eastAsia="zh-CN"/>
        </w:rPr>
        <w:t>in</w:t>
      </w:r>
      <w:r w:rsidR="00871E12">
        <w:rPr>
          <w:lang w:eastAsia="zh-CN"/>
        </w:rPr>
        <w:t xml:space="preserve"> the next opportunity</w:t>
      </w:r>
      <w:r>
        <w:rPr>
          <w:lang w:eastAsia="zh-CN"/>
        </w:rPr>
        <w:t xml:space="preserve"> by setting S=2 to indicate </w:t>
      </w:r>
      <w:r w:rsidR="00781869">
        <w:rPr>
          <w:lang w:eastAsia="zh-CN"/>
        </w:rPr>
        <w:t xml:space="preserve">to the </w:t>
      </w:r>
      <w:r>
        <w:rPr>
          <w:lang w:eastAsia="zh-CN"/>
        </w:rPr>
        <w:t xml:space="preserve">UE </w:t>
      </w:r>
      <w:r w:rsidR="00781869">
        <w:rPr>
          <w:lang w:eastAsia="zh-CN"/>
        </w:rPr>
        <w:t xml:space="preserve">to </w:t>
      </w:r>
      <w:r>
        <w:rPr>
          <w:lang w:eastAsia="zh-CN"/>
        </w:rPr>
        <w:t xml:space="preserve">transmit the </w:t>
      </w:r>
      <w:r w:rsidR="00871E12">
        <w:rPr>
          <w:lang w:eastAsia="zh-CN"/>
        </w:rPr>
        <w:t xml:space="preserve">HARQ-ACK feedback for </w:t>
      </w:r>
      <w:r w:rsidR="009746C4">
        <w:rPr>
          <w:lang w:eastAsia="zh-CN"/>
        </w:rPr>
        <w:t xml:space="preserve">both PDSCH set </w:t>
      </w:r>
      <w:r w:rsidR="002020C9">
        <w:rPr>
          <w:lang w:eastAsia="zh-CN"/>
        </w:rPr>
        <w:t>#1</w:t>
      </w:r>
      <w:r w:rsidR="009746C4">
        <w:rPr>
          <w:lang w:eastAsia="zh-CN"/>
        </w:rPr>
        <w:t xml:space="preserve"> and PDSCH set </w:t>
      </w:r>
      <w:r w:rsidR="002020C9">
        <w:rPr>
          <w:lang w:eastAsia="zh-CN"/>
        </w:rPr>
        <w:t>#2</w:t>
      </w:r>
      <w:r w:rsidR="00781869">
        <w:rPr>
          <w:lang w:eastAsia="zh-CN"/>
        </w:rPr>
        <w:t xml:space="preserve"> </w:t>
      </w:r>
      <w:r w:rsidR="008928D7">
        <w:rPr>
          <w:lang w:eastAsia="zh-CN"/>
        </w:rPr>
        <w:t>(consists of</w:t>
      </w:r>
      <w:r w:rsidR="009746C4">
        <w:rPr>
          <w:lang w:eastAsia="zh-CN"/>
        </w:rPr>
        <w:t xml:space="preserve"> </w:t>
      </w:r>
      <w:r w:rsidR="00871E12">
        <w:rPr>
          <w:lang w:eastAsia="zh-CN"/>
        </w:rPr>
        <w:t>PDSCHs in slot #n</w:t>
      </w:r>
      <w:r w:rsidR="008928D7">
        <w:rPr>
          <w:lang w:eastAsia="zh-CN"/>
        </w:rPr>
        <w:t>+p+1</w:t>
      </w:r>
      <w:r w:rsidR="00871E12">
        <w:rPr>
          <w:lang w:eastAsia="zh-CN"/>
        </w:rPr>
        <w:t xml:space="preserve"> and #n+</w:t>
      </w:r>
      <w:r w:rsidR="008928D7">
        <w:rPr>
          <w:lang w:eastAsia="zh-CN"/>
        </w:rPr>
        <w:t>p+2)</w:t>
      </w:r>
      <w:r w:rsidR="00871E12">
        <w:rPr>
          <w:lang w:eastAsia="zh-CN"/>
        </w:rPr>
        <w:t xml:space="preserve"> in slot #</w:t>
      </w:r>
      <w:r w:rsidR="008928D7">
        <w:rPr>
          <w:lang w:eastAsia="zh-CN"/>
        </w:rPr>
        <w:t>m+q.</w:t>
      </w:r>
      <w:r w:rsidR="00BE5165">
        <w:rPr>
          <w:lang w:eastAsia="zh-CN"/>
        </w:rPr>
        <w:t xml:space="preserve"> </w:t>
      </w:r>
    </w:p>
    <w:p w14:paraId="5C63FA02" w14:textId="3914D100" w:rsidR="00D51954" w:rsidRDefault="00D51954" w:rsidP="00EA51DE">
      <w:pPr>
        <w:spacing w:beforeLines="50" w:before="120"/>
        <w:jc w:val="both"/>
        <w:rPr>
          <w:lang w:eastAsia="zh-CN"/>
        </w:rPr>
      </w:pPr>
      <w:r>
        <w:rPr>
          <w:lang w:eastAsia="zh-CN"/>
        </w:rPr>
        <w:t xml:space="preserve">In case </w:t>
      </w:r>
      <w:r w:rsidR="001C54BB">
        <w:rPr>
          <w:lang w:eastAsia="zh-CN"/>
        </w:rPr>
        <w:t>b</w:t>
      </w:r>
      <w:r>
        <w:rPr>
          <w:lang w:eastAsia="zh-CN"/>
        </w:rPr>
        <w:t xml:space="preserve">, </w:t>
      </w:r>
      <w:r w:rsidR="00781869">
        <w:rPr>
          <w:lang w:eastAsia="zh-CN"/>
        </w:rPr>
        <w:t xml:space="preserve">the </w:t>
      </w:r>
      <w:r>
        <w:rPr>
          <w:lang w:eastAsia="zh-CN"/>
        </w:rPr>
        <w:t xml:space="preserve">gNB indicates </w:t>
      </w:r>
      <w:r w:rsidR="00781869">
        <w:rPr>
          <w:lang w:eastAsia="zh-CN"/>
        </w:rPr>
        <w:t xml:space="preserve">to the </w:t>
      </w:r>
      <w:r>
        <w:rPr>
          <w:lang w:eastAsia="zh-CN"/>
        </w:rPr>
        <w:t xml:space="preserve">UE to transmit the HARQ-ACK feedback PDSCH set </w:t>
      </w:r>
      <w:r w:rsidR="002020C9">
        <w:rPr>
          <w:lang w:eastAsia="zh-CN"/>
        </w:rPr>
        <w:t>#1</w:t>
      </w:r>
      <w:r w:rsidR="009C59CD">
        <w:rPr>
          <w:lang w:eastAsia="zh-CN"/>
        </w:rPr>
        <w:t xml:space="preserve"> </w:t>
      </w:r>
      <w:r>
        <w:rPr>
          <w:lang w:eastAsia="zh-CN"/>
        </w:rPr>
        <w:t xml:space="preserve">in slot #n+p, while the HARQ-ACK feedback for PDSCH set </w:t>
      </w:r>
      <w:r w:rsidR="002020C9">
        <w:rPr>
          <w:lang w:eastAsia="zh-CN"/>
        </w:rPr>
        <w:t>#2</w:t>
      </w:r>
      <w:r w:rsidR="009C59CD">
        <w:rPr>
          <w:lang w:eastAsia="zh-CN"/>
        </w:rPr>
        <w:t xml:space="preserve"> </w:t>
      </w:r>
      <w:r>
        <w:rPr>
          <w:lang w:eastAsia="zh-CN"/>
        </w:rPr>
        <w:t xml:space="preserve">could not be transmitted in COT 1 due to processing delay. Then </w:t>
      </w:r>
      <w:r w:rsidR="00781869">
        <w:rPr>
          <w:lang w:eastAsia="zh-CN"/>
        </w:rPr>
        <w:t xml:space="preserve">the </w:t>
      </w:r>
      <w:r>
        <w:rPr>
          <w:lang w:eastAsia="zh-CN"/>
        </w:rPr>
        <w:t xml:space="preserve">gNB could trigger the feedback for PDSCH set </w:t>
      </w:r>
      <w:r w:rsidR="002020C9">
        <w:rPr>
          <w:lang w:eastAsia="zh-CN"/>
        </w:rPr>
        <w:t>#2</w:t>
      </w:r>
      <w:r>
        <w:rPr>
          <w:lang w:eastAsia="zh-CN"/>
        </w:rPr>
        <w:t xml:space="preserve"> in COT 2. For PDSCH set </w:t>
      </w:r>
      <w:r w:rsidR="002020C9">
        <w:rPr>
          <w:lang w:eastAsia="zh-CN"/>
        </w:rPr>
        <w:t>#2</w:t>
      </w:r>
      <w:r>
        <w:rPr>
          <w:lang w:eastAsia="zh-CN"/>
        </w:rPr>
        <w:t xml:space="preserve">, </w:t>
      </w:r>
      <w:r w:rsidR="00781869">
        <w:rPr>
          <w:lang w:eastAsia="zh-CN"/>
        </w:rPr>
        <w:t xml:space="preserve">the </w:t>
      </w:r>
      <w:r>
        <w:rPr>
          <w:lang w:eastAsia="zh-CN"/>
        </w:rPr>
        <w:t xml:space="preserve">gNB just configures the </w:t>
      </w:r>
      <w:r w:rsidR="00781869">
        <w:rPr>
          <w:lang w:eastAsia="zh-CN"/>
        </w:rPr>
        <w:t>C</w:t>
      </w:r>
      <w:r>
        <w:rPr>
          <w:lang w:eastAsia="zh-CN"/>
        </w:rPr>
        <w:t xml:space="preserve">ounter DAI and </w:t>
      </w:r>
      <w:r w:rsidR="00781869">
        <w:rPr>
          <w:lang w:eastAsia="zh-CN"/>
        </w:rPr>
        <w:t>T</w:t>
      </w:r>
      <w:r>
        <w:rPr>
          <w:lang w:eastAsia="zh-CN"/>
        </w:rPr>
        <w:t xml:space="preserve">otal DAI to indicate the number of feedback bits, and set S=0 to indicate </w:t>
      </w:r>
      <w:r w:rsidR="00781869">
        <w:rPr>
          <w:lang w:eastAsia="zh-CN"/>
        </w:rPr>
        <w:t xml:space="preserve">to the </w:t>
      </w:r>
      <w:r>
        <w:rPr>
          <w:lang w:eastAsia="zh-CN"/>
        </w:rPr>
        <w:t xml:space="preserve">UE </w:t>
      </w:r>
      <w:r w:rsidR="00781869">
        <w:rPr>
          <w:lang w:eastAsia="zh-CN"/>
        </w:rPr>
        <w:t xml:space="preserve">to </w:t>
      </w:r>
      <w:r>
        <w:rPr>
          <w:lang w:eastAsia="zh-CN"/>
        </w:rPr>
        <w:t xml:space="preserve">wait for the trigger in the future COT. In COT 2, </w:t>
      </w:r>
      <w:r w:rsidR="00781869">
        <w:rPr>
          <w:lang w:eastAsia="zh-CN"/>
        </w:rPr>
        <w:t xml:space="preserve">the </w:t>
      </w:r>
      <w:r>
        <w:rPr>
          <w:lang w:eastAsia="zh-CN"/>
        </w:rPr>
        <w:t xml:space="preserve">gNB triggers the feedback for PDSCH set </w:t>
      </w:r>
      <w:r w:rsidR="002020C9">
        <w:rPr>
          <w:lang w:eastAsia="zh-CN"/>
        </w:rPr>
        <w:t>#2</w:t>
      </w:r>
      <w:r>
        <w:rPr>
          <w:lang w:eastAsia="zh-CN"/>
        </w:rPr>
        <w:t xml:space="preserve"> by setting S=1. Since there is no more PDSCH(s) for which the feedback should be reported in COT 2, </w:t>
      </w:r>
      <w:r w:rsidR="004415C0">
        <w:rPr>
          <w:lang w:eastAsia="zh-CN"/>
        </w:rPr>
        <w:t xml:space="preserve">the </w:t>
      </w:r>
      <w:r w:rsidR="00781869">
        <w:rPr>
          <w:lang w:eastAsia="zh-CN"/>
        </w:rPr>
        <w:t>T</w:t>
      </w:r>
      <w:r w:rsidR="004415C0">
        <w:rPr>
          <w:lang w:eastAsia="zh-CN"/>
        </w:rPr>
        <w:t>otal DAI will be same as the previous</w:t>
      </w:r>
      <w:r w:rsidR="00781869">
        <w:rPr>
          <w:lang w:eastAsia="zh-CN"/>
        </w:rPr>
        <w:t>ly</w:t>
      </w:r>
      <w:r w:rsidR="004415C0">
        <w:rPr>
          <w:lang w:eastAsia="zh-CN"/>
        </w:rPr>
        <w:t xml:space="preserve"> indicated value.</w:t>
      </w:r>
      <w:r>
        <w:rPr>
          <w:lang w:eastAsia="zh-CN"/>
        </w:rPr>
        <w:t xml:space="preserve"> The time resource for PUCCH could be indicated by the existing PDSCH-to-HARQ_feedback timing indicator in DCI.</w:t>
      </w:r>
    </w:p>
    <w:p w14:paraId="027B150B" w14:textId="3D8BF7C8" w:rsidR="00D51954" w:rsidRDefault="00D51954" w:rsidP="00EA51DE">
      <w:pPr>
        <w:spacing w:beforeLines="50" w:before="120"/>
        <w:jc w:val="both"/>
        <w:rPr>
          <w:lang w:eastAsia="zh-CN"/>
        </w:rPr>
      </w:pPr>
      <w:r>
        <w:rPr>
          <w:lang w:eastAsia="zh-CN"/>
        </w:rPr>
        <w:t>I</w:t>
      </w:r>
      <w:r>
        <w:rPr>
          <w:rFonts w:hint="eastAsia"/>
          <w:lang w:eastAsia="zh-CN"/>
        </w:rPr>
        <w:t xml:space="preserve">n </w:t>
      </w:r>
      <w:r>
        <w:rPr>
          <w:lang w:eastAsia="zh-CN"/>
        </w:rPr>
        <w:t xml:space="preserve">case </w:t>
      </w:r>
      <w:r w:rsidR="001C54BB">
        <w:rPr>
          <w:lang w:eastAsia="zh-CN"/>
        </w:rPr>
        <w:t>c</w:t>
      </w:r>
      <w:r>
        <w:rPr>
          <w:lang w:eastAsia="zh-CN"/>
        </w:rPr>
        <w:t xml:space="preserve">, there is still other PDSCH(s) (e.g. PDSCH set </w:t>
      </w:r>
      <w:r w:rsidR="002020C9">
        <w:rPr>
          <w:lang w:eastAsia="zh-CN"/>
        </w:rPr>
        <w:t>#3</w:t>
      </w:r>
      <w:r>
        <w:rPr>
          <w:lang w:eastAsia="zh-CN"/>
        </w:rPr>
        <w:t xml:space="preserve">) </w:t>
      </w:r>
      <w:r w:rsidR="00781869">
        <w:rPr>
          <w:lang w:eastAsia="zh-CN"/>
        </w:rPr>
        <w:t xml:space="preserve">which </w:t>
      </w:r>
      <w:r>
        <w:rPr>
          <w:lang w:eastAsia="zh-CN"/>
        </w:rPr>
        <w:t xml:space="preserve">should be acknowledged in COT 2, and gNB could trigger the feedback for PDSCH set </w:t>
      </w:r>
      <w:r w:rsidR="002020C9">
        <w:rPr>
          <w:lang w:eastAsia="zh-CN"/>
        </w:rPr>
        <w:t>#2</w:t>
      </w:r>
      <w:r>
        <w:rPr>
          <w:lang w:eastAsia="zh-CN"/>
        </w:rPr>
        <w:t xml:space="preserve"> in COT along with the current </w:t>
      </w:r>
      <w:r w:rsidR="00781869">
        <w:rPr>
          <w:lang w:eastAsia="zh-CN"/>
        </w:rPr>
        <w:t xml:space="preserve">PDSCH </w:t>
      </w:r>
      <w:r>
        <w:rPr>
          <w:lang w:eastAsia="zh-CN"/>
        </w:rPr>
        <w:t xml:space="preserve">set. Then </w:t>
      </w:r>
      <w:r w:rsidR="00781869">
        <w:rPr>
          <w:lang w:eastAsia="zh-CN"/>
        </w:rPr>
        <w:t xml:space="preserve">the </w:t>
      </w:r>
      <w:r>
        <w:rPr>
          <w:lang w:eastAsia="zh-CN"/>
        </w:rPr>
        <w:t>gNB will set S=2 to indicate that there are 2</w:t>
      </w:r>
      <w:r w:rsidR="00781869">
        <w:rPr>
          <w:lang w:eastAsia="zh-CN"/>
        </w:rPr>
        <w:t xml:space="preserve"> PDSCH</w:t>
      </w:r>
      <w:r>
        <w:rPr>
          <w:lang w:eastAsia="zh-CN"/>
        </w:rPr>
        <w:t xml:space="preserve"> sets for which the feedback need to be reported.</w:t>
      </w:r>
    </w:p>
    <w:p w14:paraId="46E2F334" w14:textId="4A29F970" w:rsidR="00D51954" w:rsidRDefault="00D51954" w:rsidP="00EA51DE">
      <w:pPr>
        <w:spacing w:beforeLines="50" w:before="120"/>
        <w:jc w:val="both"/>
        <w:rPr>
          <w:lang w:eastAsia="zh-CN"/>
        </w:rPr>
      </w:pPr>
      <w:r>
        <w:rPr>
          <w:lang w:eastAsia="zh-CN"/>
        </w:rPr>
        <w:t>Consider a more complicated situation i</w:t>
      </w:r>
      <w:r>
        <w:rPr>
          <w:rFonts w:hint="eastAsia"/>
          <w:lang w:eastAsia="zh-CN"/>
        </w:rPr>
        <w:t xml:space="preserve">n </w:t>
      </w:r>
      <w:r>
        <w:rPr>
          <w:lang w:eastAsia="zh-CN"/>
        </w:rPr>
        <w:t xml:space="preserve">case </w:t>
      </w:r>
      <w:r w:rsidR="001C54BB">
        <w:rPr>
          <w:lang w:eastAsia="zh-CN"/>
        </w:rPr>
        <w:t>d</w:t>
      </w:r>
      <w:r>
        <w:rPr>
          <w:lang w:eastAsia="zh-CN"/>
        </w:rPr>
        <w:t>, the PUCCH in slot n+p which carries the HARQ</w:t>
      </w:r>
      <w:r w:rsidR="00781869">
        <w:rPr>
          <w:lang w:eastAsia="zh-CN"/>
        </w:rPr>
        <w:t>-ACK</w:t>
      </w:r>
      <w:r>
        <w:rPr>
          <w:lang w:eastAsia="zh-CN"/>
        </w:rPr>
        <w:t xml:space="preserve"> feedback for PDSCH set </w:t>
      </w:r>
      <w:r w:rsidR="002020C9">
        <w:rPr>
          <w:lang w:eastAsia="zh-CN"/>
        </w:rPr>
        <w:t>#1</w:t>
      </w:r>
      <w:r>
        <w:rPr>
          <w:lang w:eastAsia="zh-CN"/>
        </w:rPr>
        <w:t xml:space="preserve"> has not been transmitted due to LBT failure, and </w:t>
      </w:r>
      <w:r w:rsidR="00781869">
        <w:rPr>
          <w:lang w:eastAsia="zh-CN"/>
        </w:rPr>
        <w:t xml:space="preserve">the </w:t>
      </w:r>
      <w:r>
        <w:rPr>
          <w:lang w:eastAsia="zh-CN"/>
        </w:rPr>
        <w:t xml:space="preserve">gNB could trigger the feedback for set </w:t>
      </w:r>
      <w:r w:rsidR="002020C9">
        <w:rPr>
          <w:lang w:eastAsia="zh-CN"/>
        </w:rPr>
        <w:t>#1</w:t>
      </w:r>
      <w:r>
        <w:rPr>
          <w:lang w:eastAsia="zh-CN"/>
        </w:rPr>
        <w:t xml:space="preserve"> along with the feedback for set </w:t>
      </w:r>
      <w:r w:rsidR="002020C9">
        <w:rPr>
          <w:lang w:eastAsia="zh-CN"/>
        </w:rPr>
        <w:t>#2</w:t>
      </w:r>
      <w:r>
        <w:rPr>
          <w:lang w:eastAsia="zh-CN"/>
        </w:rPr>
        <w:t xml:space="preserve"> and set </w:t>
      </w:r>
      <w:r w:rsidR="002020C9">
        <w:rPr>
          <w:lang w:eastAsia="zh-CN"/>
        </w:rPr>
        <w:t>#3</w:t>
      </w:r>
      <w:r>
        <w:rPr>
          <w:lang w:eastAsia="zh-CN"/>
        </w:rPr>
        <w:t xml:space="preserve"> in COT 2 by setting S=3.</w:t>
      </w:r>
    </w:p>
    <w:p w14:paraId="57B2B1F4" w14:textId="769683B3" w:rsidR="001855D4" w:rsidRDefault="001855D4" w:rsidP="00EA51DE">
      <w:pPr>
        <w:spacing w:beforeLines="50" w:before="120"/>
        <w:jc w:val="both"/>
        <w:rPr>
          <w:lang w:eastAsia="zh-CN"/>
        </w:rPr>
      </w:pPr>
      <w:r w:rsidRPr="001855D4">
        <w:rPr>
          <w:noProof/>
          <w:lang w:eastAsia="zh-CN"/>
        </w:rPr>
        <w:drawing>
          <wp:inline distT="0" distB="0" distL="0" distR="0" wp14:anchorId="7109914E" wp14:editId="3BE4115A">
            <wp:extent cx="5077829" cy="1440000"/>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7829" cy="1440000"/>
                    </a:xfrm>
                    <a:prstGeom prst="rect">
                      <a:avLst/>
                    </a:prstGeom>
                    <a:noFill/>
                    <a:ln>
                      <a:noFill/>
                    </a:ln>
                  </pic:spPr>
                </pic:pic>
              </a:graphicData>
            </a:graphic>
          </wp:inline>
        </w:drawing>
      </w:r>
    </w:p>
    <w:p w14:paraId="30C5DE1E" w14:textId="0DDD47D8" w:rsidR="007152F7" w:rsidRDefault="001855D4" w:rsidP="00EA51DE">
      <w:pPr>
        <w:spacing w:beforeLines="50" w:before="120"/>
        <w:jc w:val="both"/>
        <w:rPr>
          <w:lang w:eastAsia="zh-CN"/>
        </w:rPr>
      </w:pPr>
      <w:r w:rsidRPr="001855D4">
        <w:rPr>
          <w:noProof/>
          <w:lang w:eastAsia="zh-CN"/>
        </w:rPr>
        <w:lastRenderedPageBreak/>
        <w:drawing>
          <wp:inline distT="0" distB="0" distL="0" distR="0" wp14:anchorId="1FEB501B" wp14:editId="258039F2">
            <wp:extent cx="5916295" cy="146689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1466895"/>
                    </a:xfrm>
                    <a:prstGeom prst="rect">
                      <a:avLst/>
                    </a:prstGeom>
                    <a:noFill/>
                    <a:ln>
                      <a:noFill/>
                    </a:ln>
                  </pic:spPr>
                </pic:pic>
              </a:graphicData>
            </a:graphic>
          </wp:inline>
        </w:drawing>
      </w:r>
    </w:p>
    <w:p w14:paraId="077F0CAD" w14:textId="7D19D8F8" w:rsidR="007152F7" w:rsidRDefault="00BA6221" w:rsidP="00EA51DE">
      <w:pPr>
        <w:spacing w:beforeLines="50" w:before="120"/>
        <w:jc w:val="both"/>
        <w:rPr>
          <w:lang w:eastAsia="zh-CN"/>
        </w:rPr>
      </w:pPr>
      <w:r w:rsidRPr="00BA6221">
        <w:rPr>
          <w:noProof/>
          <w:lang w:eastAsia="zh-CN"/>
        </w:rPr>
        <w:drawing>
          <wp:inline distT="0" distB="0" distL="0" distR="0" wp14:anchorId="727098CB" wp14:editId="33B6F3CE">
            <wp:extent cx="5916295" cy="1463353"/>
            <wp:effectExtent l="0" t="0" r="825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463353"/>
                    </a:xfrm>
                    <a:prstGeom prst="rect">
                      <a:avLst/>
                    </a:prstGeom>
                    <a:noFill/>
                    <a:ln>
                      <a:noFill/>
                    </a:ln>
                  </pic:spPr>
                </pic:pic>
              </a:graphicData>
            </a:graphic>
          </wp:inline>
        </w:drawing>
      </w:r>
    </w:p>
    <w:p w14:paraId="0B98F22E" w14:textId="0090E19B" w:rsidR="00D51954" w:rsidRDefault="00684937" w:rsidP="00EA51DE">
      <w:pPr>
        <w:spacing w:beforeLines="50" w:before="120"/>
        <w:jc w:val="both"/>
        <w:rPr>
          <w:lang w:eastAsia="zh-CN"/>
        </w:rPr>
      </w:pPr>
      <w:r w:rsidRPr="00684937">
        <w:rPr>
          <w:noProof/>
          <w:lang w:eastAsia="zh-CN"/>
        </w:rPr>
        <w:drawing>
          <wp:inline distT="0" distB="0" distL="0" distR="0" wp14:anchorId="20C8FA90" wp14:editId="0F6E33DD">
            <wp:extent cx="5916295" cy="150374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503748"/>
                    </a:xfrm>
                    <a:prstGeom prst="rect">
                      <a:avLst/>
                    </a:prstGeom>
                    <a:noFill/>
                    <a:ln>
                      <a:noFill/>
                    </a:ln>
                  </pic:spPr>
                </pic:pic>
              </a:graphicData>
            </a:graphic>
          </wp:inline>
        </w:drawing>
      </w:r>
    </w:p>
    <w:p w14:paraId="52E8FADE" w14:textId="5CD3C405" w:rsidR="00E01798" w:rsidRPr="007F36DE" w:rsidRDefault="00D51954" w:rsidP="00EA51DE">
      <w:pPr>
        <w:spacing w:beforeLines="50" w:before="120"/>
        <w:jc w:val="center"/>
        <w:rPr>
          <w:b/>
          <w:bCs/>
          <w:sz w:val="20"/>
          <w:szCs w:val="20"/>
        </w:rPr>
      </w:pPr>
      <w:r w:rsidRPr="007F36DE">
        <w:rPr>
          <w:b/>
          <w:bCs/>
          <w:sz w:val="20"/>
          <w:szCs w:val="20"/>
        </w:rPr>
        <w:t xml:space="preserve">Figure </w:t>
      </w:r>
      <w:r w:rsidR="00374789">
        <w:rPr>
          <w:b/>
          <w:bCs/>
          <w:sz w:val="20"/>
          <w:szCs w:val="20"/>
        </w:rPr>
        <w:t>6</w:t>
      </w:r>
      <w:r w:rsidRPr="007F36DE">
        <w:rPr>
          <w:b/>
          <w:bCs/>
          <w:sz w:val="20"/>
          <w:szCs w:val="20"/>
        </w:rPr>
        <w:t xml:space="preserve">: </w:t>
      </w:r>
      <w:r w:rsidR="009719F4" w:rsidRPr="007F36DE">
        <w:rPr>
          <w:b/>
          <w:bCs/>
          <w:sz w:val="20"/>
          <w:szCs w:val="20"/>
        </w:rPr>
        <w:t xml:space="preserve">Example of </w:t>
      </w:r>
      <w:r w:rsidR="001A77AB" w:rsidRPr="007F36DE">
        <w:rPr>
          <w:b/>
          <w:bCs/>
          <w:sz w:val="20"/>
          <w:szCs w:val="20"/>
        </w:rPr>
        <w:t xml:space="preserve">the </w:t>
      </w:r>
      <w:r w:rsidR="00ED2E23" w:rsidRPr="00ED2E23">
        <w:rPr>
          <w:b/>
          <w:bCs/>
          <w:sz w:val="20"/>
          <w:szCs w:val="20"/>
        </w:rPr>
        <w:t>dynamic HARQ-ACK codebook determination</w:t>
      </w:r>
      <w:r w:rsidR="00ED2E23" w:rsidRPr="00ED2E23" w:rsidDel="00ED2E23">
        <w:rPr>
          <w:b/>
          <w:bCs/>
          <w:sz w:val="20"/>
          <w:szCs w:val="20"/>
        </w:rPr>
        <w:t xml:space="preserve"> </w:t>
      </w:r>
      <w:r w:rsidR="00ED2E23">
        <w:rPr>
          <w:b/>
          <w:bCs/>
          <w:sz w:val="20"/>
          <w:szCs w:val="20"/>
        </w:rPr>
        <w:t>with new DCI</w:t>
      </w:r>
      <w:r w:rsidR="001A77AB" w:rsidRPr="007F36DE">
        <w:rPr>
          <w:b/>
          <w:bCs/>
          <w:sz w:val="20"/>
          <w:szCs w:val="20"/>
        </w:rPr>
        <w:t xml:space="preserve"> field</w:t>
      </w:r>
      <w:r w:rsidR="00781869">
        <w:rPr>
          <w:b/>
          <w:bCs/>
          <w:sz w:val="20"/>
          <w:szCs w:val="20"/>
        </w:rPr>
        <w:t xml:space="preserve"> containing S and S_ID.</w:t>
      </w:r>
    </w:p>
    <w:p w14:paraId="184FAD6B" w14:textId="4DC4917C" w:rsidR="00B523E6" w:rsidRDefault="00E01798" w:rsidP="00EA51DE">
      <w:pPr>
        <w:spacing w:beforeLines="50" w:before="120"/>
        <w:jc w:val="both"/>
        <w:rPr>
          <w:rFonts w:eastAsia="Calibri"/>
          <w:b/>
          <w:i/>
          <w:lang w:eastAsia="sv-SE"/>
        </w:rPr>
      </w:pPr>
      <w:r w:rsidRPr="00325706">
        <w:rPr>
          <w:rFonts w:eastAsia="Calibri"/>
          <w:b/>
          <w:i/>
          <w:lang w:eastAsia="sv-SE"/>
        </w:rPr>
        <w:t xml:space="preserve">Proposal </w:t>
      </w:r>
      <w:r w:rsidR="002A53D8">
        <w:rPr>
          <w:rFonts w:eastAsia="Calibri"/>
          <w:b/>
          <w:i/>
          <w:lang w:eastAsia="sv-SE"/>
        </w:rPr>
        <w:t>6</w:t>
      </w:r>
      <w:r w:rsidRPr="00325706">
        <w:rPr>
          <w:rFonts w:eastAsia="Calibri"/>
          <w:b/>
          <w:i/>
          <w:lang w:eastAsia="sv-SE"/>
        </w:rPr>
        <w:t xml:space="preserve">: </w:t>
      </w:r>
      <w:r w:rsidR="00B523E6">
        <w:rPr>
          <w:rFonts w:eastAsia="Calibri"/>
          <w:b/>
          <w:i/>
          <w:lang w:eastAsia="sv-SE"/>
        </w:rPr>
        <w:t xml:space="preserve">For dynamic HARQ-ACK </w:t>
      </w:r>
      <w:r w:rsidR="00B523E6">
        <w:rPr>
          <w:rFonts w:eastAsia="Calibri" w:hint="eastAsia"/>
          <w:b/>
          <w:i/>
          <w:lang w:eastAsia="zh-CN"/>
        </w:rPr>
        <w:t>codebook determination</w:t>
      </w:r>
      <w:r w:rsidR="009215B0">
        <w:rPr>
          <w:rFonts w:eastAsia="Calibri"/>
          <w:b/>
          <w:i/>
          <w:lang w:eastAsia="zh-CN"/>
        </w:rPr>
        <w:t>:</w:t>
      </w:r>
    </w:p>
    <w:p w14:paraId="2339C31A" w14:textId="5FDE8DC7" w:rsidR="00B523E6" w:rsidRPr="006A5ADA" w:rsidRDefault="004533D7" w:rsidP="006A5ADA">
      <w:pPr>
        <w:pStyle w:val="ListParagraph"/>
        <w:numPr>
          <w:ilvl w:val="1"/>
          <w:numId w:val="73"/>
        </w:numPr>
        <w:spacing w:beforeLines="50" w:before="120"/>
        <w:jc w:val="both"/>
        <w:rPr>
          <w:rFonts w:eastAsia="Calibri"/>
          <w:b/>
          <w:i/>
          <w:lang w:eastAsia="sv-SE"/>
        </w:rPr>
      </w:pPr>
      <w:r>
        <w:rPr>
          <w:rFonts w:eastAsia="Calibri"/>
          <w:b/>
          <w:i/>
          <w:sz w:val="22"/>
          <w:szCs w:val="22"/>
        </w:rPr>
        <w:t>N</w:t>
      </w:r>
      <w:r w:rsidR="00B523E6" w:rsidRPr="006A5ADA">
        <w:rPr>
          <w:rFonts w:eastAsia="Calibri"/>
          <w:b/>
          <w:i/>
          <w:sz w:val="22"/>
          <w:szCs w:val="22"/>
        </w:rPr>
        <w:t xml:space="preserve">ew DCI field could be introduced to indicate </w:t>
      </w:r>
      <w:r>
        <w:rPr>
          <w:rFonts w:eastAsia="Calibri"/>
          <w:b/>
          <w:i/>
          <w:sz w:val="22"/>
          <w:szCs w:val="22"/>
        </w:rPr>
        <w:t xml:space="preserve">the </w:t>
      </w:r>
      <w:r w:rsidRPr="003C5E06">
        <w:rPr>
          <w:rFonts w:eastAsia="Calibri"/>
          <w:b/>
          <w:i/>
          <w:sz w:val="22"/>
          <w:szCs w:val="22"/>
        </w:rPr>
        <w:t>PDSCH set</w:t>
      </w:r>
      <w:r>
        <w:rPr>
          <w:rFonts w:eastAsia="Calibri"/>
          <w:b/>
          <w:i/>
          <w:sz w:val="22"/>
          <w:szCs w:val="22"/>
        </w:rPr>
        <w:t xml:space="preserve"> ID and </w:t>
      </w:r>
      <w:r w:rsidR="00B523E6" w:rsidRPr="006A5ADA">
        <w:rPr>
          <w:rFonts w:eastAsia="Calibri"/>
          <w:b/>
          <w:i/>
          <w:sz w:val="22"/>
          <w:szCs w:val="22"/>
        </w:rPr>
        <w:t xml:space="preserve">the number of PDSCH set(s) for which the </w:t>
      </w:r>
      <w:r w:rsidR="00B523E6" w:rsidRPr="006A5ADA">
        <w:rPr>
          <w:rFonts w:eastAsia="Calibri"/>
          <w:b/>
          <w:i/>
          <w:sz w:val="22"/>
          <w:szCs w:val="22"/>
          <w:lang w:eastAsia="sv-SE"/>
        </w:rPr>
        <w:t>HARQ-ACK feedback should be reported</w:t>
      </w:r>
      <w:r>
        <w:rPr>
          <w:rFonts w:eastAsia="Calibri"/>
          <w:b/>
          <w:i/>
          <w:sz w:val="22"/>
          <w:szCs w:val="22"/>
          <w:lang w:eastAsia="sv-SE"/>
        </w:rPr>
        <w:t>.</w:t>
      </w:r>
    </w:p>
    <w:p w14:paraId="5C1C43C7" w14:textId="7FDD27C7" w:rsidR="00B523E6" w:rsidRPr="006A5ADA" w:rsidRDefault="00B523E6" w:rsidP="006A5ADA">
      <w:pPr>
        <w:pStyle w:val="ListParagraph"/>
        <w:numPr>
          <w:ilvl w:val="1"/>
          <w:numId w:val="73"/>
        </w:numPr>
        <w:spacing w:beforeLines="50" w:before="120"/>
        <w:jc w:val="both"/>
        <w:rPr>
          <w:rFonts w:eastAsiaTheme="minorEastAsia"/>
        </w:rPr>
      </w:pPr>
      <w:r w:rsidRPr="006A5ADA">
        <w:rPr>
          <w:rFonts w:eastAsia="Calibri"/>
          <w:b/>
          <w:i/>
          <w:sz w:val="22"/>
          <w:szCs w:val="22"/>
          <w:lang w:eastAsia="sv-SE"/>
        </w:rPr>
        <w:t xml:space="preserve">The total DAI should </w:t>
      </w:r>
      <w:r w:rsidR="003F7991">
        <w:rPr>
          <w:rFonts w:eastAsia="Calibri"/>
          <w:b/>
          <w:i/>
          <w:sz w:val="22"/>
          <w:szCs w:val="22"/>
          <w:lang w:eastAsia="sv-SE"/>
        </w:rPr>
        <w:t>include</w:t>
      </w:r>
      <w:r w:rsidR="00307EAD" w:rsidRPr="006A5ADA">
        <w:rPr>
          <w:rFonts w:eastAsia="Calibri"/>
          <w:b/>
          <w:i/>
          <w:sz w:val="22"/>
          <w:szCs w:val="22"/>
          <w:lang w:eastAsia="sv-SE"/>
        </w:rPr>
        <w:t xml:space="preserve"> the accumulated </w:t>
      </w:r>
      <w:r w:rsidR="009C7A64">
        <w:rPr>
          <w:rFonts w:eastAsia="Calibri"/>
          <w:b/>
          <w:i/>
          <w:sz w:val="22"/>
          <w:szCs w:val="22"/>
          <w:lang w:eastAsia="sv-SE"/>
        </w:rPr>
        <w:t xml:space="preserve">number of </w:t>
      </w:r>
      <w:r w:rsidR="00307EAD" w:rsidRPr="006A5ADA">
        <w:rPr>
          <w:rFonts w:eastAsia="Calibri"/>
          <w:b/>
          <w:i/>
          <w:sz w:val="22"/>
          <w:szCs w:val="22"/>
          <w:lang w:eastAsia="sv-SE"/>
        </w:rPr>
        <w:t>unacknowledged PDSCH(s)</w:t>
      </w:r>
      <w:r w:rsidR="00761953">
        <w:rPr>
          <w:rFonts w:eastAsia="Calibri"/>
          <w:b/>
          <w:i/>
          <w:sz w:val="22"/>
          <w:szCs w:val="22"/>
          <w:lang w:eastAsia="sv-SE"/>
        </w:rPr>
        <w:t>.</w:t>
      </w:r>
    </w:p>
    <w:p w14:paraId="5829B7D2" w14:textId="667C99C4" w:rsidR="00463BCE" w:rsidRDefault="00463BCE" w:rsidP="00EA51DE">
      <w:pPr>
        <w:pStyle w:val="Heading1"/>
        <w:tabs>
          <w:tab w:val="clear" w:pos="3125"/>
          <w:tab w:val="num" w:pos="567"/>
        </w:tabs>
        <w:spacing w:beforeLines="50"/>
        <w:ind w:hanging="3125"/>
        <w:jc w:val="both"/>
      </w:pPr>
      <w:r>
        <w:rPr>
          <w:rFonts w:hint="eastAsia"/>
        </w:rPr>
        <w:t>Cross-carri</w:t>
      </w:r>
      <w:r w:rsidR="00702D13">
        <w:rPr>
          <w:rFonts w:hint="eastAsia"/>
        </w:rPr>
        <w:t>er HARQ retransmissions</w:t>
      </w:r>
    </w:p>
    <w:p w14:paraId="5F8BEAB0" w14:textId="6098373F" w:rsidR="00CC6428" w:rsidRPr="00625A63" w:rsidRDefault="00CC6428" w:rsidP="00EA51DE">
      <w:pPr>
        <w:spacing w:beforeLines="50" w:before="120"/>
        <w:jc w:val="both"/>
      </w:pPr>
      <w:r w:rsidRPr="00566195">
        <w:t>Existing designs of HARQ procedures and RLC Sub-layer in both LT</w:t>
      </w:r>
      <w:r>
        <w:t>E and NR dictate o</w:t>
      </w:r>
      <w:r w:rsidRPr="00566195">
        <w:t>ne RL</w:t>
      </w:r>
      <w:r>
        <w:t xml:space="preserve">C entity at the sending end and </w:t>
      </w:r>
      <w:r w:rsidRPr="00566195">
        <w:t xml:space="preserve">a corresponding one at the receiving end </w:t>
      </w:r>
      <w:r w:rsidR="003557DA">
        <w:t xml:space="preserve">handling the ARQ, segmentation and </w:t>
      </w:r>
      <w:r w:rsidRPr="00566195">
        <w:t>concatenati</w:t>
      </w:r>
      <w:r>
        <w:t>on, as well as</w:t>
      </w:r>
      <w:r w:rsidRPr="00566195">
        <w:t xml:space="preserve"> in-sequence delivery of all PDUs of the logical channel over all CCs</w:t>
      </w:r>
      <w:r>
        <w:t>.</w:t>
      </w:r>
      <w:r w:rsidRPr="00566195">
        <w:t xml:space="preserve"> </w:t>
      </w:r>
      <w:r>
        <w:t>Also, o</w:t>
      </w:r>
      <w:r w:rsidRPr="00566195">
        <w:t xml:space="preserve">ne HARQ entity </w:t>
      </w:r>
      <w:r>
        <w:t xml:space="preserve">is created </w:t>
      </w:r>
      <w:r w:rsidRPr="00566195">
        <w:t xml:space="preserve">per CC at the sending end handling the (re)transmissions of its individual HARQ processes </w:t>
      </w:r>
      <w:r>
        <w:rPr>
          <w:rFonts w:eastAsiaTheme="minorEastAsia" w:hint="eastAsia"/>
        </w:rPr>
        <w:t>wh</w:t>
      </w:r>
      <w:r>
        <w:t>ile a</w:t>
      </w:r>
      <w:r w:rsidRPr="00566195">
        <w:t xml:space="preserve"> corresponding HARQ enti</w:t>
      </w:r>
      <w:r>
        <w:t>ty at the receiving end handles</w:t>
      </w:r>
      <w:r w:rsidRPr="00566195">
        <w:t xml:space="preserve"> the soft-combining and decoding of such processes on the respective CC</w:t>
      </w:r>
      <w:r>
        <w:t>.</w:t>
      </w:r>
      <w:r>
        <w:rPr>
          <w:rFonts w:eastAsiaTheme="minorEastAsia" w:hint="eastAsia"/>
        </w:rPr>
        <w:t xml:space="preserve"> </w:t>
      </w:r>
      <w:r w:rsidRPr="00566195">
        <w:t>Once an HARQ initial transmission occurs on a given CC, all subsequent retransmissions have to occur on the same CC</w:t>
      </w:r>
      <w:r>
        <w:t>.</w:t>
      </w:r>
    </w:p>
    <w:p w14:paraId="5456E660" w14:textId="78BE62FF" w:rsidR="00C730CE" w:rsidRDefault="00CC6428" w:rsidP="00EA51DE">
      <w:pPr>
        <w:spacing w:beforeLines="50" w:before="120"/>
        <w:jc w:val="both"/>
        <w:rPr>
          <w:rFonts w:eastAsiaTheme="minorEastAsia"/>
        </w:rPr>
      </w:pPr>
      <w:r w:rsidRPr="00566195">
        <w:rPr>
          <w:rFonts w:eastAsiaTheme="minorEastAsia"/>
        </w:rPr>
        <w:t>However, on an unlicens</w:t>
      </w:r>
      <w:r>
        <w:rPr>
          <w:rFonts w:eastAsiaTheme="minorEastAsia"/>
        </w:rPr>
        <w:t>ed CC (e.g., in NR-U CA/DC/SA), t</w:t>
      </w:r>
      <w:r w:rsidRPr="00566195">
        <w:rPr>
          <w:rFonts w:eastAsiaTheme="minorEastAsia"/>
        </w:rPr>
        <w:t xml:space="preserve">he gNB/UE may not be able to gain medium access to perform the HARQ retransmission for several subframes due to LBT failure. </w:t>
      </w:r>
      <w:r>
        <w:rPr>
          <w:rFonts w:eastAsiaTheme="minorEastAsia"/>
        </w:rPr>
        <w:t>Also</w:t>
      </w:r>
      <w:r w:rsidR="00BB6A27">
        <w:rPr>
          <w:rFonts w:eastAsiaTheme="minorEastAsia"/>
        </w:rPr>
        <w:t xml:space="preserve">, retransmissions may be transmitted but not received </w:t>
      </w:r>
      <w:r w:rsidRPr="00566195">
        <w:rPr>
          <w:rFonts w:eastAsiaTheme="minorEastAsia"/>
        </w:rPr>
        <w:t>due to persistent collisions with the transmissions of hidden nodes on that unlicensed CC</w:t>
      </w:r>
      <w:r>
        <w:rPr>
          <w:rFonts w:eastAsiaTheme="minorEastAsia"/>
        </w:rPr>
        <w:t>.</w:t>
      </w:r>
      <w:r>
        <w:rPr>
          <w:rFonts w:eastAsiaTheme="minorEastAsia" w:hint="eastAsia"/>
        </w:rPr>
        <w:t xml:space="preserve"> </w:t>
      </w:r>
      <w:r w:rsidR="00633164">
        <w:rPr>
          <w:rFonts w:eastAsiaTheme="minorEastAsia"/>
        </w:rPr>
        <w:t>Given the shorter HARQ timing of NR,</w:t>
      </w:r>
      <w:r w:rsidR="00633164" w:rsidRPr="00633164">
        <w:rPr>
          <w:rFonts w:eastAsiaTheme="minorEastAsia"/>
        </w:rPr>
        <w:t xml:space="preserve"> </w:t>
      </w:r>
      <w:r w:rsidR="00633164">
        <w:rPr>
          <w:rFonts w:eastAsiaTheme="minorEastAsia"/>
        </w:rPr>
        <w:t>this issue can be more pronounced. This is because retransmission</w:t>
      </w:r>
      <w:r w:rsidR="00633164" w:rsidRPr="00633164">
        <w:rPr>
          <w:rFonts w:eastAsiaTheme="minorEastAsia"/>
        </w:rPr>
        <w:t xml:space="preserve"> attempts </w:t>
      </w:r>
      <w:r w:rsidR="00633164">
        <w:rPr>
          <w:rFonts w:eastAsiaTheme="minorEastAsia"/>
        </w:rPr>
        <w:t xml:space="preserve">of an HARQ process on the same carrier </w:t>
      </w:r>
      <w:r w:rsidR="00633164" w:rsidRPr="00633164">
        <w:rPr>
          <w:rFonts w:eastAsiaTheme="minorEastAsia"/>
        </w:rPr>
        <w:t>are likely to be correlated, i.e., prone to the same channel occupancy conditions</w:t>
      </w:r>
      <w:r w:rsidR="00633164">
        <w:rPr>
          <w:rFonts w:eastAsiaTheme="minorEastAsia"/>
        </w:rPr>
        <w:t xml:space="preserve">. </w:t>
      </w:r>
      <w:r w:rsidR="00C730CE">
        <w:rPr>
          <w:rFonts w:eastAsiaTheme="minorEastAsia"/>
        </w:rPr>
        <w:t xml:space="preserve">Even if HARQ retransmission within gNB-acquired COT is possible based on such a short HARQ feedback timing, the channel access opportunity can be lost at the second switching point from UL feedback to DL HARQ retransmission. </w:t>
      </w:r>
    </w:p>
    <w:p w14:paraId="4F10A800" w14:textId="24D0C911" w:rsidR="008F57CE" w:rsidRDefault="00CC6428" w:rsidP="00EA51DE">
      <w:pPr>
        <w:spacing w:beforeLines="50" w:before="120"/>
        <w:jc w:val="both"/>
        <w:rPr>
          <w:rFonts w:eastAsiaTheme="minorEastAsia"/>
        </w:rPr>
      </w:pPr>
      <w:r w:rsidRPr="00566195">
        <w:rPr>
          <w:rFonts w:eastAsiaTheme="minorEastAsia"/>
        </w:rPr>
        <w:lastRenderedPageBreak/>
        <w:t>Moreover, the receiving end RLC Sub</w:t>
      </w:r>
      <w:r>
        <w:rPr>
          <w:rFonts w:eastAsiaTheme="minorEastAsia"/>
        </w:rPr>
        <w:t xml:space="preserve">-layer will not request an ARQ </w:t>
      </w:r>
      <w:r w:rsidRPr="00566195">
        <w:rPr>
          <w:rFonts w:eastAsiaTheme="minorEastAsia"/>
        </w:rPr>
        <w:t>of the associated PDU from the sending end RLC Sub-layer unless a subsequent PDU has been received and the reordering timer has been started and elapsed.</w:t>
      </w:r>
      <w:r>
        <w:rPr>
          <w:rFonts w:eastAsiaTheme="minorEastAsia" w:hint="eastAsia"/>
        </w:rPr>
        <w:t xml:space="preserve"> </w:t>
      </w:r>
      <w:r w:rsidRPr="00566195">
        <w:rPr>
          <w:rFonts w:eastAsiaTheme="minorEastAsia"/>
        </w:rPr>
        <w:t>The sending end RLC then triggers the resch</w:t>
      </w:r>
      <w:r>
        <w:rPr>
          <w:rFonts w:eastAsiaTheme="minorEastAsia"/>
        </w:rPr>
        <w:t xml:space="preserve">eduling of </w:t>
      </w:r>
      <w:r w:rsidR="00BB6A27">
        <w:rPr>
          <w:rFonts w:eastAsiaTheme="minorEastAsia"/>
        </w:rPr>
        <w:t xml:space="preserve">the </w:t>
      </w:r>
      <w:r w:rsidR="00AC6B85">
        <w:rPr>
          <w:rFonts w:eastAsiaTheme="minorEastAsia"/>
        </w:rPr>
        <w:t>whole PDU</w:t>
      </w:r>
      <w:r w:rsidRPr="00566195">
        <w:rPr>
          <w:rFonts w:eastAsiaTheme="minorEastAsia"/>
        </w:rPr>
        <w:t>, hopefully on a different CC</w:t>
      </w:r>
      <w:r>
        <w:rPr>
          <w:rFonts w:eastAsiaTheme="minorEastAsia"/>
        </w:rPr>
        <w:t>.</w:t>
      </w:r>
      <w:r>
        <w:rPr>
          <w:rFonts w:eastAsiaTheme="minorEastAsia" w:hint="eastAsia"/>
        </w:rPr>
        <w:t xml:space="preserve"> </w:t>
      </w:r>
      <w:r w:rsidRPr="00566195">
        <w:rPr>
          <w:rFonts w:eastAsiaTheme="minorEastAsia"/>
        </w:rPr>
        <w:t>Significant delays and throughput reduction can be incurred with such a design in unlicensed spectrum</w:t>
      </w:r>
      <w:r>
        <w:rPr>
          <w:rFonts w:eastAsiaTheme="minorEastAsia" w:hint="eastAsia"/>
        </w:rPr>
        <w:t xml:space="preserve">. </w:t>
      </w:r>
    </w:p>
    <w:p w14:paraId="16B9A254" w14:textId="2815795B" w:rsidR="00037B04" w:rsidRDefault="00D71EAC" w:rsidP="00EA51DE">
      <w:pPr>
        <w:spacing w:beforeLines="50" w:before="120"/>
        <w:jc w:val="both"/>
        <w:rPr>
          <w:rFonts w:eastAsiaTheme="minorEastAsia"/>
        </w:rPr>
      </w:pPr>
      <w:r>
        <w:rPr>
          <w:rFonts w:eastAsiaTheme="minorEastAsia"/>
        </w:rPr>
        <w:t xml:space="preserve">Efficient </w:t>
      </w:r>
      <w:r w:rsidRPr="00566195">
        <w:rPr>
          <w:rFonts w:eastAsiaTheme="minorEastAsia"/>
        </w:rPr>
        <w:t xml:space="preserve">mechanisms are </w:t>
      </w:r>
      <w:r>
        <w:rPr>
          <w:rFonts w:eastAsiaTheme="minorEastAsia"/>
        </w:rPr>
        <w:t xml:space="preserve">thus required for performing cross-carrier </w:t>
      </w:r>
      <w:r w:rsidRPr="00566195">
        <w:rPr>
          <w:rFonts w:eastAsiaTheme="minorEastAsia"/>
        </w:rPr>
        <w:t xml:space="preserve">HARQ retransmissions </w:t>
      </w:r>
      <w:r>
        <w:rPr>
          <w:rFonts w:eastAsiaTheme="minorEastAsia"/>
        </w:rPr>
        <w:t xml:space="preserve">thereby exploiting the frequency diversity across CCs and avoiding excessive latencies and </w:t>
      </w:r>
      <w:r w:rsidR="00AA78A8">
        <w:rPr>
          <w:rFonts w:eastAsiaTheme="minorEastAsia"/>
        </w:rPr>
        <w:t xml:space="preserve">throughput </w:t>
      </w:r>
      <w:r>
        <w:rPr>
          <w:rFonts w:eastAsiaTheme="minorEastAsia"/>
        </w:rPr>
        <w:t xml:space="preserve">losses. </w:t>
      </w:r>
      <w:r w:rsidR="00422199">
        <w:rPr>
          <w:rFonts w:eastAsiaTheme="minorEastAsia"/>
        </w:rPr>
        <w:t>Cro</w:t>
      </w:r>
      <w:r w:rsidR="008A2C85">
        <w:rPr>
          <w:rFonts w:eastAsiaTheme="minorEastAsia"/>
        </w:rPr>
        <w:t>ss-carrier HARQ retransmissions are</w:t>
      </w:r>
      <w:r w:rsidR="008F57CE">
        <w:rPr>
          <w:rFonts w:eastAsiaTheme="minorEastAsia" w:hint="eastAsia"/>
        </w:rPr>
        <w:t xml:space="preserve"> </w:t>
      </w:r>
      <w:r w:rsidR="008F57CE">
        <w:rPr>
          <w:rFonts w:eastAsiaTheme="minorEastAsia"/>
        </w:rPr>
        <w:t>particularly</w:t>
      </w:r>
      <w:r w:rsidR="008F57CE">
        <w:rPr>
          <w:rFonts w:eastAsiaTheme="minorEastAsia" w:hint="eastAsia"/>
        </w:rPr>
        <w:t xml:space="preserve"> important</w:t>
      </w:r>
      <w:r w:rsidR="008F57CE">
        <w:rPr>
          <w:rFonts w:eastAsiaTheme="minorEastAsia"/>
        </w:rPr>
        <w:t xml:space="preserve"> </w:t>
      </w:r>
      <w:r>
        <w:rPr>
          <w:rFonts w:eastAsiaTheme="minorEastAsia"/>
        </w:rPr>
        <w:t xml:space="preserve">when </w:t>
      </w:r>
      <w:r w:rsidR="00F85986" w:rsidRPr="00F85986">
        <w:rPr>
          <w:rFonts w:eastAsiaTheme="minorEastAsia"/>
        </w:rPr>
        <w:t xml:space="preserve">rescheduling of </w:t>
      </w:r>
      <w:r w:rsidR="00C21F76" w:rsidRPr="000729CE">
        <w:rPr>
          <w:rFonts w:eastAsiaTheme="minorEastAsia"/>
        </w:rPr>
        <w:t>blocked</w:t>
      </w:r>
      <w:r w:rsidR="00F85986">
        <w:rPr>
          <w:rFonts w:eastAsiaTheme="minorEastAsia"/>
        </w:rPr>
        <w:t>/delayed</w:t>
      </w:r>
      <w:r w:rsidR="00C21F76" w:rsidRPr="000729CE">
        <w:rPr>
          <w:rFonts w:eastAsiaTheme="minorEastAsia"/>
        </w:rPr>
        <w:t xml:space="preserve"> HARQ retransmissions within the same CC is not </w:t>
      </w:r>
      <w:r w:rsidR="00F85986" w:rsidRPr="00F85986">
        <w:rPr>
          <w:rFonts w:eastAsiaTheme="minorEastAsia"/>
        </w:rPr>
        <w:t>benefici</w:t>
      </w:r>
      <w:r w:rsidR="005063CC">
        <w:rPr>
          <w:rFonts w:eastAsiaTheme="minorEastAsia"/>
        </w:rPr>
        <w:t xml:space="preserve">al due to targeting the same </w:t>
      </w:r>
      <w:r w:rsidR="00F85986">
        <w:rPr>
          <w:rFonts w:eastAsiaTheme="minorEastAsia"/>
        </w:rPr>
        <w:t>unlicensed channel</w:t>
      </w:r>
      <w:r w:rsidR="005063CC">
        <w:rPr>
          <w:rFonts w:eastAsiaTheme="minorEastAsia"/>
        </w:rPr>
        <w:t>(</w:t>
      </w:r>
      <w:r w:rsidR="00F85986">
        <w:rPr>
          <w:rFonts w:eastAsiaTheme="minorEastAsia"/>
        </w:rPr>
        <w:t>s</w:t>
      </w:r>
      <w:r w:rsidR="005063CC">
        <w:rPr>
          <w:rFonts w:eastAsiaTheme="minorEastAsia"/>
        </w:rPr>
        <w:t>)</w:t>
      </w:r>
      <w:r w:rsidR="00F85986">
        <w:rPr>
          <w:rFonts w:eastAsiaTheme="minorEastAsia"/>
        </w:rPr>
        <w:t xml:space="preserve">. </w:t>
      </w:r>
      <w:r w:rsidR="00C21F76" w:rsidRPr="000729CE">
        <w:rPr>
          <w:rFonts w:eastAsiaTheme="minorEastAsia"/>
        </w:rPr>
        <w:t xml:space="preserve"> </w:t>
      </w:r>
      <w:r w:rsidR="00037B04">
        <w:rPr>
          <w:rFonts w:eastAsiaTheme="minorEastAsia"/>
        </w:rPr>
        <w:t>For example, when the o</w:t>
      </w:r>
      <w:r w:rsidR="00037B04" w:rsidRPr="005B0414">
        <w:rPr>
          <w:rFonts w:eastAsiaTheme="minorEastAsia"/>
        </w:rPr>
        <w:t>riginal transmission</w:t>
      </w:r>
      <w:r w:rsidR="00037B04">
        <w:rPr>
          <w:rFonts w:eastAsiaTheme="minorEastAsia"/>
        </w:rPr>
        <w:t xml:space="preserve"> occurs within a 20 MHz CC as in the baseline case of CA of multiple 20 MHz unlicensed CCs, or the o</w:t>
      </w:r>
      <w:r w:rsidR="00037B04" w:rsidRPr="005B0414">
        <w:rPr>
          <w:rFonts w:eastAsiaTheme="minorEastAsia"/>
        </w:rPr>
        <w:t xml:space="preserve">riginal transmission spans </w:t>
      </w:r>
      <w:r w:rsidR="00037B04">
        <w:rPr>
          <w:rFonts w:eastAsiaTheme="minorEastAsia"/>
        </w:rPr>
        <w:t xml:space="preserve">most or all of the bandwidth of a wideband BWP configured on a wideband carrier composed of multiple 20 MHz unlicensed channels. Furthermore, </w:t>
      </w:r>
      <w:r w:rsidR="00040A9C">
        <w:rPr>
          <w:rFonts w:eastAsiaTheme="minorEastAsia"/>
        </w:rPr>
        <w:t xml:space="preserve">for a wideband BWP, </w:t>
      </w:r>
      <w:r w:rsidR="00037B04">
        <w:rPr>
          <w:rFonts w:eastAsiaTheme="minorEastAsia"/>
        </w:rPr>
        <w:t xml:space="preserve">since it is agreed that LAA channel access procedures are baseline for NR-U, in the latter case of wideband BWP, retransmissions of a wideband TB may be blocked due to LBT failure on the ‘primary’ subband, despite the availability of the ‘secondary’ subbands within the wideband BWP, in accordance with type-B/type-2 multi-channel access procedures of LAA.   </w:t>
      </w:r>
    </w:p>
    <w:p w14:paraId="43820616" w14:textId="7FB8E180" w:rsidR="00490B5D" w:rsidRDefault="00CB0E6E" w:rsidP="00EA51DE">
      <w:pPr>
        <w:spacing w:beforeLines="50" w:before="120"/>
        <w:jc w:val="both"/>
        <w:rPr>
          <w:rFonts w:eastAsiaTheme="minorEastAsia"/>
        </w:rPr>
      </w:pPr>
      <w:r>
        <w:rPr>
          <w:b/>
          <w:i/>
          <w:kern w:val="2"/>
          <w:lang w:eastAsia="zh-CN"/>
        </w:rPr>
        <w:t xml:space="preserve">Proposal </w:t>
      </w:r>
      <w:r w:rsidR="00037B04">
        <w:rPr>
          <w:b/>
          <w:i/>
          <w:kern w:val="2"/>
          <w:lang w:eastAsia="zh-CN"/>
        </w:rPr>
        <w:t>7</w:t>
      </w:r>
      <w:r w:rsidR="00490B5D">
        <w:rPr>
          <w:b/>
          <w:i/>
          <w:kern w:val="2"/>
          <w:lang w:eastAsia="zh-CN"/>
        </w:rPr>
        <w:t>:</w:t>
      </w:r>
      <w:r w:rsidR="00490B5D" w:rsidRPr="00FE55C3">
        <w:rPr>
          <w:b/>
          <w:i/>
          <w:kern w:val="2"/>
          <w:lang w:eastAsia="zh-CN"/>
        </w:rPr>
        <w:t xml:space="preserve"> </w:t>
      </w:r>
      <w:r w:rsidR="00FB2C76">
        <w:rPr>
          <w:b/>
          <w:i/>
          <w:kern w:val="2"/>
          <w:lang w:eastAsia="zh-CN"/>
        </w:rPr>
        <w:t xml:space="preserve">Cross-carrier HARQ retransmissions should be </w:t>
      </w:r>
      <w:r w:rsidR="00730D60">
        <w:rPr>
          <w:b/>
          <w:i/>
          <w:kern w:val="2"/>
          <w:lang w:eastAsia="zh-CN"/>
        </w:rPr>
        <w:t xml:space="preserve">considered </w:t>
      </w:r>
      <w:r w:rsidR="00FB2C76">
        <w:rPr>
          <w:b/>
          <w:i/>
          <w:kern w:val="2"/>
          <w:lang w:eastAsia="zh-CN"/>
        </w:rPr>
        <w:t xml:space="preserve">in </w:t>
      </w:r>
      <w:r w:rsidR="00490B5D">
        <w:rPr>
          <w:b/>
          <w:i/>
          <w:kern w:val="2"/>
          <w:lang w:eastAsia="zh-CN"/>
        </w:rPr>
        <w:t>NR-U</w:t>
      </w:r>
      <w:r w:rsidR="00D74B1C">
        <w:rPr>
          <w:b/>
          <w:i/>
          <w:kern w:val="2"/>
          <w:lang w:eastAsia="zh-CN"/>
        </w:rPr>
        <w:t xml:space="preserve"> especially when </w:t>
      </w:r>
      <w:r w:rsidR="00730D60" w:rsidRPr="00730D60">
        <w:rPr>
          <w:b/>
          <w:i/>
          <w:kern w:val="2"/>
          <w:lang w:eastAsia="zh-CN"/>
        </w:rPr>
        <w:t>rescheduling of blocked/delayed HARQ re</w:t>
      </w:r>
      <w:r w:rsidR="00730D60">
        <w:rPr>
          <w:b/>
          <w:i/>
          <w:kern w:val="2"/>
          <w:lang w:eastAsia="zh-CN"/>
        </w:rPr>
        <w:t>transmissions within the same component carrier</w:t>
      </w:r>
      <w:r w:rsidR="00730D60" w:rsidRPr="00730D60">
        <w:rPr>
          <w:b/>
          <w:i/>
          <w:kern w:val="2"/>
          <w:lang w:eastAsia="zh-CN"/>
        </w:rPr>
        <w:t xml:space="preserve"> is not beneficial</w:t>
      </w:r>
      <w:r w:rsidR="00D74B1C">
        <w:rPr>
          <w:b/>
          <w:i/>
          <w:kern w:val="2"/>
          <w:lang w:eastAsia="zh-CN"/>
        </w:rPr>
        <w:t>.</w:t>
      </w:r>
    </w:p>
    <w:p w14:paraId="4C2F8A6D" w14:textId="77777777" w:rsidR="003A04AD" w:rsidRDefault="003A04AD" w:rsidP="00EA51DE">
      <w:pPr>
        <w:spacing w:beforeLines="50" w:before="120"/>
        <w:jc w:val="both"/>
        <w:rPr>
          <w:rFonts w:eastAsiaTheme="minorEastAsia"/>
        </w:rPr>
      </w:pPr>
    </w:p>
    <w:p w14:paraId="71B88D6E" w14:textId="77777777" w:rsidR="00CC6428" w:rsidRDefault="00CC6428" w:rsidP="00EA51DE">
      <w:pPr>
        <w:spacing w:beforeLines="50" w:before="120"/>
        <w:jc w:val="center"/>
        <w:rPr>
          <w:rFonts w:eastAsiaTheme="minorEastAsia"/>
        </w:rPr>
      </w:pPr>
      <w:r>
        <w:rPr>
          <w:rFonts w:eastAsiaTheme="minorEastAsia"/>
          <w:noProof/>
          <w:lang w:eastAsia="zh-CN"/>
        </w:rPr>
        <w:drawing>
          <wp:inline distT="0" distB="0" distL="0" distR="0" wp14:anchorId="0D9C12C6" wp14:editId="3788E955">
            <wp:extent cx="4974590" cy="362712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74590" cy="3627120"/>
                    </a:xfrm>
                    <a:prstGeom prst="rect">
                      <a:avLst/>
                    </a:prstGeom>
                    <a:noFill/>
                  </pic:spPr>
                </pic:pic>
              </a:graphicData>
            </a:graphic>
          </wp:inline>
        </w:drawing>
      </w:r>
    </w:p>
    <w:p w14:paraId="3331FF4F" w14:textId="31A069E5" w:rsidR="00CC6428" w:rsidRDefault="00CC6428" w:rsidP="00EA51DE">
      <w:pPr>
        <w:pStyle w:val="Caption"/>
        <w:spacing w:beforeLines="50" w:before="120"/>
        <w:ind w:left="420"/>
        <w:rPr>
          <w:rFonts w:eastAsiaTheme="minorEastAsia"/>
        </w:rPr>
      </w:pPr>
      <w:bookmarkStart w:id="6" w:name="_Ref518548711"/>
      <w:r>
        <w:t xml:space="preserve">Figure </w:t>
      </w:r>
      <w:r w:rsidR="00374789">
        <w:t>7</w:t>
      </w:r>
      <w:r w:rsidR="009D24DA">
        <w:rPr>
          <w:noProof/>
        </w:rPr>
        <w:t>:</w:t>
      </w:r>
      <w:r>
        <w:t xml:space="preserve"> C</w:t>
      </w:r>
      <w:bookmarkEnd w:id="6"/>
      <w:r>
        <w:t>ross-carrier HARQ retransmissions using Auxiliary HARQ processes</w:t>
      </w:r>
      <w:r w:rsidR="009D24DA">
        <w:t>.</w:t>
      </w:r>
    </w:p>
    <w:p w14:paraId="77C97D4E" w14:textId="1302B266" w:rsidR="00CC6428" w:rsidRDefault="00CC6428" w:rsidP="00EA51DE">
      <w:pPr>
        <w:spacing w:beforeLines="50" w:before="120"/>
        <w:jc w:val="both"/>
        <w:rPr>
          <w:rFonts w:eastAsiaTheme="minorEastAsia"/>
        </w:rPr>
      </w:pPr>
      <w:r w:rsidRPr="002F3B95">
        <w:rPr>
          <w:rFonts w:eastAsiaTheme="minorEastAsia"/>
          <w:b/>
        </w:rPr>
        <w:t>Mechanism:</w:t>
      </w:r>
      <w:r>
        <w:rPr>
          <w:rFonts w:eastAsiaTheme="minorEastAsia"/>
        </w:rPr>
        <w:t xml:space="preserve"> As shown in the figure above, r</w:t>
      </w:r>
      <w:r w:rsidRPr="002F3B95">
        <w:rPr>
          <w:rFonts w:eastAsiaTheme="minorEastAsia"/>
        </w:rPr>
        <w:t>etransmissions of the TB associated with the active HARQ process (HARQ ID i) on CCx can be switched by the transmitter to the first idle HARQ process j on a different cell, e.g., CCy</w:t>
      </w:r>
      <w:r>
        <w:rPr>
          <w:rFonts w:eastAsiaTheme="minorEastAsia"/>
        </w:rPr>
        <w:t>.</w:t>
      </w:r>
      <w:r w:rsidRPr="002F3B95">
        <w:rPr>
          <w:rFonts w:eastAsiaTheme="minorEastAsia"/>
        </w:rPr>
        <w:t xml:space="preserve"> To </w:t>
      </w:r>
      <w:r>
        <w:rPr>
          <w:rFonts w:eastAsiaTheme="minorEastAsia"/>
        </w:rPr>
        <w:t xml:space="preserve">reduce overhead of </w:t>
      </w:r>
      <w:r w:rsidR="00C67512">
        <w:rPr>
          <w:rFonts w:eastAsiaTheme="minorEastAsia"/>
        </w:rPr>
        <w:t xml:space="preserve">adding </w:t>
      </w:r>
      <w:r>
        <w:rPr>
          <w:rFonts w:eastAsiaTheme="minorEastAsia"/>
        </w:rPr>
        <w:t>indication</w:t>
      </w:r>
      <w:r w:rsidR="00C67512">
        <w:rPr>
          <w:rFonts w:eastAsiaTheme="minorEastAsia"/>
        </w:rPr>
        <w:t xml:space="preserve"> of the original HARQ ID/CC ID, a mapping rule can be semi-statically configured</w:t>
      </w:r>
      <w:r>
        <w:rPr>
          <w:rFonts w:eastAsiaTheme="minorEastAsia"/>
        </w:rPr>
        <w:t>.</w:t>
      </w:r>
      <w:r w:rsidR="00D74B1C">
        <w:rPr>
          <w:rFonts w:eastAsiaTheme="minorEastAsia"/>
        </w:rPr>
        <w:t xml:space="preserve"> In such case,</w:t>
      </w:r>
      <w:r w:rsidR="00D74B1C" w:rsidRPr="00476E4B">
        <w:rPr>
          <w:rFonts w:eastAsiaTheme="minorEastAsia"/>
        </w:rPr>
        <w:t xml:space="preserve"> only </w:t>
      </w:r>
      <w:r w:rsidR="00D74B1C">
        <w:rPr>
          <w:rFonts w:eastAsiaTheme="minorEastAsia"/>
        </w:rPr>
        <w:t xml:space="preserve">index shifts or offsets are signaled in </w:t>
      </w:r>
      <w:r w:rsidR="00C67512">
        <w:rPr>
          <w:rFonts w:eastAsiaTheme="minorEastAsia"/>
        </w:rPr>
        <w:t>the switch</w:t>
      </w:r>
      <w:r w:rsidR="00D74B1C">
        <w:rPr>
          <w:rFonts w:eastAsiaTheme="minorEastAsia"/>
        </w:rPr>
        <w:t>in</w:t>
      </w:r>
      <w:r w:rsidR="00C67512">
        <w:rPr>
          <w:rFonts w:eastAsiaTheme="minorEastAsia"/>
        </w:rPr>
        <w:t xml:space="preserve">g DCI rather than explicit </w:t>
      </w:r>
      <w:r w:rsidR="00D74B1C">
        <w:rPr>
          <w:rFonts w:eastAsiaTheme="minorEastAsia"/>
        </w:rPr>
        <w:t>information. O</w:t>
      </w:r>
      <w:r w:rsidRPr="002F3B95">
        <w:rPr>
          <w:rFonts w:eastAsiaTheme="minorEastAsia"/>
        </w:rPr>
        <w:t>nce the receiving end detects the switch, the corresponding idle Aux-HARQ process is activated on CCy along with its receive FEC buffer</w:t>
      </w:r>
      <w:r>
        <w:rPr>
          <w:rFonts w:eastAsiaTheme="minorEastAsia"/>
        </w:rPr>
        <w:t>.</w:t>
      </w:r>
      <w:r w:rsidR="00524C4F">
        <w:rPr>
          <w:rFonts w:eastAsiaTheme="minorEastAsia"/>
        </w:rPr>
        <w:t xml:space="preserve"> We note that the </w:t>
      </w:r>
      <w:r w:rsidR="00524C4F">
        <w:rPr>
          <w:rFonts w:eastAsia="Malgun Gothic"/>
          <w:color w:val="000000" w:themeColor="text1"/>
          <w:lang w:eastAsia="ko-KR"/>
        </w:rPr>
        <w:t>p</w:t>
      </w:r>
      <w:r w:rsidR="00524C4F" w:rsidRPr="00E06EF2">
        <w:rPr>
          <w:rFonts w:eastAsia="Malgun Gothic"/>
          <w:color w:val="000000" w:themeColor="text1"/>
          <w:lang w:eastAsia="ko-KR"/>
        </w:rPr>
        <w:t xml:space="preserve">roposed </w:t>
      </w:r>
      <w:r w:rsidR="00524C4F">
        <w:rPr>
          <w:rFonts w:eastAsia="Malgun Gothic"/>
          <w:color w:val="000000" w:themeColor="text1"/>
          <w:lang w:eastAsia="ko-KR"/>
        </w:rPr>
        <w:t>mechanism</w:t>
      </w:r>
      <w:r w:rsidR="00524C4F" w:rsidRPr="00E06EF2">
        <w:rPr>
          <w:rFonts w:eastAsia="Malgun Gothic"/>
          <w:color w:val="000000" w:themeColor="text1"/>
          <w:lang w:eastAsia="ko-KR"/>
        </w:rPr>
        <w:t xml:space="preserve"> mainly relies on switching from one HARQ proces</w:t>
      </w:r>
      <w:r w:rsidR="00524C4F">
        <w:rPr>
          <w:rFonts w:eastAsia="Malgun Gothic"/>
          <w:color w:val="000000" w:themeColor="text1"/>
          <w:lang w:eastAsia="ko-KR"/>
        </w:rPr>
        <w:t xml:space="preserve">s to another on a different </w:t>
      </w:r>
      <w:r w:rsidR="00524C4F">
        <w:rPr>
          <w:rFonts w:eastAsia="Malgun Gothic"/>
          <w:color w:val="000000" w:themeColor="text1"/>
          <w:lang w:eastAsia="ko-KR"/>
        </w:rPr>
        <w:lastRenderedPageBreak/>
        <w:t xml:space="preserve">CC, and thus </w:t>
      </w:r>
      <w:r w:rsidR="00524C4F" w:rsidRPr="00E06EF2">
        <w:rPr>
          <w:rFonts w:eastAsia="Malgun Gothic"/>
          <w:color w:val="000000" w:themeColor="text1"/>
          <w:lang w:eastAsia="ko-KR"/>
        </w:rPr>
        <w:t xml:space="preserve">individual </w:t>
      </w:r>
      <w:r w:rsidR="00524C4F">
        <w:rPr>
          <w:rFonts w:eastAsia="Malgun Gothic"/>
          <w:color w:val="000000" w:themeColor="text1"/>
          <w:lang w:eastAsia="ko-KR"/>
        </w:rPr>
        <w:t>HARQ process management requires</w:t>
      </w:r>
      <w:r w:rsidR="00524C4F" w:rsidRPr="00E06EF2">
        <w:rPr>
          <w:rFonts w:eastAsia="Malgun Gothic"/>
          <w:color w:val="000000" w:themeColor="text1"/>
          <w:lang w:eastAsia="ko-KR"/>
        </w:rPr>
        <w:t xml:space="preserve"> </w:t>
      </w:r>
      <w:r w:rsidR="00524C4F">
        <w:rPr>
          <w:rFonts w:eastAsia="Malgun Gothic"/>
          <w:color w:val="000000" w:themeColor="text1"/>
          <w:lang w:eastAsia="ko-KR"/>
        </w:rPr>
        <w:t xml:space="preserve">minimal </w:t>
      </w:r>
      <w:r w:rsidR="00524C4F" w:rsidRPr="00E06EF2">
        <w:rPr>
          <w:rFonts w:eastAsia="Malgun Gothic"/>
          <w:color w:val="000000" w:themeColor="text1"/>
          <w:lang w:eastAsia="ko-KR"/>
        </w:rPr>
        <w:t xml:space="preserve">changes </w:t>
      </w:r>
      <w:r w:rsidR="00524C4F">
        <w:rPr>
          <w:rFonts w:eastAsia="Malgun Gothic"/>
          <w:color w:val="000000" w:themeColor="text1"/>
          <w:lang w:eastAsia="ko-KR"/>
        </w:rPr>
        <w:t xml:space="preserve">which are </w:t>
      </w:r>
      <w:r w:rsidR="00524C4F" w:rsidRPr="00E06EF2">
        <w:rPr>
          <w:rFonts w:eastAsia="Malgun Gothic"/>
          <w:color w:val="000000" w:themeColor="text1"/>
          <w:lang w:eastAsia="ko-KR"/>
        </w:rPr>
        <w:t xml:space="preserve">related to </w:t>
      </w:r>
      <w:r w:rsidR="00524C4F">
        <w:rPr>
          <w:rFonts w:eastAsia="Malgun Gothic"/>
          <w:color w:val="000000" w:themeColor="text1"/>
          <w:lang w:eastAsia="ko-KR"/>
        </w:rPr>
        <w:t xml:space="preserve">the event of detecting a cross-carrier </w:t>
      </w:r>
      <w:r w:rsidR="00524C4F" w:rsidRPr="00E06EF2">
        <w:rPr>
          <w:rFonts w:eastAsia="Malgun Gothic"/>
          <w:color w:val="000000" w:themeColor="text1"/>
          <w:lang w:eastAsia="ko-KR"/>
        </w:rPr>
        <w:t>switch.</w:t>
      </w:r>
    </w:p>
    <w:p w14:paraId="6D3469FE" w14:textId="00C7720E" w:rsidR="00452FA7" w:rsidRPr="00585316" w:rsidRDefault="00490B5D" w:rsidP="00EA51DE">
      <w:pPr>
        <w:spacing w:beforeLines="50" w:before="120"/>
        <w:jc w:val="both"/>
        <w:rPr>
          <w:rFonts w:eastAsiaTheme="minorEastAsia"/>
        </w:rPr>
      </w:pPr>
      <w:r>
        <w:rPr>
          <w:rFonts w:eastAsiaTheme="minorEastAsia"/>
        </w:rPr>
        <w:t xml:space="preserve">Based on </w:t>
      </w:r>
      <w:r w:rsidR="00FB2C76">
        <w:rPr>
          <w:rFonts w:eastAsiaTheme="minorEastAsia"/>
        </w:rPr>
        <w:t xml:space="preserve">the existing </w:t>
      </w:r>
      <w:r>
        <w:rPr>
          <w:rFonts w:eastAsiaTheme="minorEastAsia"/>
        </w:rPr>
        <w:t>support in LTE</w:t>
      </w:r>
      <w:r w:rsidR="00FB2C76">
        <w:rPr>
          <w:rFonts w:eastAsiaTheme="minorEastAsia"/>
        </w:rPr>
        <w:t>, Aux-HARQ retransmissions on CCy would be decoded independently from previous (re)transmissions on CCx. However, i</w:t>
      </w:r>
      <w:r w:rsidR="003A04AD">
        <w:rPr>
          <w:rFonts w:eastAsiaTheme="minorEastAsia"/>
        </w:rPr>
        <w:t xml:space="preserve">t worth noting that further performance gains </w:t>
      </w:r>
      <w:r w:rsidR="00C67512">
        <w:rPr>
          <w:rFonts w:eastAsiaTheme="minorEastAsia"/>
        </w:rPr>
        <w:t xml:space="preserve">can </w:t>
      </w:r>
      <w:r w:rsidR="003A04AD">
        <w:rPr>
          <w:rFonts w:eastAsiaTheme="minorEastAsia"/>
        </w:rPr>
        <w:t xml:space="preserve">be achieved if sharing of soft buffer information </w:t>
      </w:r>
      <w:r w:rsidR="00FB2C76">
        <w:rPr>
          <w:rFonts w:eastAsiaTheme="minorEastAsia"/>
        </w:rPr>
        <w:t xml:space="preserve">of the same TB </w:t>
      </w:r>
      <w:r w:rsidR="003A04AD">
        <w:rPr>
          <w:rFonts w:eastAsiaTheme="minorEastAsia"/>
        </w:rPr>
        <w:t>across HARQ entities</w:t>
      </w:r>
      <w:r w:rsidR="00FB2C76">
        <w:rPr>
          <w:rFonts w:eastAsiaTheme="minorEastAsia"/>
        </w:rPr>
        <w:t xml:space="preserve"> </w:t>
      </w:r>
      <w:r w:rsidR="003A04AD">
        <w:rPr>
          <w:rFonts w:eastAsiaTheme="minorEastAsia"/>
        </w:rPr>
        <w:t>is enabled in NR-U.</w:t>
      </w:r>
      <w:r w:rsidR="00FB2C76">
        <w:rPr>
          <w:rFonts w:eastAsiaTheme="minorEastAsia"/>
        </w:rPr>
        <w:t xml:space="preserve"> As such, </w:t>
      </w:r>
      <w:r w:rsidR="00FB2C76" w:rsidRPr="00FB2C76">
        <w:rPr>
          <w:rFonts w:eastAsiaTheme="minorEastAsia"/>
        </w:rPr>
        <w:t xml:space="preserve">NR-U should consider supporting </w:t>
      </w:r>
      <w:r w:rsidR="00C67512">
        <w:rPr>
          <w:rFonts w:eastAsiaTheme="minorEastAsia"/>
        </w:rPr>
        <w:t xml:space="preserve">the </w:t>
      </w:r>
      <w:r w:rsidR="00FB2C76" w:rsidRPr="00FB2C76">
        <w:rPr>
          <w:rFonts w:eastAsiaTheme="minorEastAsia"/>
        </w:rPr>
        <w:t xml:space="preserve">sharing </w:t>
      </w:r>
      <w:r w:rsidR="0013388A">
        <w:rPr>
          <w:rFonts w:eastAsiaTheme="minorEastAsia"/>
        </w:rPr>
        <w:t xml:space="preserve">of </w:t>
      </w:r>
      <w:r w:rsidR="00FB2C76" w:rsidRPr="00FB2C76">
        <w:rPr>
          <w:rFonts w:eastAsiaTheme="minorEastAsia"/>
        </w:rPr>
        <w:t xml:space="preserve">soft buffer information across HARQ entities </w:t>
      </w:r>
      <w:r w:rsidR="00FB2C76">
        <w:rPr>
          <w:rFonts w:eastAsiaTheme="minorEastAsia"/>
        </w:rPr>
        <w:t xml:space="preserve">given the increased motivation for cross-carrier HARQ retransmissions. </w:t>
      </w:r>
    </w:p>
    <w:p w14:paraId="0C5DE75A" w14:textId="0C7A29A6" w:rsidR="003A04AD" w:rsidRDefault="00CB0E6E" w:rsidP="00EA51DE">
      <w:pPr>
        <w:spacing w:beforeLines="50" w:before="120"/>
        <w:jc w:val="both"/>
        <w:rPr>
          <w:rFonts w:eastAsiaTheme="minorEastAsia"/>
        </w:rPr>
      </w:pPr>
      <w:r>
        <w:rPr>
          <w:b/>
          <w:i/>
          <w:kern w:val="2"/>
          <w:lang w:eastAsia="zh-CN"/>
        </w:rPr>
        <w:t xml:space="preserve">Proposal </w:t>
      </w:r>
      <w:r w:rsidR="002A53D8">
        <w:rPr>
          <w:b/>
          <w:i/>
          <w:kern w:val="2"/>
          <w:lang w:eastAsia="zh-CN"/>
        </w:rPr>
        <w:t>8</w:t>
      </w:r>
      <w:r w:rsidR="00490B5D">
        <w:rPr>
          <w:b/>
          <w:i/>
          <w:kern w:val="2"/>
          <w:lang w:eastAsia="zh-CN"/>
        </w:rPr>
        <w:t>:</w:t>
      </w:r>
      <w:r w:rsidR="00490B5D" w:rsidRPr="00FE55C3">
        <w:rPr>
          <w:b/>
          <w:i/>
          <w:kern w:val="2"/>
          <w:lang w:eastAsia="zh-CN"/>
        </w:rPr>
        <w:t xml:space="preserve"> </w:t>
      </w:r>
      <w:r w:rsidR="00490B5D">
        <w:rPr>
          <w:b/>
          <w:i/>
          <w:kern w:val="2"/>
          <w:lang w:eastAsia="zh-CN"/>
        </w:rPr>
        <w:t>NR-U should consider supporting sharing soft buffer information across HARQ entities to further enhance the potential gains of cross-carrier HARQ retransmissions.</w:t>
      </w:r>
      <w:r w:rsidR="003A04AD">
        <w:rPr>
          <w:rFonts w:eastAsiaTheme="minorEastAsia"/>
        </w:rPr>
        <w:t xml:space="preserve"> </w:t>
      </w:r>
    </w:p>
    <w:p w14:paraId="30E2C022" w14:textId="77777777" w:rsidR="00157FC3" w:rsidRPr="00CF195E" w:rsidRDefault="00747F48" w:rsidP="00EA51DE">
      <w:pPr>
        <w:pStyle w:val="Heading1"/>
        <w:tabs>
          <w:tab w:val="clear" w:pos="3125"/>
          <w:tab w:val="num" w:pos="567"/>
        </w:tabs>
        <w:spacing w:beforeLines="50"/>
        <w:ind w:hanging="3125"/>
        <w:jc w:val="both"/>
      </w:pPr>
      <w:r w:rsidRPr="00CF195E">
        <w:t>Conclusion</w:t>
      </w:r>
      <w:r w:rsidR="006B1FD5" w:rsidRPr="00CF195E">
        <w:t>s</w:t>
      </w:r>
    </w:p>
    <w:p w14:paraId="05F1B74A" w14:textId="720B3820" w:rsidR="002E2882" w:rsidRDefault="00F54C00" w:rsidP="00EA51DE">
      <w:pPr>
        <w:spacing w:beforeLines="50" w:before="120"/>
        <w:jc w:val="both"/>
      </w:pPr>
      <w:r>
        <w:rPr>
          <w:kern w:val="2"/>
          <w:lang w:eastAsia="zh-CN"/>
        </w:rPr>
        <w:t xml:space="preserve">We </w:t>
      </w:r>
      <w:r w:rsidR="0049616D">
        <w:rPr>
          <w:kern w:val="2"/>
          <w:lang w:eastAsia="zh-CN"/>
        </w:rPr>
        <w:t>discuss HARQ enhancements in NR-U through enhanced HARQ</w:t>
      </w:r>
      <w:r w:rsidR="00E80061">
        <w:rPr>
          <w:kern w:val="2"/>
          <w:lang w:eastAsia="zh-CN"/>
        </w:rPr>
        <w:t>-ACK</w:t>
      </w:r>
      <w:r w:rsidR="0049616D">
        <w:rPr>
          <w:kern w:val="2"/>
          <w:lang w:eastAsia="zh-CN"/>
        </w:rPr>
        <w:t xml:space="preserve"> feedback mechanisms </w:t>
      </w:r>
      <w:r w:rsidR="009F3A14">
        <w:rPr>
          <w:kern w:val="2"/>
          <w:lang w:eastAsia="zh-CN"/>
        </w:rPr>
        <w:t xml:space="preserve">supporting cross-COT HARQ-ACK feedback, </w:t>
      </w:r>
      <w:r w:rsidR="0049616D">
        <w:rPr>
          <w:kern w:val="2"/>
          <w:lang w:eastAsia="zh-CN"/>
        </w:rPr>
        <w:t>multiple HARQ</w:t>
      </w:r>
      <w:r w:rsidR="00E80061">
        <w:rPr>
          <w:kern w:val="2"/>
          <w:lang w:eastAsia="zh-CN"/>
        </w:rPr>
        <w:t>-ACK</w:t>
      </w:r>
      <w:r w:rsidR="0049616D">
        <w:rPr>
          <w:kern w:val="2"/>
          <w:lang w:eastAsia="zh-CN"/>
        </w:rPr>
        <w:t xml:space="preserve"> feedback opportunities in both </w:t>
      </w:r>
      <w:r w:rsidR="0049616D">
        <w:t>time and frequency domains</w:t>
      </w:r>
      <w:r w:rsidR="00031201">
        <w:t>,</w:t>
      </w:r>
      <w:r w:rsidR="009F3A14">
        <w:t xml:space="preserve"> and cross-carrier HARQ retransmission</w:t>
      </w:r>
      <w:r w:rsidR="0049616D">
        <w:t>.</w:t>
      </w:r>
      <w:r w:rsidR="0049616D">
        <w:rPr>
          <w:rFonts w:eastAsia="MS Mincho" w:hint="eastAsia"/>
          <w:lang w:eastAsia="ja-JP"/>
        </w:rPr>
        <w:t xml:space="preserve"> </w:t>
      </w:r>
      <w:r>
        <w:t>The following observations and proposals were made:</w:t>
      </w:r>
    </w:p>
    <w:p w14:paraId="3DAF555B" w14:textId="1304E6E3" w:rsidR="00CD2644" w:rsidRPr="00E80061" w:rsidRDefault="00CD2644" w:rsidP="00CA37BE">
      <w:pPr>
        <w:spacing w:beforeLines="100" w:before="240"/>
        <w:jc w:val="both"/>
        <w:rPr>
          <w:rFonts w:eastAsia="MS Mincho"/>
          <w:lang w:eastAsia="ja-JP"/>
        </w:rPr>
      </w:pPr>
      <w:r>
        <w:t>For the cross-COT HARQ feedback:</w:t>
      </w:r>
    </w:p>
    <w:p w14:paraId="05A55780" w14:textId="77777777" w:rsidR="006650C1" w:rsidRPr="00FC3791" w:rsidRDefault="006650C1" w:rsidP="006650C1">
      <w:pPr>
        <w:spacing w:beforeLines="50" w:before="120"/>
        <w:jc w:val="both"/>
        <w:rPr>
          <w:b/>
          <w:i/>
          <w:kern w:val="2"/>
          <w:lang w:eastAsia="zh-CN"/>
        </w:rPr>
      </w:pPr>
      <w:r w:rsidRPr="00FC3791">
        <w:rPr>
          <w:b/>
          <w:i/>
          <w:kern w:val="2"/>
          <w:lang w:eastAsia="zh-CN"/>
        </w:rPr>
        <w:t>Proposal 1:  For the cross-COT HARQ-ACK feedback:</w:t>
      </w:r>
    </w:p>
    <w:p w14:paraId="331A6D04" w14:textId="77777777" w:rsidR="006650C1" w:rsidRPr="00FC3791" w:rsidRDefault="006650C1" w:rsidP="006650C1">
      <w:pPr>
        <w:numPr>
          <w:ilvl w:val="0"/>
          <w:numId w:val="41"/>
        </w:numPr>
        <w:spacing w:beforeLines="50" w:before="120"/>
        <w:jc w:val="both"/>
        <w:rPr>
          <w:b/>
          <w:i/>
          <w:kern w:val="2"/>
          <w:lang w:eastAsia="zh-CN"/>
        </w:rPr>
      </w:pPr>
      <w:r w:rsidRPr="00FC3791">
        <w:rPr>
          <w:b/>
          <w:i/>
          <w:kern w:val="2"/>
          <w:lang w:eastAsia="zh-CN"/>
        </w:rPr>
        <w:t>A new field in the DCI is used to trigger the UE to report feedback for unacknowledged PDSCHs from earlier COT(s).</w:t>
      </w:r>
    </w:p>
    <w:p w14:paraId="17D5100B" w14:textId="77777777" w:rsidR="006650C1" w:rsidRPr="00FC3791" w:rsidRDefault="006650C1" w:rsidP="006650C1">
      <w:pPr>
        <w:numPr>
          <w:ilvl w:val="0"/>
          <w:numId w:val="41"/>
        </w:numPr>
        <w:spacing w:beforeLines="50" w:before="120"/>
        <w:jc w:val="both"/>
        <w:rPr>
          <w:b/>
          <w:i/>
          <w:kern w:val="2"/>
          <w:lang w:eastAsia="zh-CN"/>
        </w:rPr>
      </w:pPr>
      <w:r w:rsidRPr="00FC3791">
        <w:rPr>
          <w:b/>
          <w:i/>
          <w:kern w:val="2"/>
          <w:lang w:eastAsia="zh-CN"/>
        </w:rPr>
        <w:t>The PDSCH-to-HARQ-timing-indicator indicates that HARQ-ACK feedback for a PDSCH is not to be transmitted in the current COT.</w:t>
      </w:r>
    </w:p>
    <w:p w14:paraId="3E1A4FAF" w14:textId="5606E3EF" w:rsidR="00CD2644" w:rsidRPr="00CA37BE" w:rsidRDefault="00CD2644" w:rsidP="00CA37BE">
      <w:pPr>
        <w:spacing w:beforeLines="100" w:before="240"/>
        <w:jc w:val="both"/>
        <w:rPr>
          <w:rFonts w:eastAsia="MS Mincho"/>
          <w:lang w:eastAsia="ja-JP"/>
        </w:rPr>
      </w:pPr>
      <w:r>
        <w:t xml:space="preserve">For multiple </w:t>
      </w:r>
      <w:r w:rsidRPr="00CD2644">
        <w:t>HARQ-ACK feedback Opportunities</w:t>
      </w:r>
      <w:r>
        <w:t>:</w:t>
      </w:r>
    </w:p>
    <w:p w14:paraId="5E720A19" w14:textId="77777777" w:rsidR="006650C1" w:rsidRPr="00325706" w:rsidRDefault="006650C1" w:rsidP="006650C1">
      <w:pPr>
        <w:spacing w:beforeLines="50" w:before="120"/>
        <w:jc w:val="both"/>
        <w:rPr>
          <w:b/>
          <w:i/>
          <w:kern w:val="2"/>
          <w:lang w:eastAsia="zh-CN"/>
        </w:rPr>
      </w:pPr>
      <w:r w:rsidRPr="00325706">
        <w:rPr>
          <w:b/>
          <w:i/>
          <w:kern w:val="2"/>
          <w:lang w:eastAsia="zh-CN"/>
        </w:rPr>
        <w:t xml:space="preserve">Proposal </w:t>
      </w:r>
      <w:r>
        <w:rPr>
          <w:b/>
          <w:i/>
          <w:kern w:val="2"/>
          <w:lang w:eastAsia="zh-CN"/>
        </w:rPr>
        <w:t>2</w:t>
      </w:r>
      <w:r w:rsidRPr="00325706">
        <w:rPr>
          <w:b/>
          <w:i/>
          <w:kern w:val="2"/>
          <w:lang w:eastAsia="zh-CN"/>
        </w:rPr>
        <w:t>: Multiple opportunities in time domain for HARQ-ACK feedback of one HARQ process should be supported in NR-U, and the following two options should be further studied.</w:t>
      </w:r>
    </w:p>
    <w:p w14:paraId="57FA5C30" w14:textId="77777777" w:rsidR="006650C1" w:rsidRDefault="006650C1" w:rsidP="006650C1">
      <w:pPr>
        <w:numPr>
          <w:ilvl w:val="0"/>
          <w:numId w:val="41"/>
        </w:numPr>
        <w:spacing w:beforeLines="50" w:before="120"/>
        <w:jc w:val="both"/>
        <w:rPr>
          <w:b/>
          <w:i/>
          <w:kern w:val="2"/>
          <w:lang w:eastAsia="zh-CN"/>
        </w:rPr>
      </w:pPr>
      <w:r w:rsidRPr="00325706">
        <w:rPr>
          <w:b/>
          <w:i/>
          <w:kern w:val="2"/>
          <w:lang w:eastAsia="zh-CN"/>
        </w:rPr>
        <w:t>The PDSCH-to-HARQ-timing-indicator can provide a set of slots in which the PUCCH can be transmitted.</w:t>
      </w:r>
    </w:p>
    <w:p w14:paraId="3AAF87FC" w14:textId="77777777" w:rsidR="006650C1" w:rsidRPr="00325706" w:rsidRDefault="006650C1" w:rsidP="006650C1">
      <w:pPr>
        <w:numPr>
          <w:ilvl w:val="0"/>
          <w:numId w:val="41"/>
        </w:numPr>
        <w:spacing w:beforeLines="50" w:before="120"/>
        <w:jc w:val="both"/>
        <w:rPr>
          <w:b/>
          <w:i/>
          <w:kern w:val="2"/>
          <w:lang w:eastAsia="zh-CN"/>
        </w:rPr>
      </w:pPr>
      <w:r w:rsidRPr="00EF5EDA">
        <w:rPr>
          <w:b/>
          <w:i/>
          <w:kern w:val="2"/>
          <w:lang w:eastAsia="zh-CN"/>
        </w:rPr>
        <w:t>One slot for PUCCH transmission is indicated in the PDCCH when supplementary transmission of UCI is scheduled together with the following UCI</w:t>
      </w:r>
      <w:r>
        <w:rPr>
          <w:b/>
          <w:i/>
          <w:kern w:val="2"/>
          <w:lang w:eastAsia="zh-CN"/>
        </w:rPr>
        <w:t>.</w:t>
      </w:r>
    </w:p>
    <w:p w14:paraId="1AE3B81E" w14:textId="77777777" w:rsidR="006650C1" w:rsidRDefault="006650C1" w:rsidP="006650C1">
      <w:pPr>
        <w:spacing w:beforeLines="50" w:before="120"/>
        <w:jc w:val="both"/>
        <w:rPr>
          <w:b/>
          <w:i/>
          <w:kern w:val="2"/>
          <w:lang w:eastAsia="zh-CN"/>
        </w:rPr>
      </w:pPr>
      <w:r>
        <w:rPr>
          <w:b/>
          <w:i/>
          <w:kern w:val="2"/>
          <w:lang w:eastAsia="zh-CN"/>
        </w:rPr>
        <w:t>Proposal 3:</w:t>
      </w:r>
      <w:r w:rsidRPr="00FE55C3">
        <w:rPr>
          <w:b/>
          <w:i/>
          <w:kern w:val="2"/>
          <w:lang w:eastAsia="zh-CN"/>
        </w:rPr>
        <w:t xml:space="preserve"> </w:t>
      </w:r>
      <w:r>
        <w:rPr>
          <w:b/>
          <w:i/>
          <w:kern w:val="2"/>
          <w:lang w:eastAsia="zh-CN"/>
        </w:rPr>
        <w:t xml:space="preserve">When UE is configured with a wideband BWP, the associated PUCCH Resource Sets should be </w:t>
      </w:r>
      <w:r w:rsidRPr="00BF4A02">
        <w:rPr>
          <w:b/>
          <w:i/>
          <w:kern w:val="2"/>
          <w:lang w:eastAsia="zh-CN"/>
        </w:rPr>
        <w:t xml:space="preserve">distributed across </w:t>
      </w:r>
      <w:r>
        <w:rPr>
          <w:b/>
          <w:i/>
          <w:kern w:val="2"/>
          <w:lang w:eastAsia="zh-CN"/>
        </w:rPr>
        <w:t xml:space="preserve">all </w:t>
      </w:r>
      <w:r w:rsidRPr="00BF4A02">
        <w:rPr>
          <w:b/>
          <w:i/>
          <w:kern w:val="2"/>
          <w:lang w:eastAsia="zh-CN"/>
        </w:rPr>
        <w:t xml:space="preserve">the </w:t>
      </w:r>
      <w:r>
        <w:rPr>
          <w:b/>
          <w:i/>
          <w:kern w:val="2"/>
          <w:lang w:eastAsia="zh-CN"/>
        </w:rPr>
        <w:t>20 MHz subbands</w:t>
      </w:r>
      <w:r w:rsidRPr="00BF4A02">
        <w:rPr>
          <w:b/>
          <w:i/>
          <w:kern w:val="2"/>
          <w:lang w:eastAsia="zh-CN"/>
        </w:rPr>
        <w:t xml:space="preserve"> of the wideband </w:t>
      </w:r>
      <w:r>
        <w:rPr>
          <w:b/>
          <w:i/>
          <w:kern w:val="2"/>
          <w:lang w:eastAsia="zh-CN"/>
        </w:rPr>
        <w:t>BWP.</w:t>
      </w:r>
    </w:p>
    <w:p w14:paraId="2D1B1564" w14:textId="77777777" w:rsidR="006650C1" w:rsidRDefault="006650C1" w:rsidP="006650C1">
      <w:pPr>
        <w:spacing w:beforeLines="50" w:before="120"/>
        <w:jc w:val="both"/>
        <w:rPr>
          <w:b/>
          <w:i/>
          <w:kern w:val="2"/>
          <w:lang w:eastAsia="zh-CN"/>
        </w:rPr>
      </w:pPr>
      <w:r>
        <w:rPr>
          <w:b/>
          <w:i/>
          <w:kern w:val="2"/>
          <w:lang w:eastAsia="zh-CN"/>
        </w:rPr>
        <w:t>Proposal 4:</w:t>
      </w:r>
      <w:r w:rsidRPr="00FE55C3">
        <w:rPr>
          <w:b/>
          <w:i/>
          <w:kern w:val="2"/>
          <w:lang w:eastAsia="zh-CN"/>
        </w:rPr>
        <w:t xml:space="preserve"> </w:t>
      </w:r>
      <w:r>
        <w:rPr>
          <w:b/>
          <w:i/>
          <w:kern w:val="2"/>
          <w:lang w:eastAsia="zh-CN"/>
        </w:rPr>
        <w:t>R</w:t>
      </w:r>
      <w:r w:rsidRPr="00E37850">
        <w:rPr>
          <w:b/>
          <w:i/>
          <w:kern w:val="2"/>
          <w:lang w:eastAsia="zh-CN"/>
        </w:rPr>
        <w:t xml:space="preserve">esource allocation </w:t>
      </w:r>
      <w:r>
        <w:rPr>
          <w:b/>
          <w:i/>
          <w:kern w:val="2"/>
          <w:lang w:eastAsia="zh-CN"/>
        </w:rPr>
        <w:t xml:space="preserve">of PUCCH carrying HARQ-ACK feedback of one HARQ Process </w:t>
      </w:r>
      <w:r w:rsidRPr="00E37850">
        <w:rPr>
          <w:b/>
          <w:i/>
          <w:kern w:val="2"/>
          <w:lang w:eastAsia="zh-CN"/>
        </w:rPr>
        <w:t>in NR-U</w:t>
      </w:r>
      <w:r>
        <w:rPr>
          <w:b/>
          <w:i/>
          <w:kern w:val="2"/>
          <w:lang w:eastAsia="zh-CN"/>
        </w:rPr>
        <w:t xml:space="preserve"> can provide a set of frequency-domain resources in which the HARQ-ACK feedback can be transmitted based on LBT results.</w:t>
      </w:r>
    </w:p>
    <w:p w14:paraId="0310638A" w14:textId="77777777" w:rsidR="006650C1" w:rsidRPr="00EA51DE" w:rsidRDefault="006650C1" w:rsidP="006650C1">
      <w:pPr>
        <w:spacing w:beforeLines="50" w:before="120"/>
        <w:jc w:val="both"/>
        <w:rPr>
          <w:b/>
          <w:i/>
          <w:kern w:val="2"/>
          <w:lang w:eastAsia="zh-CN"/>
        </w:rPr>
      </w:pPr>
      <w:r>
        <w:rPr>
          <w:b/>
          <w:i/>
          <w:kern w:val="2"/>
          <w:lang w:eastAsia="zh-CN"/>
        </w:rPr>
        <w:t>Proposal 5:</w:t>
      </w:r>
      <w:r w:rsidRPr="00FE55C3">
        <w:rPr>
          <w:b/>
          <w:i/>
          <w:kern w:val="2"/>
          <w:lang w:eastAsia="zh-CN"/>
        </w:rPr>
        <w:t xml:space="preserve"> </w:t>
      </w:r>
      <w:r>
        <w:rPr>
          <w:b/>
          <w:i/>
          <w:kern w:val="2"/>
          <w:lang w:eastAsia="zh-CN"/>
        </w:rPr>
        <w:t>UEs configured with the same PUCCH resource can be assigned different access priorities/starting positions to improve the resource utilization.</w:t>
      </w:r>
    </w:p>
    <w:p w14:paraId="616323C2" w14:textId="066A1DE1" w:rsidR="00CD2644" w:rsidRPr="00CA37BE" w:rsidRDefault="00CD2644" w:rsidP="00CA37BE">
      <w:pPr>
        <w:spacing w:beforeLines="100" w:before="240"/>
        <w:jc w:val="both"/>
      </w:pPr>
      <w:r w:rsidRPr="00CA37BE">
        <w:t>For HARQ-ACK codebook size determination:</w:t>
      </w:r>
    </w:p>
    <w:p w14:paraId="34BA759B" w14:textId="77777777" w:rsidR="006650C1" w:rsidRDefault="006650C1" w:rsidP="006650C1">
      <w:pPr>
        <w:spacing w:beforeLines="50" w:before="120"/>
        <w:jc w:val="both"/>
        <w:rPr>
          <w:b/>
          <w:i/>
          <w:kern w:val="2"/>
          <w:lang w:eastAsia="zh-CN"/>
        </w:rPr>
      </w:pPr>
      <w:r>
        <w:rPr>
          <w:b/>
          <w:i/>
          <w:kern w:val="2"/>
          <w:lang w:eastAsia="zh-CN"/>
        </w:rPr>
        <w:t>Observation 1</w:t>
      </w:r>
      <w:r w:rsidRPr="00325706">
        <w:rPr>
          <w:b/>
          <w:i/>
          <w:kern w:val="2"/>
          <w:lang w:eastAsia="zh-CN"/>
        </w:rPr>
        <w:t>:</w:t>
      </w:r>
      <w:r>
        <w:rPr>
          <w:b/>
          <w:i/>
          <w:kern w:val="2"/>
          <w:lang w:eastAsia="zh-CN"/>
        </w:rPr>
        <w:t xml:space="preserve"> </w:t>
      </w:r>
      <w:r w:rsidRPr="00CD2644">
        <w:rPr>
          <w:b/>
          <w:i/>
          <w:kern w:val="2"/>
          <w:lang w:eastAsia="zh-CN"/>
        </w:rPr>
        <w:t>DAI mechanism is not sufficient to indicate whether the previous HARQ-ACK feedback is successfully detected or not.</w:t>
      </w:r>
    </w:p>
    <w:p w14:paraId="54897D31" w14:textId="77777777" w:rsidR="006650C1" w:rsidRDefault="006650C1" w:rsidP="006650C1">
      <w:pPr>
        <w:spacing w:beforeLines="50" w:before="120"/>
        <w:jc w:val="both"/>
        <w:rPr>
          <w:kern w:val="2"/>
          <w:lang w:eastAsia="zh-CN"/>
        </w:rPr>
      </w:pPr>
      <w:r>
        <w:rPr>
          <w:b/>
          <w:i/>
          <w:kern w:val="2"/>
          <w:lang w:eastAsia="zh-CN"/>
        </w:rPr>
        <w:t xml:space="preserve">Observation 2: Just indicating </w:t>
      </w:r>
      <w:r w:rsidRPr="00CD2644">
        <w:rPr>
          <w:b/>
          <w:i/>
          <w:kern w:val="2"/>
          <w:lang w:eastAsia="zh-CN"/>
        </w:rPr>
        <w:t>whether the previous HARQ-ACK feedback is successfully detected or not</w:t>
      </w:r>
      <w:r>
        <w:rPr>
          <w:b/>
          <w:i/>
          <w:kern w:val="2"/>
          <w:lang w:eastAsia="zh-CN"/>
        </w:rPr>
        <w:t xml:space="preserve"> is not sufficient for </w:t>
      </w:r>
      <w:r w:rsidRPr="00CD2644">
        <w:rPr>
          <w:b/>
          <w:i/>
          <w:kern w:val="2"/>
          <w:lang w:eastAsia="zh-CN"/>
        </w:rPr>
        <w:t>HARQ-ACK codebook size determination</w:t>
      </w:r>
      <w:r>
        <w:rPr>
          <w:b/>
          <w:i/>
          <w:kern w:val="2"/>
          <w:lang w:eastAsia="zh-CN"/>
        </w:rPr>
        <w:t xml:space="preserve">. </w:t>
      </w:r>
    </w:p>
    <w:p w14:paraId="0B43295D" w14:textId="77777777" w:rsidR="006650C1" w:rsidRDefault="006650C1" w:rsidP="006650C1">
      <w:pPr>
        <w:spacing w:beforeLines="50" w:before="120"/>
        <w:jc w:val="both"/>
        <w:rPr>
          <w:rFonts w:eastAsia="Calibri"/>
          <w:b/>
          <w:i/>
          <w:lang w:eastAsia="sv-SE"/>
        </w:rPr>
      </w:pPr>
      <w:r w:rsidRPr="00325706">
        <w:rPr>
          <w:rFonts w:eastAsia="Calibri"/>
          <w:b/>
          <w:i/>
          <w:lang w:eastAsia="sv-SE"/>
        </w:rPr>
        <w:t xml:space="preserve">Proposal </w:t>
      </w:r>
      <w:r>
        <w:rPr>
          <w:rFonts w:eastAsia="Calibri"/>
          <w:b/>
          <w:i/>
          <w:lang w:eastAsia="sv-SE"/>
        </w:rPr>
        <w:t>6</w:t>
      </w:r>
      <w:r w:rsidRPr="00325706">
        <w:rPr>
          <w:rFonts w:eastAsia="Calibri"/>
          <w:b/>
          <w:i/>
          <w:lang w:eastAsia="sv-SE"/>
        </w:rPr>
        <w:t xml:space="preserve">: </w:t>
      </w:r>
      <w:r>
        <w:rPr>
          <w:rFonts w:eastAsia="Calibri"/>
          <w:b/>
          <w:i/>
          <w:lang w:eastAsia="sv-SE"/>
        </w:rPr>
        <w:t xml:space="preserve">For dynamic HARQ-ACK </w:t>
      </w:r>
      <w:r>
        <w:rPr>
          <w:rFonts w:eastAsia="Calibri" w:hint="eastAsia"/>
          <w:b/>
          <w:i/>
          <w:lang w:eastAsia="zh-CN"/>
        </w:rPr>
        <w:t>codebook determination</w:t>
      </w:r>
      <w:r>
        <w:rPr>
          <w:rFonts w:eastAsia="Calibri"/>
          <w:b/>
          <w:i/>
          <w:lang w:eastAsia="zh-CN"/>
        </w:rPr>
        <w:t>:</w:t>
      </w:r>
    </w:p>
    <w:p w14:paraId="2A968A36" w14:textId="77777777" w:rsidR="006650C1" w:rsidRPr="006A5ADA" w:rsidRDefault="006650C1" w:rsidP="006650C1">
      <w:pPr>
        <w:pStyle w:val="ListParagraph"/>
        <w:numPr>
          <w:ilvl w:val="1"/>
          <w:numId w:val="73"/>
        </w:numPr>
        <w:spacing w:beforeLines="50" w:before="120"/>
        <w:jc w:val="both"/>
        <w:rPr>
          <w:rFonts w:eastAsia="Calibri"/>
          <w:b/>
          <w:i/>
          <w:lang w:eastAsia="sv-SE"/>
        </w:rPr>
      </w:pPr>
      <w:r>
        <w:rPr>
          <w:rFonts w:eastAsia="Calibri"/>
          <w:b/>
          <w:i/>
          <w:sz w:val="22"/>
          <w:szCs w:val="22"/>
        </w:rPr>
        <w:t>N</w:t>
      </w:r>
      <w:r w:rsidRPr="006A5ADA">
        <w:rPr>
          <w:rFonts w:eastAsia="Calibri"/>
          <w:b/>
          <w:i/>
          <w:sz w:val="22"/>
          <w:szCs w:val="22"/>
        </w:rPr>
        <w:t xml:space="preserve">ew DCI field could be introduced to indicate </w:t>
      </w:r>
      <w:r>
        <w:rPr>
          <w:rFonts w:eastAsia="Calibri"/>
          <w:b/>
          <w:i/>
          <w:sz w:val="22"/>
          <w:szCs w:val="22"/>
        </w:rPr>
        <w:t xml:space="preserve">the </w:t>
      </w:r>
      <w:r w:rsidRPr="003C5E06">
        <w:rPr>
          <w:rFonts w:eastAsia="Calibri"/>
          <w:b/>
          <w:i/>
          <w:sz w:val="22"/>
          <w:szCs w:val="22"/>
        </w:rPr>
        <w:t>PDSCH set</w:t>
      </w:r>
      <w:r>
        <w:rPr>
          <w:rFonts w:eastAsia="Calibri"/>
          <w:b/>
          <w:i/>
          <w:sz w:val="22"/>
          <w:szCs w:val="22"/>
        </w:rPr>
        <w:t xml:space="preserve"> ID and </w:t>
      </w:r>
      <w:r w:rsidRPr="006A5ADA">
        <w:rPr>
          <w:rFonts w:eastAsia="Calibri"/>
          <w:b/>
          <w:i/>
          <w:sz w:val="22"/>
          <w:szCs w:val="22"/>
        </w:rPr>
        <w:t xml:space="preserve">the number of PDSCH set(s) for which the </w:t>
      </w:r>
      <w:r w:rsidRPr="006A5ADA">
        <w:rPr>
          <w:rFonts w:eastAsia="Calibri"/>
          <w:b/>
          <w:i/>
          <w:sz w:val="22"/>
          <w:szCs w:val="22"/>
          <w:lang w:eastAsia="sv-SE"/>
        </w:rPr>
        <w:t>HARQ-ACK feedback should be reported</w:t>
      </w:r>
      <w:r>
        <w:rPr>
          <w:rFonts w:eastAsia="Calibri"/>
          <w:b/>
          <w:i/>
          <w:sz w:val="22"/>
          <w:szCs w:val="22"/>
          <w:lang w:eastAsia="sv-SE"/>
        </w:rPr>
        <w:t>.</w:t>
      </w:r>
    </w:p>
    <w:p w14:paraId="6C4100A6" w14:textId="77777777" w:rsidR="006650C1" w:rsidRPr="006A5ADA" w:rsidRDefault="006650C1" w:rsidP="006650C1">
      <w:pPr>
        <w:pStyle w:val="ListParagraph"/>
        <w:numPr>
          <w:ilvl w:val="1"/>
          <w:numId w:val="73"/>
        </w:numPr>
        <w:spacing w:beforeLines="50" w:before="120"/>
        <w:jc w:val="both"/>
        <w:rPr>
          <w:rFonts w:eastAsiaTheme="minorEastAsia"/>
        </w:rPr>
      </w:pPr>
      <w:r w:rsidRPr="006A5ADA">
        <w:rPr>
          <w:rFonts w:eastAsia="Calibri"/>
          <w:b/>
          <w:i/>
          <w:sz w:val="22"/>
          <w:szCs w:val="22"/>
          <w:lang w:eastAsia="sv-SE"/>
        </w:rPr>
        <w:t xml:space="preserve">The total DAI should </w:t>
      </w:r>
      <w:r>
        <w:rPr>
          <w:rFonts w:eastAsia="Calibri"/>
          <w:b/>
          <w:i/>
          <w:sz w:val="22"/>
          <w:szCs w:val="22"/>
          <w:lang w:eastAsia="sv-SE"/>
        </w:rPr>
        <w:t>include</w:t>
      </w:r>
      <w:r w:rsidRPr="006A5ADA">
        <w:rPr>
          <w:rFonts w:eastAsia="Calibri"/>
          <w:b/>
          <w:i/>
          <w:sz w:val="22"/>
          <w:szCs w:val="22"/>
          <w:lang w:eastAsia="sv-SE"/>
        </w:rPr>
        <w:t xml:space="preserve"> the accumulated </w:t>
      </w:r>
      <w:r>
        <w:rPr>
          <w:rFonts w:eastAsia="Calibri"/>
          <w:b/>
          <w:i/>
          <w:sz w:val="22"/>
          <w:szCs w:val="22"/>
          <w:lang w:eastAsia="sv-SE"/>
        </w:rPr>
        <w:t xml:space="preserve">number of </w:t>
      </w:r>
      <w:r w:rsidRPr="006A5ADA">
        <w:rPr>
          <w:rFonts w:eastAsia="Calibri"/>
          <w:b/>
          <w:i/>
          <w:sz w:val="22"/>
          <w:szCs w:val="22"/>
          <w:lang w:eastAsia="sv-SE"/>
        </w:rPr>
        <w:t>unacknowledged PDSCH(s)</w:t>
      </w:r>
      <w:r>
        <w:rPr>
          <w:rFonts w:eastAsia="Calibri"/>
          <w:b/>
          <w:i/>
          <w:sz w:val="22"/>
          <w:szCs w:val="22"/>
          <w:lang w:eastAsia="sv-SE"/>
        </w:rPr>
        <w:t>.</w:t>
      </w:r>
    </w:p>
    <w:p w14:paraId="2485748A" w14:textId="2EE49CAE" w:rsidR="00CD2644" w:rsidRPr="00CA37BE" w:rsidRDefault="00CD2644" w:rsidP="00CA37BE">
      <w:pPr>
        <w:spacing w:beforeLines="100" w:before="240"/>
        <w:jc w:val="both"/>
      </w:pPr>
      <w:r w:rsidRPr="00CA37BE">
        <w:lastRenderedPageBreak/>
        <w:t>For cross-carrier HARQ retransmission:</w:t>
      </w:r>
    </w:p>
    <w:p w14:paraId="624BD606" w14:textId="77777777" w:rsidR="006650C1" w:rsidRDefault="006650C1" w:rsidP="006650C1">
      <w:pPr>
        <w:spacing w:beforeLines="50" w:before="120"/>
        <w:jc w:val="both"/>
        <w:rPr>
          <w:rFonts w:eastAsiaTheme="minorEastAsia"/>
        </w:rPr>
      </w:pPr>
      <w:r>
        <w:rPr>
          <w:b/>
          <w:i/>
          <w:kern w:val="2"/>
          <w:lang w:eastAsia="zh-CN"/>
        </w:rPr>
        <w:t>Proposal 7:</w:t>
      </w:r>
      <w:r w:rsidRPr="00FE55C3">
        <w:rPr>
          <w:b/>
          <w:i/>
          <w:kern w:val="2"/>
          <w:lang w:eastAsia="zh-CN"/>
        </w:rPr>
        <w:t xml:space="preserve"> </w:t>
      </w:r>
      <w:r>
        <w:rPr>
          <w:b/>
          <w:i/>
          <w:kern w:val="2"/>
          <w:lang w:eastAsia="zh-CN"/>
        </w:rPr>
        <w:t xml:space="preserve">Cross-carrier HARQ retransmissions should be considered in NR-U especially when </w:t>
      </w:r>
      <w:r w:rsidRPr="00730D60">
        <w:rPr>
          <w:b/>
          <w:i/>
          <w:kern w:val="2"/>
          <w:lang w:eastAsia="zh-CN"/>
        </w:rPr>
        <w:t>rescheduling of blocked/delayed HARQ re</w:t>
      </w:r>
      <w:r>
        <w:rPr>
          <w:b/>
          <w:i/>
          <w:kern w:val="2"/>
          <w:lang w:eastAsia="zh-CN"/>
        </w:rPr>
        <w:t>transmissions within the same component carrier</w:t>
      </w:r>
      <w:r w:rsidRPr="00730D60">
        <w:rPr>
          <w:b/>
          <w:i/>
          <w:kern w:val="2"/>
          <w:lang w:eastAsia="zh-CN"/>
        </w:rPr>
        <w:t xml:space="preserve"> is not beneficial</w:t>
      </w:r>
      <w:r>
        <w:rPr>
          <w:b/>
          <w:i/>
          <w:kern w:val="2"/>
          <w:lang w:eastAsia="zh-CN"/>
        </w:rPr>
        <w:t>.</w:t>
      </w:r>
    </w:p>
    <w:p w14:paraId="711A2322" w14:textId="77777777" w:rsidR="006650C1" w:rsidRDefault="006650C1" w:rsidP="006650C1">
      <w:pPr>
        <w:spacing w:beforeLines="50" w:before="120"/>
        <w:jc w:val="both"/>
        <w:rPr>
          <w:rFonts w:eastAsiaTheme="minorEastAsia"/>
        </w:rPr>
      </w:pPr>
      <w:r>
        <w:rPr>
          <w:b/>
          <w:i/>
          <w:kern w:val="2"/>
          <w:lang w:eastAsia="zh-CN"/>
        </w:rPr>
        <w:t>Proposal 8:</w:t>
      </w:r>
      <w:r w:rsidRPr="00FE55C3">
        <w:rPr>
          <w:b/>
          <w:i/>
          <w:kern w:val="2"/>
          <w:lang w:eastAsia="zh-CN"/>
        </w:rPr>
        <w:t xml:space="preserve"> </w:t>
      </w:r>
      <w:r>
        <w:rPr>
          <w:b/>
          <w:i/>
          <w:kern w:val="2"/>
          <w:lang w:eastAsia="zh-CN"/>
        </w:rPr>
        <w:t>NR-U should consider supporting sharing soft buffer information across HARQ entities to further enhance the potential gains of cross-carrier HARQ retransmissions.</w:t>
      </w:r>
      <w:r>
        <w:rPr>
          <w:rFonts w:eastAsiaTheme="minorEastAsia"/>
        </w:rPr>
        <w:t xml:space="preserve"> </w:t>
      </w:r>
    </w:p>
    <w:p w14:paraId="3B78F9D5" w14:textId="77777777" w:rsidR="00452FA7" w:rsidRPr="00A07CEE" w:rsidRDefault="00452FA7" w:rsidP="00EA51DE">
      <w:pPr>
        <w:spacing w:beforeLines="50" w:before="120"/>
        <w:jc w:val="both"/>
        <w:rPr>
          <w:kern w:val="2"/>
          <w:lang w:eastAsia="zh-CN"/>
        </w:rPr>
      </w:pPr>
    </w:p>
    <w:p w14:paraId="50A80B6C" w14:textId="77777777" w:rsidR="001D780E" w:rsidRPr="00CF195E" w:rsidRDefault="001D780E" w:rsidP="00EA51DE">
      <w:pPr>
        <w:pStyle w:val="Heading1"/>
        <w:numPr>
          <w:ilvl w:val="0"/>
          <w:numId w:val="0"/>
        </w:numPr>
        <w:spacing w:beforeLines="50"/>
        <w:ind w:left="432" w:hanging="432"/>
        <w:jc w:val="both"/>
      </w:pPr>
      <w:bookmarkStart w:id="7" w:name="_Ref124589665"/>
      <w:bookmarkStart w:id="8" w:name="_Ref71620620"/>
      <w:bookmarkStart w:id="9" w:name="_Ref124671424"/>
      <w:r w:rsidRPr="00CF195E">
        <w:t>References</w:t>
      </w:r>
    </w:p>
    <w:bookmarkEnd w:id="7"/>
    <w:bookmarkEnd w:id="8"/>
    <w:bookmarkEnd w:id="9"/>
    <w:p w14:paraId="59CB1F13" w14:textId="2068F28E" w:rsidR="000D57C2" w:rsidRDefault="000D57C2" w:rsidP="00EA51DE">
      <w:pPr>
        <w:pStyle w:val="References"/>
        <w:spacing w:beforeLines="50" w:before="120"/>
        <w:jc w:val="both"/>
        <w:rPr>
          <w:lang w:eastAsia="zh-CN"/>
        </w:rPr>
      </w:pPr>
      <w:r w:rsidRPr="004B62CD">
        <w:rPr>
          <w:lang w:eastAsia="zh-CN"/>
        </w:rPr>
        <w:t>Qualcomm, “</w:t>
      </w:r>
      <w:r w:rsidR="00A10FA5" w:rsidRPr="00A10FA5">
        <w:rPr>
          <w:lang w:eastAsia="zh-CN"/>
        </w:rPr>
        <w:t>Revised SID on NR-based Access to Unlicensed Spectrum</w:t>
      </w:r>
      <w:r w:rsidRPr="004B62CD">
        <w:rPr>
          <w:lang w:eastAsia="zh-CN"/>
        </w:rPr>
        <w:t xml:space="preserve">”, </w:t>
      </w:r>
      <w:r w:rsidR="002C4731">
        <w:rPr>
          <w:lang w:eastAsia="zh-CN"/>
        </w:rPr>
        <w:t>RP-181339</w:t>
      </w:r>
      <w:r w:rsidR="002C4731">
        <w:rPr>
          <w:rFonts w:hint="eastAsia"/>
          <w:lang w:eastAsia="zh-CN"/>
        </w:rPr>
        <w:t xml:space="preserve">, </w:t>
      </w:r>
      <w:r w:rsidR="002C4731">
        <w:rPr>
          <w:lang w:eastAsia="zh-CN"/>
        </w:rPr>
        <w:t>3GPP TSG RAN Meeting #80, La Jolla, USA, June 11-14, 2018</w:t>
      </w:r>
      <w:r w:rsidR="00E00E81">
        <w:rPr>
          <w:lang w:eastAsia="zh-CN"/>
        </w:rPr>
        <w:t>.</w:t>
      </w:r>
    </w:p>
    <w:p w14:paraId="5ED1E739" w14:textId="7D85AB2D" w:rsidR="006D6547" w:rsidRPr="00795A2F" w:rsidRDefault="006D6547" w:rsidP="00EA51DE">
      <w:pPr>
        <w:pStyle w:val="References"/>
        <w:spacing w:beforeLines="50" w:before="120"/>
        <w:jc w:val="both"/>
        <w:rPr>
          <w:noProof/>
          <w:lang w:val="en-GB"/>
        </w:rPr>
      </w:pPr>
      <w:r w:rsidRPr="00AF1A70">
        <w:t>RAN1 Chairman’s Notes</w:t>
      </w:r>
      <w:r>
        <w:rPr>
          <w:noProof/>
        </w:rPr>
        <w:t xml:space="preserve">, </w:t>
      </w:r>
      <w:r>
        <w:rPr>
          <w:noProof/>
          <w:lang w:val="en-GB"/>
        </w:rPr>
        <w:t>3GPP TSG RAN WG1 Meeting #</w:t>
      </w:r>
      <w:r w:rsidR="00133CB1">
        <w:rPr>
          <w:noProof/>
          <w:lang w:val="en-GB"/>
        </w:rPr>
        <w:t>94</w:t>
      </w:r>
      <w:r>
        <w:rPr>
          <w:noProof/>
          <w:lang w:val="en-GB"/>
        </w:rPr>
        <w:t xml:space="preserve">, </w:t>
      </w:r>
      <w:r w:rsidR="00744869">
        <w:rPr>
          <w:noProof/>
          <w:lang w:val="en-GB"/>
        </w:rPr>
        <w:t>Busan</w:t>
      </w:r>
      <w:r w:rsidRPr="00867C1C">
        <w:rPr>
          <w:noProof/>
          <w:lang w:val="en-GB"/>
        </w:rPr>
        <w:t xml:space="preserve">, </w:t>
      </w:r>
      <w:r w:rsidR="00744869">
        <w:rPr>
          <w:noProof/>
          <w:lang w:val="en-GB"/>
        </w:rPr>
        <w:t>Korea</w:t>
      </w:r>
      <w:r w:rsidRPr="00867C1C">
        <w:rPr>
          <w:noProof/>
          <w:lang w:val="en-GB"/>
        </w:rPr>
        <w:t xml:space="preserve">, </w:t>
      </w:r>
      <w:r w:rsidR="00744869">
        <w:rPr>
          <w:noProof/>
          <w:lang w:val="en-GB"/>
        </w:rPr>
        <w:t>May</w:t>
      </w:r>
      <w:r w:rsidR="00BF2AD8">
        <w:rPr>
          <w:noProof/>
          <w:lang w:val="en-GB"/>
        </w:rPr>
        <w:t xml:space="preserve"> 21</w:t>
      </w:r>
      <w:r w:rsidR="00BF2AD8" w:rsidRPr="00625A63">
        <w:rPr>
          <w:noProof/>
          <w:vertAlign w:val="superscript"/>
          <w:lang w:val="en-GB"/>
        </w:rPr>
        <w:t>st</w:t>
      </w:r>
      <w:r w:rsidR="00BF2AD8">
        <w:rPr>
          <w:noProof/>
          <w:lang w:val="en-GB"/>
        </w:rPr>
        <w:t xml:space="preserve">  </w:t>
      </w:r>
      <w:r>
        <w:rPr>
          <w:noProof/>
          <w:lang w:val="en-GB"/>
        </w:rPr>
        <w:t xml:space="preserve">– </w:t>
      </w:r>
      <w:r w:rsidR="00744869">
        <w:rPr>
          <w:noProof/>
          <w:lang w:val="en-GB"/>
        </w:rPr>
        <w:t>May</w:t>
      </w:r>
      <w:r w:rsidR="00744869" w:rsidRPr="00867C1C">
        <w:rPr>
          <w:noProof/>
          <w:lang w:val="en-GB"/>
        </w:rPr>
        <w:t xml:space="preserve"> </w:t>
      </w:r>
      <w:r w:rsidRPr="00867C1C">
        <w:rPr>
          <w:noProof/>
          <w:lang w:val="en-GB"/>
        </w:rPr>
        <w:t>2</w:t>
      </w:r>
      <w:r w:rsidR="00BF2AD8">
        <w:rPr>
          <w:noProof/>
          <w:lang w:val="en-GB"/>
        </w:rPr>
        <w:t>5</w:t>
      </w:r>
      <w:r>
        <w:rPr>
          <w:noProof/>
          <w:vertAlign w:val="superscript"/>
          <w:lang w:val="en-GB"/>
        </w:rPr>
        <w:t>th</w:t>
      </w:r>
      <w:r w:rsidRPr="00867C1C">
        <w:rPr>
          <w:noProof/>
          <w:lang w:val="en-GB"/>
        </w:rPr>
        <w:t>, 2018</w:t>
      </w:r>
      <w:r>
        <w:rPr>
          <w:noProof/>
          <w:lang w:val="en-GB"/>
        </w:rPr>
        <w:t>.</w:t>
      </w:r>
    </w:p>
    <w:p w14:paraId="05610BFB" w14:textId="15A6062D" w:rsidR="00BF2AD8" w:rsidRPr="00CA37BE" w:rsidRDefault="000A3C74" w:rsidP="00EA51DE">
      <w:pPr>
        <w:pStyle w:val="References"/>
        <w:spacing w:beforeLines="50" w:before="120"/>
        <w:jc w:val="both"/>
        <w:rPr>
          <w:lang w:val="en-GB"/>
        </w:rPr>
      </w:pPr>
      <w:r>
        <w:rPr>
          <w:lang w:eastAsia="zh-CN"/>
        </w:rPr>
        <w:t>Huawei, HiSilicon, “</w:t>
      </w:r>
      <w:r w:rsidR="00795A2F" w:rsidRPr="00795A2F">
        <w:rPr>
          <w:lang w:eastAsia="zh-CN"/>
        </w:rPr>
        <w:t>BWP operation in NR unlice</w:t>
      </w:r>
      <w:r w:rsidR="00795A2F">
        <w:rPr>
          <w:lang w:eastAsia="zh-CN"/>
        </w:rPr>
        <w:t>ns</w:t>
      </w:r>
      <w:r w:rsidR="00795A2F" w:rsidRPr="00795A2F">
        <w:rPr>
          <w:lang w:eastAsia="zh-CN"/>
        </w:rPr>
        <w:t>ed band</w:t>
      </w:r>
      <w:r>
        <w:rPr>
          <w:lang w:eastAsia="zh-CN"/>
        </w:rPr>
        <w:t>,”</w:t>
      </w:r>
      <w:r w:rsidRPr="004B62CD">
        <w:rPr>
          <w:lang w:eastAsia="zh-CN"/>
        </w:rPr>
        <w:t xml:space="preserve"> </w:t>
      </w:r>
      <w:r>
        <w:rPr>
          <w:lang w:eastAsia="zh-CN"/>
        </w:rPr>
        <w:t>R1-18</w:t>
      </w:r>
      <w:r w:rsidR="00353397">
        <w:rPr>
          <w:lang w:eastAsia="zh-CN"/>
        </w:rPr>
        <w:t>0</w:t>
      </w:r>
      <w:r w:rsidR="00B03B8A">
        <w:rPr>
          <w:lang w:eastAsia="zh-CN"/>
        </w:rPr>
        <w:t>8065</w:t>
      </w:r>
      <w:r w:rsidRPr="004B62CD">
        <w:rPr>
          <w:rFonts w:hint="eastAsia"/>
          <w:lang w:eastAsia="zh-CN"/>
        </w:rPr>
        <w:t xml:space="preserve">, </w:t>
      </w:r>
      <w:r w:rsidR="00B03B8A">
        <w:rPr>
          <w:lang w:eastAsia="zh-CN"/>
        </w:rPr>
        <w:t>Gothenburg</w:t>
      </w:r>
      <w:r w:rsidRPr="004B62CD">
        <w:rPr>
          <w:rFonts w:hint="eastAsia"/>
          <w:lang w:eastAsia="zh-CN"/>
        </w:rPr>
        <w:t xml:space="preserve">, </w:t>
      </w:r>
      <w:r w:rsidR="00795A2F">
        <w:rPr>
          <w:lang w:eastAsia="zh-CN"/>
        </w:rPr>
        <w:t>S</w:t>
      </w:r>
      <w:r w:rsidR="00B03B8A">
        <w:rPr>
          <w:lang w:eastAsia="zh-CN"/>
        </w:rPr>
        <w:t>weden</w:t>
      </w:r>
      <w:r w:rsidRPr="004B62CD">
        <w:rPr>
          <w:rFonts w:hint="eastAsia"/>
          <w:lang w:eastAsia="zh-CN"/>
        </w:rPr>
        <w:t xml:space="preserve">, </w:t>
      </w:r>
      <w:r w:rsidR="00B03B8A">
        <w:rPr>
          <w:lang w:eastAsia="zh-CN"/>
        </w:rPr>
        <w:t xml:space="preserve">Aug </w:t>
      </w:r>
      <w:r w:rsidR="00795A2F">
        <w:rPr>
          <w:lang w:eastAsia="zh-CN"/>
        </w:rPr>
        <w:t>2</w:t>
      </w:r>
      <w:r w:rsidR="00B03B8A">
        <w:rPr>
          <w:lang w:eastAsia="zh-CN"/>
        </w:rPr>
        <w:t>0</w:t>
      </w:r>
      <w:r w:rsidR="00795A2F" w:rsidRPr="00795A2F">
        <w:rPr>
          <w:vertAlign w:val="superscript"/>
          <w:lang w:eastAsia="zh-CN"/>
        </w:rPr>
        <w:t>t</w:t>
      </w:r>
      <w:r w:rsidR="00B03B8A">
        <w:rPr>
          <w:vertAlign w:val="superscript"/>
          <w:lang w:eastAsia="zh-CN"/>
        </w:rPr>
        <w:t>h</w:t>
      </w:r>
      <w:r w:rsidR="00795A2F">
        <w:rPr>
          <w:lang w:eastAsia="zh-CN"/>
        </w:rPr>
        <w:t xml:space="preserve"> </w:t>
      </w:r>
      <w:r w:rsidRPr="003F1C0C">
        <w:rPr>
          <w:lang w:eastAsia="zh-CN"/>
        </w:rPr>
        <w:t xml:space="preserve">– </w:t>
      </w:r>
      <w:r w:rsidR="00B03B8A">
        <w:rPr>
          <w:lang w:eastAsia="zh-CN"/>
        </w:rPr>
        <w:t>Aug</w:t>
      </w:r>
      <w:r w:rsidR="00795A2F">
        <w:rPr>
          <w:lang w:eastAsia="zh-CN"/>
        </w:rPr>
        <w:t xml:space="preserve"> 2</w:t>
      </w:r>
      <w:r w:rsidR="00B03B8A">
        <w:rPr>
          <w:lang w:eastAsia="zh-CN"/>
        </w:rPr>
        <w:t>4</w:t>
      </w:r>
      <w:r w:rsidR="00795A2F" w:rsidRPr="00795A2F">
        <w:rPr>
          <w:vertAlign w:val="superscript"/>
          <w:lang w:eastAsia="zh-CN"/>
        </w:rPr>
        <w:t>th</w:t>
      </w:r>
      <w:r w:rsidRPr="003F1C0C">
        <w:rPr>
          <w:lang w:eastAsia="zh-CN"/>
        </w:rPr>
        <w:t>, 2018</w:t>
      </w:r>
      <w:r w:rsidRPr="004B62CD">
        <w:rPr>
          <w:rFonts w:hint="eastAsia"/>
          <w:lang w:eastAsia="zh-CN"/>
        </w:rPr>
        <w:t>.</w:t>
      </w:r>
      <w:r w:rsidDel="000A3C74">
        <w:rPr>
          <w:lang w:eastAsia="zh-CN"/>
        </w:rPr>
        <w:t xml:space="preserve"> </w:t>
      </w:r>
      <w:bookmarkEnd w:id="4"/>
    </w:p>
    <w:p w14:paraId="57E383A7" w14:textId="6553752E" w:rsidR="00F30138" w:rsidRPr="00585316" w:rsidRDefault="001F734D" w:rsidP="00EA51DE">
      <w:pPr>
        <w:pStyle w:val="References"/>
        <w:spacing w:beforeLines="50" w:before="120"/>
        <w:jc w:val="both"/>
        <w:rPr>
          <w:lang w:val="en-GB"/>
        </w:rPr>
      </w:pPr>
      <w:bookmarkStart w:id="10" w:name="_Ref528863800"/>
      <w:r>
        <w:rPr>
          <w:lang w:eastAsia="zh-CN"/>
        </w:rPr>
        <w:t>Ericsson, “Potential HARQ enhancements”, R1-1811303, Chengdu, China, Oct. 8</w:t>
      </w:r>
      <w:r w:rsidRPr="00CA37BE">
        <w:rPr>
          <w:vertAlign w:val="superscript"/>
          <w:lang w:eastAsia="zh-CN"/>
        </w:rPr>
        <w:t>th</w:t>
      </w:r>
      <w:r>
        <w:rPr>
          <w:lang w:eastAsia="zh-CN"/>
        </w:rPr>
        <w:t xml:space="preserve"> – Oct. 12</w:t>
      </w:r>
      <w:r w:rsidRPr="00CA37BE">
        <w:rPr>
          <w:vertAlign w:val="superscript"/>
          <w:lang w:eastAsia="zh-CN"/>
        </w:rPr>
        <w:t>th</w:t>
      </w:r>
      <w:r>
        <w:rPr>
          <w:lang w:eastAsia="zh-CN"/>
        </w:rPr>
        <w:t>, 2018.</w:t>
      </w:r>
      <w:bookmarkEnd w:id="10"/>
    </w:p>
    <w:sectPr w:rsidR="00F30138" w:rsidRPr="005853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774AC9" w14:textId="77777777" w:rsidR="0069480A" w:rsidRDefault="0069480A">
      <w:r>
        <w:separator/>
      </w:r>
    </w:p>
  </w:endnote>
  <w:endnote w:type="continuationSeparator" w:id="0">
    <w:p w14:paraId="3D1EA485" w14:textId="77777777" w:rsidR="0069480A" w:rsidRDefault="0069480A">
      <w:r>
        <w:continuationSeparator/>
      </w:r>
    </w:p>
  </w:endnote>
  <w:endnote w:type="continuationNotice" w:id="1">
    <w:p w14:paraId="485BC3E8" w14:textId="77777777" w:rsidR="0069480A" w:rsidRDefault="00694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5A2C7" w14:textId="77777777" w:rsidR="0069480A" w:rsidRDefault="0069480A">
      <w:r>
        <w:separator/>
      </w:r>
    </w:p>
  </w:footnote>
  <w:footnote w:type="continuationSeparator" w:id="0">
    <w:p w14:paraId="1AF1F69C" w14:textId="77777777" w:rsidR="0069480A" w:rsidRDefault="0069480A">
      <w:r>
        <w:continuationSeparator/>
      </w:r>
    </w:p>
  </w:footnote>
  <w:footnote w:type="continuationNotice" w:id="1">
    <w:p w14:paraId="261A14DA" w14:textId="77777777" w:rsidR="0069480A" w:rsidRDefault="0069480A"/>
  </w:footnote>
  <w:footnote w:id="2">
    <w:p w14:paraId="618287D7" w14:textId="77777777" w:rsidR="003F7991" w:rsidRPr="00FC0876" w:rsidRDefault="003F7991" w:rsidP="0085627F">
      <w:pPr>
        <w:pStyle w:val="FootnoteText"/>
      </w:pPr>
      <w:r>
        <w:rPr>
          <w:rStyle w:val="FootnoteReference"/>
        </w:rPr>
        <w:footnoteRef/>
      </w:r>
      <w:r>
        <w:t xml:space="preserve"> There are stringent performance requirements on DTX-to-ACK on PUCCH, however, i</w:t>
      </w:r>
      <w:r w:rsidRPr="005C506F">
        <w:t xml:space="preserve">t </w:t>
      </w:r>
      <w:r>
        <w:t>sh</w:t>
      </w:r>
      <w:r w:rsidRPr="005C506F">
        <w:t>ould not be assumed that gNB is performing PUSCH DTX detection</w:t>
      </w:r>
      <w:r>
        <w:t xml:space="preserve"> as there is no similar requirement on PUSCH.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158295F"/>
    <w:multiLevelType w:val="hybridMultilevel"/>
    <w:tmpl w:val="93BACE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87B162C"/>
    <w:multiLevelType w:val="hybridMultilevel"/>
    <w:tmpl w:val="E39A306C"/>
    <w:lvl w:ilvl="0" w:tplc="148CC3C2">
      <w:numFmt w:val="bullet"/>
      <w:lvlText w:val="•"/>
      <w:lvlJc w:val="left"/>
      <w:pPr>
        <w:ind w:left="360" w:hanging="360"/>
      </w:pPr>
      <w:rPr>
        <w:rFonts w:ascii="SimSun" w:eastAsia="SimSun" w:hAnsi="SimSun" w:cs="Times New Roman"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693692"/>
    <w:multiLevelType w:val="hybridMultilevel"/>
    <w:tmpl w:val="6D640B06"/>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224898"/>
    <w:multiLevelType w:val="hybridMultilevel"/>
    <w:tmpl w:val="7390D46E"/>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7" w15:restartNumberingAfterBreak="0">
    <w:nsid w:val="130714C1"/>
    <w:multiLevelType w:val="hybridMultilevel"/>
    <w:tmpl w:val="7B563714"/>
    <w:lvl w:ilvl="0" w:tplc="04090001">
      <w:start w:val="1"/>
      <w:numFmt w:val="bullet"/>
      <w:lvlText w:val=""/>
      <w:lvlJc w:val="left"/>
      <w:pPr>
        <w:ind w:left="360" w:hanging="360"/>
      </w:pPr>
      <w:rPr>
        <w:rFonts w:ascii="Symbol" w:hAnsi="Symbol" w:hint="default"/>
      </w:rPr>
    </w:lvl>
    <w:lvl w:ilvl="1" w:tplc="7A14B506">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D5EC796">
      <w:numFmt w:val="bullet"/>
      <w:lvlText w:val="-"/>
      <w:lvlJc w:val="left"/>
      <w:pPr>
        <w:ind w:left="3240" w:hanging="360"/>
      </w:pPr>
      <w:rPr>
        <w:rFonts w:ascii="Times New Roman" w:eastAsia="Times New Roma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74B3D21"/>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tentative="1">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0" w15:restartNumberingAfterBreak="0">
    <w:nsid w:val="176C3A5B"/>
    <w:multiLevelType w:val="hybridMultilevel"/>
    <w:tmpl w:val="E506C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3" w15:restartNumberingAfterBreak="0">
    <w:nsid w:val="1AF5572C"/>
    <w:multiLevelType w:val="hybridMultilevel"/>
    <w:tmpl w:val="F078AA0C"/>
    <w:lvl w:ilvl="0" w:tplc="8898A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CCE09E2"/>
    <w:multiLevelType w:val="hybridMultilevel"/>
    <w:tmpl w:val="8562699C"/>
    <w:lvl w:ilvl="0" w:tplc="B2BC76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4E6F51"/>
    <w:multiLevelType w:val="hybridMultilevel"/>
    <w:tmpl w:val="22DEE91E"/>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307A69FE"/>
    <w:multiLevelType w:val="hybridMultilevel"/>
    <w:tmpl w:val="83BE725A"/>
    <w:lvl w:ilvl="0" w:tplc="C4687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1874E41"/>
    <w:multiLevelType w:val="hybridMultilevel"/>
    <w:tmpl w:val="C8CA79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9C14C3"/>
    <w:multiLevelType w:val="hybridMultilevel"/>
    <w:tmpl w:val="69123EF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B557C1"/>
    <w:multiLevelType w:val="multilevel"/>
    <w:tmpl w:val="EAD6A212"/>
    <w:lvl w:ilvl="0">
      <w:start w:val="1"/>
      <w:numFmt w:val="decimal"/>
      <w:pStyle w:val="Heading1"/>
      <w:lvlText w:val="%1"/>
      <w:lvlJc w:val="left"/>
      <w:pPr>
        <w:tabs>
          <w:tab w:val="num" w:pos="3125"/>
        </w:tabs>
        <w:ind w:left="3125"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279"/>
        </w:tabs>
        <w:ind w:left="227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5" w15:restartNumberingAfterBreak="0">
    <w:nsid w:val="38A833E8"/>
    <w:multiLevelType w:val="hybridMultilevel"/>
    <w:tmpl w:val="290049DA"/>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D8276A"/>
    <w:multiLevelType w:val="hybridMultilevel"/>
    <w:tmpl w:val="9BF816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B544DC9"/>
    <w:multiLevelType w:val="hybridMultilevel"/>
    <w:tmpl w:val="9B86EB04"/>
    <w:lvl w:ilvl="0" w:tplc="148CC3C2">
      <w:numFmt w:val="bullet"/>
      <w:lvlText w:val="•"/>
      <w:lvlJc w:val="left"/>
      <w:pPr>
        <w:ind w:left="845" w:hanging="420"/>
      </w:pPr>
      <w:rPr>
        <w:rFonts w:ascii="SimSun" w:eastAsia="SimSun" w:hAnsi="SimSun" w:cs="Times New Roman" w:hint="eastAsia"/>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3D121A60"/>
    <w:multiLevelType w:val="hybridMultilevel"/>
    <w:tmpl w:val="0606603A"/>
    <w:lvl w:ilvl="0" w:tplc="E65044D6">
      <w:start w:val="1"/>
      <w:numFmt w:val="bullet"/>
      <w:lvlText w:val=""/>
      <w:lvlJc w:val="left"/>
      <w:pPr>
        <w:tabs>
          <w:tab w:val="num" w:pos="720"/>
        </w:tabs>
        <w:ind w:left="720" w:hanging="360"/>
      </w:pPr>
      <w:rPr>
        <w:rFonts w:ascii="Wingdings" w:hAnsi="Wingdings" w:hint="default"/>
      </w:rPr>
    </w:lvl>
    <w:lvl w:ilvl="1" w:tplc="55DA1B8A">
      <w:start w:val="1"/>
      <w:numFmt w:val="bullet"/>
      <w:lvlText w:val=""/>
      <w:lvlJc w:val="left"/>
      <w:pPr>
        <w:tabs>
          <w:tab w:val="num" w:pos="1440"/>
        </w:tabs>
        <w:ind w:left="1440" w:hanging="360"/>
      </w:pPr>
      <w:rPr>
        <w:rFonts w:ascii="Wingdings" w:hAnsi="Wingdings" w:hint="default"/>
      </w:rPr>
    </w:lvl>
    <w:lvl w:ilvl="2" w:tplc="D2EE9C1E" w:tentative="1">
      <w:start w:val="1"/>
      <w:numFmt w:val="bullet"/>
      <w:lvlText w:val=""/>
      <w:lvlJc w:val="left"/>
      <w:pPr>
        <w:tabs>
          <w:tab w:val="num" w:pos="2160"/>
        </w:tabs>
        <w:ind w:left="2160" w:hanging="360"/>
      </w:pPr>
      <w:rPr>
        <w:rFonts w:ascii="Wingdings" w:hAnsi="Wingdings" w:hint="default"/>
      </w:rPr>
    </w:lvl>
    <w:lvl w:ilvl="3" w:tplc="CFE052D4" w:tentative="1">
      <w:start w:val="1"/>
      <w:numFmt w:val="bullet"/>
      <w:lvlText w:val=""/>
      <w:lvlJc w:val="left"/>
      <w:pPr>
        <w:tabs>
          <w:tab w:val="num" w:pos="2880"/>
        </w:tabs>
        <w:ind w:left="2880" w:hanging="360"/>
      </w:pPr>
      <w:rPr>
        <w:rFonts w:ascii="Wingdings" w:hAnsi="Wingdings" w:hint="default"/>
      </w:rPr>
    </w:lvl>
    <w:lvl w:ilvl="4" w:tplc="027A3E4A" w:tentative="1">
      <w:start w:val="1"/>
      <w:numFmt w:val="bullet"/>
      <w:lvlText w:val=""/>
      <w:lvlJc w:val="left"/>
      <w:pPr>
        <w:tabs>
          <w:tab w:val="num" w:pos="3600"/>
        </w:tabs>
        <w:ind w:left="3600" w:hanging="360"/>
      </w:pPr>
      <w:rPr>
        <w:rFonts w:ascii="Wingdings" w:hAnsi="Wingdings" w:hint="default"/>
      </w:rPr>
    </w:lvl>
    <w:lvl w:ilvl="5" w:tplc="0D90CC1A" w:tentative="1">
      <w:start w:val="1"/>
      <w:numFmt w:val="bullet"/>
      <w:lvlText w:val=""/>
      <w:lvlJc w:val="left"/>
      <w:pPr>
        <w:tabs>
          <w:tab w:val="num" w:pos="4320"/>
        </w:tabs>
        <w:ind w:left="4320" w:hanging="360"/>
      </w:pPr>
      <w:rPr>
        <w:rFonts w:ascii="Wingdings" w:hAnsi="Wingdings" w:hint="default"/>
      </w:rPr>
    </w:lvl>
    <w:lvl w:ilvl="6" w:tplc="AB5C8112" w:tentative="1">
      <w:start w:val="1"/>
      <w:numFmt w:val="bullet"/>
      <w:lvlText w:val=""/>
      <w:lvlJc w:val="left"/>
      <w:pPr>
        <w:tabs>
          <w:tab w:val="num" w:pos="5040"/>
        </w:tabs>
        <w:ind w:left="5040" w:hanging="360"/>
      </w:pPr>
      <w:rPr>
        <w:rFonts w:ascii="Wingdings" w:hAnsi="Wingdings" w:hint="default"/>
      </w:rPr>
    </w:lvl>
    <w:lvl w:ilvl="7" w:tplc="1680995E" w:tentative="1">
      <w:start w:val="1"/>
      <w:numFmt w:val="bullet"/>
      <w:lvlText w:val=""/>
      <w:lvlJc w:val="left"/>
      <w:pPr>
        <w:tabs>
          <w:tab w:val="num" w:pos="5760"/>
        </w:tabs>
        <w:ind w:left="5760" w:hanging="360"/>
      </w:pPr>
      <w:rPr>
        <w:rFonts w:ascii="Wingdings" w:hAnsi="Wingdings" w:hint="default"/>
      </w:rPr>
    </w:lvl>
    <w:lvl w:ilvl="8" w:tplc="340C2B5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3" w15:restartNumberingAfterBreak="0">
    <w:nsid w:val="3F5856EF"/>
    <w:multiLevelType w:val="hybridMultilevel"/>
    <w:tmpl w:val="BB8EA608"/>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FDD443E"/>
    <w:multiLevelType w:val="hybridMultilevel"/>
    <w:tmpl w:val="6D060546"/>
    <w:lvl w:ilvl="0" w:tplc="BF385008">
      <w:start w:val="1"/>
      <w:numFmt w:val="bullet"/>
      <w:lvlText w:val="•"/>
      <w:lvlJc w:val="left"/>
      <w:pPr>
        <w:tabs>
          <w:tab w:val="num" w:pos="360"/>
        </w:tabs>
        <w:ind w:left="360" w:hanging="360"/>
      </w:pPr>
      <w:rPr>
        <w:rFonts w:ascii="Arial" w:hAnsi="Arial" w:hint="default"/>
      </w:rPr>
    </w:lvl>
    <w:lvl w:ilvl="1" w:tplc="C220F380">
      <w:numFmt w:val="bullet"/>
      <w:lvlText w:val="•"/>
      <w:lvlJc w:val="left"/>
      <w:pPr>
        <w:tabs>
          <w:tab w:val="num" w:pos="1080"/>
        </w:tabs>
        <w:ind w:left="1080" w:hanging="360"/>
      </w:pPr>
      <w:rPr>
        <w:rFonts w:ascii="Arial" w:hAnsi="Arial" w:hint="default"/>
      </w:rPr>
    </w:lvl>
    <w:lvl w:ilvl="2" w:tplc="24AE85F6" w:tentative="1">
      <w:start w:val="1"/>
      <w:numFmt w:val="bullet"/>
      <w:lvlText w:val="•"/>
      <w:lvlJc w:val="left"/>
      <w:pPr>
        <w:tabs>
          <w:tab w:val="num" w:pos="1800"/>
        </w:tabs>
        <w:ind w:left="1800" w:hanging="360"/>
      </w:pPr>
      <w:rPr>
        <w:rFonts w:ascii="Arial" w:hAnsi="Arial" w:hint="default"/>
      </w:rPr>
    </w:lvl>
    <w:lvl w:ilvl="3" w:tplc="C24EDEE2" w:tentative="1">
      <w:start w:val="1"/>
      <w:numFmt w:val="bullet"/>
      <w:lvlText w:val="•"/>
      <w:lvlJc w:val="left"/>
      <w:pPr>
        <w:tabs>
          <w:tab w:val="num" w:pos="2520"/>
        </w:tabs>
        <w:ind w:left="2520" w:hanging="360"/>
      </w:pPr>
      <w:rPr>
        <w:rFonts w:ascii="Arial" w:hAnsi="Arial" w:hint="default"/>
      </w:rPr>
    </w:lvl>
    <w:lvl w:ilvl="4" w:tplc="0420BFCE" w:tentative="1">
      <w:start w:val="1"/>
      <w:numFmt w:val="bullet"/>
      <w:lvlText w:val="•"/>
      <w:lvlJc w:val="left"/>
      <w:pPr>
        <w:tabs>
          <w:tab w:val="num" w:pos="3240"/>
        </w:tabs>
        <w:ind w:left="3240" w:hanging="360"/>
      </w:pPr>
      <w:rPr>
        <w:rFonts w:ascii="Arial" w:hAnsi="Arial" w:hint="default"/>
      </w:rPr>
    </w:lvl>
    <w:lvl w:ilvl="5" w:tplc="E774E092" w:tentative="1">
      <w:start w:val="1"/>
      <w:numFmt w:val="bullet"/>
      <w:lvlText w:val="•"/>
      <w:lvlJc w:val="left"/>
      <w:pPr>
        <w:tabs>
          <w:tab w:val="num" w:pos="3960"/>
        </w:tabs>
        <w:ind w:left="3960" w:hanging="360"/>
      </w:pPr>
      <w:rPr>
        <w:rFonts w:ascii="Arial" w:hAnsi="Arial" w:hint="default"/>
      </w:rPr>
    </w:lvl>
    <w:lvl w:ilvl="6" w:tplc="E0522388" w:tentative="1">
      <w:start w:val="1"/>
      <w:numFmt w:val="bullet"/>
      <w:lvlText w:val="•"/>
      <w:lvlJc w:val="left"/>
      <w:pPr>
        <w:tabs>
          <w:tab w:val="num" w:pos="4680"/>
        </w:tabs>
        <w:ind w:left="4680" w:hanging="360"/>
      </w:pPr>
      <w:rPr>
        <w:rFonts w:ascii="Arial" w:hAnsi="Arial" w:hint="default"/>
      </w:rPr>
    </w:lvl>
    <w:lvl w:ilvl="7" w:tplc="76227D54" w:tentative="1">
      <w:start w:val="1"/>
      <w:numFmt w:val="bullet"/>
      <w:lvlText w:val="•"/>
      <w:lvlJc w:val="left"/>
      <w:pPr>
        <w:tabs>
          <w:tab w:val="num" w:pos="5400"/>
        </w:tabs>
        <w:ind w:left="5400" w:hanging="360"/>
      </w:pPr>
      <w:rPr>
        <w:rFonts w:ascii="Arial" w:hAnsi="Arial" w:hint="default"/>
      </w:rPr>
    </w:lvl>
    <w:lvl w:ilvl="8" w:tplc="85CC86F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4220ACD"/>
    <w:multiLevelType w:val="hybridMultilevel"/>
    <w:tmpl w:val="35B25A8A"/>
    <w:lvl w:ilvl="0" w:tplc="27DC83CE">
      <w:start w:val="5"/>
      <w:numFmt w:val="bullet"/>
      <w:lvlText w:val="-"/>
      <w:lvlJc w:val="left"/>
      <w:pPr>
        <w:ind w:left="420" w:hanging="420"/>
      </w:pPr>
      <w:rPr>
        <w:rFonts w:ascii="Times" w:eastAsia="MS Mincho" w:hAnsi="Times" w:hint="default"/>
      </w:rPr>
    </w:lvl>
    <w:lvl w:ilvl="1" w:tplc="27DC83CE">
      <w:start w:val="5"/>
      <w:numFmt w:val="bullet"/>
      <w:lvlText w:val="-"/>
      <w:lvlJc w:val="left"/>
      <w:pPr>
        <w:ind w:left="840" w:hanging="420"/>
      </w:pPr>
      <w:rPr>
        <w:rFonts w:ascii="Times" w:eastAsia="MS Mincho"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6F907CC"/>
    <w:multiLevelType w:val="hybridMultilevel"/>
    <w:tmpl w:val="B05EB91A"/>
    <w:lvl w:ilvl="0" w:tplc="B2BC76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4F8F78F3"/>
    <w:multiLevelType w:val="hybridMultilevel"/>
    <w:tmpl w:val="92CE52B8"/>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3" w15:restartNumberingAfterBreak="0">
    <w:nsid w:val="564E2F87"/>
    <w:multiLevelType w:val="hybridMultilevel"/>
    <w:tmpl w:val="358ED292"/>
    <w:lvl w:ilvl="0" w:tplc="C92C1568">
      <w:start w:val="1"/>
      <w:numFmt w:val="bullet"/>
      <w:lvlText w:val="•"/>
      <w:lvlJc w:val="left"/>
      <w:pPr>
        <w:tabs>
          <w:tab w:val="num" w:pos="720"/>
        </w:tabs>
        <w:ind w:left="720" w:hanging="360"/>
      </w:pPr>
      <w:rPr>
        <w:rFonts w:ascii="Arial" w:hAnsi="Arial" w:hint="default"/>
      </w:rPr>
    </w:lvl>
    <w:lvl w:ilvl="1" w:tplc="9E26C34C">
      <w:start w:val="1"/>
      <w:numFmt w:val="bullet"/>
      <w:lvlText w:val="•"/>
      <w:lvlJc w:val="left"/>
      <w:pPr>
        <w:tabs>
          <w:tab w:val="num" w:pos="1440"/>
        </w:tabs>
        <w:ind w:left="1440" w:hanging="360"/>
      </w:pPr>
      <w:rPr>
        <w:rFonts w:ascii="Arial" w:hAnsi="Arial" w:hint="default"/>
      </w:rPr>
    </w:lvl>
    <w:lvl w:ilvl="2" w:tplc="E18655FC">
      <w:start w:val="7871"/>
      <w:numFmt w:val="bullet"/>
      <w:lvlText w:val="•"/>
      <w:lvlJc w:val="left"/>
      <w:pPr>
        <w:tabs>
          <w:tab w:val="num" w:pos="2160"/>
        </w:tabs>
        <w:ind w:left="2160" w:hanging="360"/>
      </w:pPr>
      <w:rPr>
        <w:rFonts w:ascii="Arial" w:hAnsi="Arial" w:hint="default"/>
      </w:rPr>
    </w:lvl>
    <w:lvl w:ilvl="3" w:tplc="1C5665BE" w:tentative="1">
      <w:start w:val="1"/>
      <w:numFmt w:val="bullet"/>
      <w:lvlText w:val="•"/>
      <w:lvlJc w:val="left"/>
      <w:pPr>
        <w:tabs>
          <w:tab w:val="num" w:pos="2880"/>
        </w:tabs>
        <w:ind w:left="2880" w:hanging="360"/>
      </w:pPr>
      <w:rPr>
        <w:rFonts w:ascii="Arial" w:hAnsi="Arial" w:hint="default"/>
      </w:rPr>
    </w:lvl>
    <w:lvl w:ilvl="4" w:tplc="970074E4" w:tentative="1">
      <w:start w:val="1"/>
      <w:numFmt w:val="bullet"/>
      <w:lvlText w:val="•"/>
      <w:lvlJc w:val="left"/>
      <w:pPr>
        <w:tabs>
          <w:tab w:val="num" w:pos="3600"/>
        </w:tabs>
        <w:ind w:left="3600" w:hanging="360"/>
      </w:pPr>
      <w:rPr>
        <w:rFonts w:ascii="Arial" w:hAnsi="Arial" w:hint="default"/>
      </w:rPr>
    </w:lvl>
    <w:lvl w:ilvl="5" w:tplc="BCB05C6C" w:tentative="1">
      <w:start w:val="1"/>
      <w:numFmt w:val="bullet"/>
      <w:lvlText w:val="•"/>
      <w:lvlJc w:val="left"/>
      <w:pPr>
        <w:tabs>
          <w:tab w:val="num" w:pos="4320"/>
        </w:tabs>
        <w:ind w:left="4320" w:hanging="360"/>
      </w:pPr>
      <w:rPr>
        <w:rFonts w:ascii="Arial" w:hAnsi="Arial" w:hint="default"/>
      </w:rPr>
    </w:lvl>
    <w:lvl w:ilvl="6" w:tplc="18C6B9CC" w:tentative="1">
      <w:start w:val="1"/>
      <w:numFmt w:val="bullet"/>
      <w:lvlText w:val="•"/>
      <w:lvlJc w:val="left"/>
      <w:pPr>
        <w:tabs>
          <w:tab w:val="num" w:pos="5040"/>
        </w:tabs>
        <w:ind w:left="5040" w:hanging="360"/>
      </w:pPr>
      <w:rPr>
        <w:rFonts w:ascii="Arial" w:hAnsi="Arial" w:hint="default"/>
      </w:rPr>
    </w:lvl>
    <w:lvl w:ilvl="7" w:tplc="7B90B2D6" w:tentative="1">
      <w:start w:val="1"/>
      <w:numFmt w:val="bullet"/>
      <w:lvlText w:val="•"/>
      <w:lvlJc w:val="left"/>
      <w:pPr>
        <w:tabs>
          <w:tab w:val="num" w:pos="5760"/>
        </w:tabs>
        <w:ind w:left="5760" w:hanging="360"/>
      </w:pPr>
      <w:rPr>
        <w:rFonts w:ascii="Arial" w:hAnsi="Arial" w:hint="default"/>
      </w:rPr>
    </w:lvl>
    <w:lvl w:ilvl="8" w:tplc="2F2051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7A40682"/>
    <w:multiLevelType w:val="hybridMultilevel"/>
    <w:tmpl w:val="AABC5AA0"/>
    <w:lvl w:ilvl="0" w:tplc="148CC3C2">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447FCD"/>
    <w:multiLevelType w:val="hybridMultilevel"/>
    <w:tmpl w:val="67C09512"/>
    <w:lvl w:ilvl="0" w:tplc="7A14B506">
      <w:start w:val="1"/>
      <w:numFmt w:val="bullet"/>
      <w:lvlText w:val="•"/>
      <w:lvlJc w:val="left"/>
      <w:pPr>
        <w:tabs>
          <w:tab w:val="num" w:pos="720"/>
        </w:tabs>
        <w:ind w:left="720" w:hanging="360"/>
      </w:pPr>
      <w:rPr>
        <w:rFonts w:ascii="Arial" w:hAnsi="Arial" w:hint="default"/>
      </w:rPr>
    </w:lvl>
    <w:lvl w:ilvl="1" w:tplc="38465FDC" w:tentative="1">
      <w:start w:val="1"/>
      <w:numFmt w:val="bullet"/>
      <w:lvlText w:val="•"/>
      <w:lvlJc w:val="left"/>
      <w:pPr>
        <w:tabs>
          <w:tab w:val="num" w:pos="1440"/>
        </w:tabs>
        <w:ind w:left="1440" w:hanging="360"/>
      </w:pPr>
      <w:rPr>
        <w:rFonts w:ascii="Arial" w:hAnsi="Arial" w:hint="default"/>
      </w:rPr>
    </w:lvl>
    <w:lvl w:ilvl="2" w:tplc="F7DA190A" w:tentative="1">
      <w:start w:val="1"/>
      <w:numFmt w:val="bullet"/>
      <w:lvlText w:val="•"/>
      <w:lvlJc w:val="left"/>
      <w:pPr>
        <w:tabs>
          <w:tab w:val="num" w:pos="2160"/>
        </w:tabs>
        <w:ind w:left="2160" w:hanging="360"/>
      </w:pPr>
      <w:rPr>
        <w:rFonts w:ascii="Arial" w:hAnsi="Arial" w:hint="default"/>
      </w:rPr>
    </w:lvl>
    <w:lvl w:ilvl="3" w:tplc="F58C9FE0" w:tentative="1">
      <w:start w:val="1"/>
      <w:numFmt w:val="bullet"/>
      <w:lvlText w:val="•"/>
      <w:lvlJc w:val="left"/>
      <w:pPr>
        <w:tabs>
          <w:tab w:val="num" w:pos="2880"/>
        </w:tabs>
        <w:ind w:left="2880" w:hanging="360"/>
      </w:pPr>
      <w:rPr>
        <w:rFonts w:ascii="Arial" w:hAnsi="Arial" w:hint="default"/>
      </w:rPr>
    </w:lvl>
    <w:lvl w:ilvl="4" w:tplc="D2463E54" w:tentative="1">
      <w:start w:val="1"/>
      <w:numFmt w:val="bullet"/>
      <w:lvlText w:val="•"/>
      <w:lvlJc w:val="left"/>
      <w:pPr>
        <w:tabs>
          <w:tab w:val="num" w:pos="3600"/>
        </w:tabs>
        <w:ind w:left="3600" w:hanging="360"/>
      </w:pPr>
      <w:rPr>
        <w:rFonts w:ascii="Arial" w:hAnsi="Arial" w:hint="default"/>
      </w:rPr>
    </w:lvl>
    <w:lvl w:ilvl="5" w:tplc="666CDDBE" w:tentative="1">
      <w:start w:val="1"/>
      <w:numFmt w:val="bullet"/>
      <w:lvlText w:val="•"/>
      <w:lvlJc w:val="left"/>
      <w:pPr>
        <w:tabs>
          <w:tab w:val="num" w:pos="4320"/>
        </w:tabs>
        <w:ind w:left="4320" w:hanging="360"/>
      </w:pPr>
      <w:rPr>
        <w:rFonts w:ascii="Arial" w:hAnsi="Arial" w:hint="default"/>
      </w:rPr>
    </w:lvl>
    <w:lvl w:ilvl="6" w:tplc="70A4D74E" w:tentative="1">
      <w:start w:val="1"/>
      <w:numFmt w:val="bullet"/>
      <w:lvlText w:val="•"/>
      <w:lvlJc w:val="left"/>
      <w:pPr>
        <w:tabs>
          <w:tab w:val="num" w:pos="5040"/>
        </w:tabs>
        <w:ind w:left="5040" w:hanging="360"/>
      </w:pPr>
      <w:rPr>
        <w:rFonts w:ascii="Arial" w:hAnsi="Arial" w:hint="default"/>
      </w:rPr>
    </w:lvl>
    <w:lvl w:ilvl="7" w:tplc="8BC46E4E" w:tentative="1">
      <w:start w:val="1"/>
      <w:numFmt w:val="bullet"/>
      <w:lvlText w:val="•"/>
      <w:lvlJc w:val="left"/>
      <w:pPr>
        <w:tabs>
          <w:tab w:val="num" w:pos="5760"/>
        </w:tabs>
        <w:ind w:left="5760" w:hanging="360"/>
      </w:pPr>
      <w:rPr>
        <w:rFonts w:ascii="Arial" w:hAnsi="Arial" w:hint="default"/>
      </w:rPr>
    </w:lvl>
    <w:lvl w:ilvl="8" w:tplc="1544241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5E467E8A"/>
    <w:multiLevelType w:val="hybridMultilevel"/>
    <w:tmpl w:val="9CEA5FF4"/>
    <w:lvl w:ilvl="0" w:tplc="27DC83CE">
      <w:start w:val="5"/>
      <w:numFmt w:val="bullet"/>
      <w:lvlText w:val="-"/>
      <w:lvlJc w:val="left"/>
      <w:pPr>
        <w:ind w:left="420" w:hanging="420"/>
      </w:pPr>
      <w:rPr>
        <w:rFonts w:ascii="Times" w:eastAsia="MS Mincho"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F545E4B"/>
    <w:multiLevelType w:val="hybridMultilevel"/>
    <w:tmpl w:val="6CAA2FBC"/>
    <w:lvl w:ilvl="0" w:tplc="A9CCA8DA">
      <w:start w:val="1"/>
      <w:numFmt w:val="bullet"/>
      <w:lvlText w:val="•"/>
      <w:lvlJc w:val="left"/>
      <w:pPr>
        <w:tabs>
          <w:tab w:val="num" w:pos="360"/>
        </w:tabs>
        <w:ind w:left="360" w:hanging="360"/>
      </w:pPr>
      <w:rPr>
        <w:rFonts w:ascii="Arial" w:hAnsi="Arial" w:hint="default"/>
      </w:rPr>
    </w:lvl>
    <w:lvl w:ilvl="1" w:tplc="4F6438FE">
      <w:start w:val="1"/>
      <w:numFmt w:val="bullet"/>
      <w:lvlText w:val="•"/>
      <w:lvlJc w:val="left"/>
      <w:pPr>
        <w:tabs>
          <w:tab w:val="num" w:pos="1080"/>
        </w:tabs>
        <w:ind w:left="1080" w:hanging="360"/>
      </w:pPr>
      <w:rPr>
        <w:rFonts w:ascii="Arial" w:hAnsi="Arial" w:hint="default"/>
      </w:rPr>
    </w:lvl>
    <w:lvl w:ilvl="2" w:tplc="E56C279C">
      <w:numFmt w:val="bullet"/>
      <w:lvlText w:val="•"/>
      <w:lvlJc w:val="left"/>
      <w:pPr>
        <w:tabs>
          <w:tab w:val="num" w:pos="1800"/>
        </w:tabs>
        <w:ind w:left="1800" w:hanging="360"/>
      </w:pPr>
      <w:rPr>
        <w:rFonts w:ascii="Arial" w:hAnsi="Arial" w:hint="default"/>
      </w:rPr>
    </w:lvl>
    <w:lvl w:ilvl="3" w:tplc="DFF410C8">
      <w:numFmt w:val="bullet"/>
      <w:lvlText w:val="•"/>
      <w:lvlJc w:val="left"/>
      <w:pPr>
        <w:tabs>
          <w:tab w:val="num" w:pos="2520"/>
        </w:tabs>
        <w:ind w:left="2520" w:hanging="360"/>
      </w:pPr>
      <w:rPr>
        <w:rFonts w:ascii="Arial" w:hAnsi="Arial" w:hint="default"/>
      </w:rPr>
    </w:lvl>
    <w:lvl w:ilvl="4" w:tplc="24B822AE">
      <w:numFmt w:val="bullet"/>
      <w:lvlText w:val="•"/>
      <w:lvlJc w:val="left"/>
      <w:pPr>
        <w:tabs>
          <w:tab w:val="num" w:pos="3240"/>
        </w:tabs>
        <w:ind w:left="3240" w:hanging="360"/>
      </w:pPr>
      <w:rPr>
        <w:rFonts w:ascii="Arial" w:hAnsi="Arial" w:hint="default"/>
      </w:rPr>
    </w:lvl>
    <w:lvl w:ilvl="5" w:tplc="EADE0E0C">
      <w:numFmt w:val="bullet"/>
      <w:lvlText w:val="•"/>
      <w:lvlJc w:val="left"/>
      <w:pPr>
        <w:tabs>
          <w:tab w:val="num" w:pos="3960"/>
        </w:tabs>
        <w:ind w:left="3960" w:hanging="360"/>
      </w:pPr>
      <w:rPr>
        <w:rFonts w:ascii="Arial" w:hAnsi="Arial" w:hint="default"/>
      </w:rPr>
    </w:lvl>
    <w:lvl w:ilvl="6" w:tplc="280CDD06" w:tentative="1">
      <w:start w:val="1"/>
      <w:numFmt w:val="bullet"/>
      <w:lvlText w:val="•"/>
      <w:lvlJc w:val="left"/>
      <w:pPr>
        <w:tabs>
          <w:tab w:val="num" w:pos="4680"/>
        </w:tabs>
        <w:ind w:left="4680" w:hanging="360"/>
      </w:pPr>
      <w:rPr>
        <w:rFonts w:ascii="Arial" w:hAnsi="Arial" w:hint="default"/>
      </w:rPr>
    </w:lvl>
    <w:lvl w:ilvl="7" w:tplc="D0480446" w:tentative="1">
      <w:start w:val="1"/>
      <w:numFmt w:val="bullet"/>
      <w:lvlText w:val="•"/>
      <w:lvlJc w:val="left"/>
      <w:pPr>
        <w:tabs>
          <w:tab w:val="num" w:pos="5400"/>
        </w:tabs>
        <w:ind w:left="5400" w:hanging="360"/>
      </w:pPr>
      <w:rPr>
        <w:rFonts w:ascii="Arial" w:hAnsi="Arial" w:hint="default"/>
      </w:rPr>
    </w:lvl>
    <w:lvl w:ilvl="8" w:tplc="4F88920C"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605854C4"/>
    <w:multiLevelType w:val="hybridMultilevel"/>
    <w:tmpl w:val="5784C75C"/>
    <w:lvl w:ilvl="0" w:tplc="81D8CC46">
      <w:numFmt w:val="bullet"/>
      <w:lvlText w:val="•"/>
      <w:lvlJc w:val="left"/>
      <w:pPr>
        <w:ind w:left="535" w:hanging="420"/>
      </w:pPr>
      <w:rPr>
        <w:rFonts w:ascii="Arial" w:eastAsia="Times New Roman" w:hAnsi="Arial" w:cs="Arial"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BA5665D"/>
    <w:multiLevelType w:val="hybridMultilevel"/>
    <w:tmpl w:val="8E5497D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6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EBC0198"/>
    <w:multiLevelType w:val="hybridMultilevel"/>
    <w:tmpl w:val="ADA047C0"/>
    <w:lvl w:ilvl="0" w:tplc="F760A490">
      <w:start w:val="1"/>
      <w:numFmt w:val="decimal"/>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start w:val="1"/>
      <w:numFmt w:val="decimal"/>
      <w:lvlText w:val="%3."/>
      <w:lvlJc w:val="left"/>
      <w:pPr>
        <w:tabs>
          <w:tab w:val="num" w:pos="1800"/>
        </w:tabs>
        <w:ind w:left="1800" w:hanging="360"/>
      </w:pPr>
    </w:lvl>
    <w:lvl w:ilvl="3" w:tplc="4CB8AA7E">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67" w15:restartNumberingAfterBreak="0">
    <w:nsid w:val="75DB1FD9"/>
    <w:multiLevelType w:val="hybridMultilevel"/>
    <w:tmpl w:val="E952747C"/>
    <w:lvl w:ilvl="0" w:tplc="7A14B5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6A15E67"/>
    <w:multiLevelType w:val="hybridMultilevel"/>
    <w:tmpl w:val="DF740094"/>
    <w:lvl w:ilvl="0" w:tplc="7A14B50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78477EA5"/>
    <w:multiLevelType w:val="hybridMultilevel"/>
    <w:tmpl w:val="C5B89A4A"/>
    <w:lvl w:ilvl="0" w:tplc="7CA6699C">
      <w:start w:val="1"/>
      <w:numFmt w:val="bullet"/>
      <w:lvlText w:val="•"/>
      <w:lvlJc w:val="left"/>
      <w:pPr>
        <w:tabs>
          <w:tab w:val="num" w:pos="720"/>
        </w:tabs>
        <w:ind w:left="720" w:hanging="360"/>
      </w:pPr>
      <w:rPr>
        <w:rFonts w:ascii="Arial" w:hAnsi="Arial" w:hint="default"/>
      </w:rPr>
    </w:lvl>
    <w:lvl w:ilvl="1" w:tplc="23BAE3EA" w:tentative="1">
      <w:start w:val="1"/>
      <w:numFmt w:val="bullet"/>
      <w:lvlText w:val="•"/>
      <w:lvlJc w:val="left"/>
      <w:pPr>
        <w:tabs>
          <w:tab w:val="num" w:pos="1440"/>
        </w:tabs>
        <w:ind w:left="1440" w:hanging="360"/>
      </w:pPr>
      <w:rPr>
        <w:rFonts w:ascii="Arial" w:hAnsi="Arial" w:hint="default"/>
      </w:rPr>
    </w:lvl>
    <w:lvl w:ilvl="2" w:tplc="274E5746" w:tentative="1">
      <w:start w:val="1"/>
      <w:numFmt w:val="bullet"/>
      <w:lvlText w:val="•"/>
      <w:lvlJc w:val="left"/>
      <w:pPr>
        <w:tabs>
          <w:tab w:val="num" w:pos="2160"/>
        </w:tabs>
        <w:ind w:left="2160" w:hanging="360"/>
      </w:pPr>
      <w:rPr>
        <w:rFonts w:ascii="Arial" w:hAnsi="Arial" w:hint="default"/>
      </w:rPr>
    </w:lvl>
    <w:lvl w:ilvl="3" w:tplc="7FAA12F2" w:tentative="1">
      <w:start w:val="1"/>
      <w:numFmt w:val="bullet"/>
      <w:lvlText w:val="•"/>
      <w:lvlJc w:val="left"/>
      <w:pPr>
        <w:tabs>
          <w:tab w:val="num" w:pos="2880"/>
        </w:tabs>
        <w:ind w:left="2880" w:hanging="360"/>
      </w:pPr>
      <w:rPr>
        <w:rFonts w:ascii="Arial" w:hAnsi="Arial" w:hint="default"/>
      </w:rPr>
    </w:lvl>
    <w:lvl w:ilvl="4" w:tplc="519EB280" w:tentative="1">
      <w:start w:val="1"/>
      <w:numFmt w:val="bullet"/>
      <w:lvlText w:val="•"/>
      <w:lvlJc w:val="left"/>
      <w:pPr>
        <w:tabs>
          <w:tab w:val="num" w:pos="3600"/>
        </w:tabs>
        <w:ind w:left="3600" w:hanging="360"/>
      </w:pPr>
      <w:rPr>
        <w:rFonts w:ascii="Arial" w:hAnsi="Arial" w:hint="default"/>
      </w:rPr>
    </w:lvl>
    <w:lvl w:ilvl="5" w:tplc="7F820916" w:tentative="1">
      <w:start w:val="1"/>
      <w:numFmt w:val="bullet"/>
      <w:lvlText w:val="•"/>
      <w:lvlJc w:val="left"/>
      <w:pPr>
        <w:tabs>
          <w:tab w:val="num" w:pos="4320"/>
        </w:tabs>
        <w:ind w:left="4320" w:hanging="360"/>
      </w:pPr>
      <w:rPr>
        <w:rFonts w:ascii="Arial" w:hAnsi="Arial" w:hint="default"/>
      </w:rPr>
    </w:lvl>
    <w:lvl w:ilvl="6" w:tplc="EAE4CF2E" w:tentative="1">
      <w:start w:val="1"/>
      <w:numFmt w:val="bullet"/>
      <w:lvlText w:val="•"/>
      <w:lvlJc w:val="left"/>
      <w:pPr>
        <w:tabs>
          <w:tab w:val="num" w:pos="5040"/>
        </w:tabs>
        <w:ind w:left="5040" w:hanging="360"/>
      </w:pPr>
      <w:rPr>
        <w:rFonts w:ascii="Arial" w:hAnsi="Arial" w:hint="default"/>
      </w:rPr>
    </w:lvl>
    <w:lvl w:ilvl="7" w:tplc="C41C1404" w:tentative="1">
      <w:start w:val="1"/>
      <w:numFmt w:val="bullet"/>
      <w:lvlText w:val="•"/>
      <w:lvlJc w:val="left"/>
      <w:pPr>
        <w:tabs>
          <w:tab w:val="num" w:pos="5760"/>
        </w:tabs>
        <w:ind w:left="5760" w:hanging="360"/>
      </w:pPr>
      <w:rPr>
        <w:rFonts w:ascii="Arial" w:hAnsi="Arial" w:hint="default"/>
      </w:rPr>
    </w:lvl>
    <w:lvl w:ilvl="8" w:tplc="3218301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8FE693F"/>
    <w:multiLevelType w:val="hybridMultilevel"/>
    <w:tmpl w:val="B7363A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B3210"/>
    <w:multiLevelType w:val="hybridMultilevel"/>
    <w:tmpl w:val="93629882"/>
    <w:lvl w:ilvl="0" w:tplc="44C23B34">
      <w:start w:val="1"/>
      <w:numFmt w:val="decimal"/>
      <w:lvlText w:val="(%1)"/>
      <w:lvlJc w:val="left"/>
      <w:pPr>
        <w:ind w:left="720" w:hanging="360"/>
      </w:pPr>
      <w:rPr>
        <w:rFonts w:ascii="SimSun" w:eastAsia="SimSun" w:hAnsi="SimSun" w:cs="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1"/>
  </w:num>
  <w:num w:numId="2">
    <w:abstractNumId w:val="36"/>
  </w:num>
  <w:num w:numId="3">
    <w:abstractNumId w:val="33"/>
  </w:num>
  <w:num w:numId="4">
    <w:abstractNumId w:val="26"/>
  </w:num>
  <w:num w:numId="5">
    <w:abstractNumId w:val="14"/>
  </w:num>
  <w:num w:numId="6">
    <w:abstractNumId w:val="65"/>
  </w:num>
  <w:num w:numId="7">
    <w:abstractNumId w:val="27"/>
  </w:num>
  <w:num w:numId="8">
    <w:abstractNumId w:val="49"/>
  </w:num>
  <w:num w:numId="9">
    <w:abstractNumId w:val="60"/>
  </w:num>
  <w:num w:numId="10">
    <w:abstractNumId w:val="62"/>
  </w:num>
  <w:num w:numId="11">
    <w:abstractNumId w:val="72"/>
  </w:num>
  <w:num w:numId="12">
    <w:abstractNumId w:val="25"/>
  </w:num>
  <w:num w:numId="13">
    <w:abstractNumId w:val="52"/>
  </w:num>
  <w:num w:numId="14">
    <w:abstractNumId w:val="51"/>
  </w:num>
  <w:num w:numId="15">
    <w:abstractNumId w:val="40"/>
  </w:num>
  <w:num w:numId="16">
    <w:abstractNumId w:val="22"/>
  </w:num>
  <w:num w:numId="17">
    <w:abstractNumId w:val="39"/>
  </w:num>
  <w:num w:numId="18">
    <w:abstractNumId w:val="24"/>
  </w:num>
  <w:num w:numId="19">
    <w:abstractNumId w:val="18"/>
  </w:num>
  <w:num w:numId="20">
    <w:abstractNumId w:val="56"/>
  </w:num>
  <w:num w:numId="21">
    <w:abstractNumId w:val="4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53"/>
  </w:num>
  <w:num w:numId="32">
    <w:abstractNumId w:val="69"/>
  </w:num>
  <w:num w:numId="33">
    <w:abstractNumId w:val="55"/>
  </w:num>
  <w:num w:numId="34">
    <w:abstractNumId w:val="41"/>
  </w:num>
  <w:num w:numId="35">
    <w:abstractNumId w:val="44"/>
  </w:num>
  <w:num w:numId="36">
    <w:abstractNumId w:val="11"/>
  </w:num>
  <w:num w:numId="37">
    <w:abstractNumId w:val="29"/>
  </w:num>
  <w:num w:numId="38">
    <w:abstractNumId w:val="13"/>
  </w:num>
  <w:num w:numId="39">
    <w:abstractNumId w:val="38"/>
  </w:num>
  <w:num w:numId="40">
    <w:abstractNumId w:val="64"/>
  </w:num>
  <w:num w:numId="41">
    <w:abstractNumId w:val="21"/>
  </w:num>
  <w:num w:numId="42">
    <w:abstractNumId w:val="32"/>
  </w:num>
  <w:num w:numId="43">
    <w:abstractNumId w:val="45"/>
  </w:num>
  <w:num w:numId="44">
    <w:abstractNumId w:val="15"/>
  </w:num>
  <w:num w:numId="45">
    <w:abstractNumId w:val="58"/>
  </w:num>
  <w:num w:numId="46">
    <w:abstractNumId w:val="66"/>
  </w:num>
  <w:num w:numId="47">
    <w:abstractNumId w:val="34"/>
  </w:num>
  <w:num w:numId="48">
    <w:abstractNumId w:val="9"/>
  </w:num>
  <w:num w:numId="49">
    <w:abstractNumId w:val="16"/>
  </w:num>
  <w:num w:numId="50">
    <w:abstractNumId w:val="35"/>
  </w:num>
  <w:num w:numId="51">
    <w:abstractNumId w:val="19"/>
  </w:num>
  <w:num w:numId="52">
    <w:abstractNumId w:val="73"/>
  </w:num>
  <w:num w:numId="53">
    <w:abstractNumId w:val="42"/>
  </w:num>
  <w:num w:numId="54">
    <w:abstractNumId w:val="63"/>
  </w:num>
  <w:num w:numId="55">
    <w:abstractNumId w:val="61"/>
  </w:num>
  <w:num w:numId="56">
    <w:abstractNumId w:val="17"/>
  </w:num>
  <w:num w:numId="57">
    <w:abstractNumId w:val="33"/>
  </w:num>
  <w:num w:numId="58">
    <w:abstractNumId w:val="33"/>
  </w:num>
  <w:num w:numId="59">
    <w:abstractNumId w:val="59"/>
  </w:num>
  <w:num w:numId="60">
    <w:abstractNumId w:val="54"/>
  </w:num>
  <w:num w:numId="61">
    <w:abstractNumId w:val="12"/>
  </w:num>
  <w:num w:numId="62">
    <w:abstractNumId w:val="70"/>
  </w:num>
  <w:num w:numId="63">
    <w:abstractNumId w:val="20"/>
  </w:num>
  <w:num w:numId="64">
    <w:abstractNumId w:val="68"/>
  </w:num>
  <w:num w:numId="65">
    <w:abstractNumId w:val="67"/>
  </w:num>
  <w:num w:numId="66">
    <w:abstractNumId w:val="23"/>
  </w:num>
  <w:num w:numId="67">
    <w:abstractNumId w:val="43"/>
  </w:num>
  <w:num w:numId="68">
    <w:abstractNumId w:val="10"/>
  </w:num>
  <w:num w:numId="69">
    <w:abstractNumId w:val="33"/>
  </w:num>
  <w:num w:numId="70">
    <w:abstractNumId w:val="30"/>
  </w:num>
  <w:num w:numId="71">
    <w:abstractNumId w:val="37"/>
  </w:num>
  <w:num w:numId="72">
    <w:abstractNumId w:val="57"/>
  </w:num>
  <w:num w:numId="73">
    <w:abstractNumId w:val="46"/>
  </w:num>
  <w:num w:numId="74">
    <w:abstractNumId w:val="50"/>
  </w:num>
  <w:num w:numId="75">
    <w:abstractNumId w:val="31"/>
  </w:num>
  <w:num w:numId="76">
    <w:abstractNumId w:val="47"/>
  </w:num>
  <w:num w:numId="77">
    <w:abstractNumId w:val="2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_tradnl"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E"/>
    <w:rsid w:val="00000D04"/>
    <w:rsid w:val="00000DB2"/>
    <w:rsid w:val="000020F6"/>
    <w:rsid w:val="00002893"/>
    <w:rsid w:val="000033A3"/>
    <w:rsid w:val="00003605"/>
    <w:rsid w:val="00003C56"/>
    <w:rsid w:val="00003EC2"/>
    <w:rsid w:val="000040A9"/>
    <w:rsid w:val="0000458E"/>
    <w:rsid w:val="00004A5A"/>
    <w:rsid w:val="00004E70"/>
    <w:rsid w:val="00005037"/>
    <w:rsid w:val="00006EB5"/>
    <w:rsid w:val="000072B6"/>
    <w:rsid w:val="00007813"/>
    <w:rsid w:val="00007E60"/>
    <w:rsid w:val="000109E6"/>
    <w:rsid w:val="00011912"/>
    <w:rsid w:val="00011F67"/>
    <w:rsid w:val="00012862"/>
    <w:rsid w:val="000128E6"/>
    <w:rsid w:val="00015EFB"/>
    <w:rsid w:val="00016138"/>
    <w:rsid w:val="00016583"/>
    <w:rsid w:val="000165E2"/>
    <w:rsid w:val="00016720"/>
    <w:rsid w:val="000172BE"/>
    <w:rsid w:val="00017B4D"/>
    <w:rsid w:val="00017D8A"/>
    <w:rsid w:val="0002106E"/>
    <w:rsid w:val="00021759"/>
    <w:rsid w:val="00023388"/>
    <w:rsid w:val="00023425"/>
    <w:rsid w:val="000241BE"/>
    <w:rsid w:val="000242F2"/>
    <w:rsid w:val="00024F7C"/>
    <w:rsid w:val="0002593D"/>
    <w:rsid w:val="00026188"/>
    <w:rsid w:val="00026A33"/>
    <w:rsid w:val="00026D4B"/>
    <w:rsid w:val="0002704A"/>
    <w:rsid w:val="000275C6"/>
    <w:rsid w:val="00027AD6"/>
    <w:rsid w:val="0003024C"/>
    <w:rsid w:val="00031201"/>
    <w:rsid w:val="00031ADB"/>
    <w:rsid w:val="00032056"/>
    <w:rsid w:val="000328CA"/>
    <w:rsid w:val="00032C88"/>
    <w:rsid w:val="00032E40"/>
    <w:rsid w:val="00033537"/>
    <w:rsid w:val="0003376B"/>
    <w:rsid w:val="00034676"/>
    <w:rsid w:val="000346E6"/>
    <w:rsid w:val="000352B3"/>
    <w:rsid w:val="00037B04"/>
    <w:rsid w:val="0004023E"/>
    <w:rsid w:val="0004024B"/>
    <w:rsid w:val="00040A9C"/>
    <w:rsid w:val="00041C57"/>
    <w:rsid w:val="000434B7"/>
    <w:rsid w:val="000435E4"/>
    <w:rsid w:val="00046796"/>
    <w:rsid w:val="000467FD"/>
    <w:rsid w:val="00046AAF"/>
    <w:rsid w:val="00047225"/>
    <w:rsid w:val="00047E60"/>
    <w:rsid w:val="00052AD2"/>
    <w:rsid w:val="000530DF"/>
    <w:rsid w:val="000544B7"/>
    <w:rsid w:val="00054E0C"/>
    <w:rsid w:val="0005541D"/>
    <w:rsid w:val="000560BD"/>
    <w:rsid w:val="000565C8"/>
    <w:rsid w:val="00057DC8"/>
    <w:rsid w:val="00060A7D"/>
    <w:rsid w:val="000612E1"/>
    <w:rsid w:val="000614FE"/>
    <w:rsid w:val="00064344"/>
    <w:rsid w:val="00065D38"/>
    <w:rsid w:val="00067DD1"/>
    <w:rsid w:val="00070447"/>
    <w:rsid w:val="000706E7"/>
    <w:rsid w:val="00070EF8"/>
    <w:rsid w:val="00071192"/>
    <w:rsid w:val="000713A7"/>
    <w:rsid w:val="000729CE"/>
    <w:rsid w:val="00072A80"/>
    <w:rsid w:val="000731A0"/>
    <w:rsid w:val="000736C1"/>
    <w:rsid w:val="00073797"/>
    <w:rsid w:val="00073DEC"/>
    <w:rsid w:val="000745AA"/>
    <w:rsid w:val="00074E86"/>
    <w:rsid w:val="0007569C"/>
    <w:rsid w:val="00076097"/>
    <w:rsid w:val="00076541"/>
    <w:rsid w:val="000772F4"/>
    <w:rsid w:val="000776EB"/>
    <w:rsid w:val="000807A2"/>
    <w:rsid w:val="00081909"/>
    <w:rsid w:val="000823B0"/>
    <w:rsid w:val="0008335B"/>
    <w:rsid w:val="00083379"/>
    <w:rsid w:val="00083587"/>
    <w:rsid w:val="00083838"/>
    <w:rsid w:val="00083B6A"/>
    <w:rsid w:val="0008536B"/>
    <w:rsid w:val="000858CF"/>
    <w:rsid w:val="00085E04"/>
    <w:rsid w:val="00086800"/>
    <w:rsid w:val="00087913"/>
    <w:rsid w:val="000902DC"/>
    <w:rsid w:val="000911AE"/>
    <w:rsid w:val="00093697"/>
    <w:rsid w:val="00093D42"/>
    <w:rsid w:val="00093DD0"/>
    <w:rsid w:val="0009427A"/>
    <w:rsid w:val="00094A16"/>
    <w:rsid w:val="00094DE6"/>
    <w:rsid w:val="00096356"/>
    <w:rsid w:val="0009641F"/>
    <w:rsid w:val="000976CE"/>
    <w:rsid w:val="00097C99"/>
    <w:rsid w:val="00097DB9"/>
    <w:rsid w:val="000A0F14"/>
    <w:rsid w:val="000A1441"/>
    <w:rsid w:val="000A1A06"/>
    <w:rsid w:val="000A1B60"/>
    <w:rsid w:val="000A21B4"/>
    <w:rsid w:val="000A2CC7"/>
    <w:rsid w:val="000A2ED6"/>
    <w:rsid w:val="000A31B6"/>
    <w:rsid w:val="000A31FB"/>
    <w:rsid w:val="000A34CD"/>
    <w:rsid w:val="000A3C74"/>
    <w:rsid w:val="000A4205"/>
    <w:rsid w:val="000A4A19"/>
    <w:rsid w:val="000A6351"/>
    <w:rsid w:val="000A63D6"/>
    <w:rsid w:val="000A7B38"/>
    <w:rsid w:val="000B0343"/>
    <w:rsid w:val="000B2985"/>
    <w:rsid w:val="000B2AC6"/>
    <w:rsid w:val="000B2C88"/>
    <w:rsid w:val="000B3342"/>
    <w:rsid w:val="000B51FA"/>
    <w:rsid w:val="000B5905"/>
    <w:rsid w:val="000B5975"/>
    <w:rsid w:val="000B642D"/>
    <w:rsid w:val="000B6E2C"/>
    <w:rsid w:val="000B76C5"/>
    <w:rsid w:val="000B7A10"/>
    <w:rsid w:val="000C114B"/>
    <w:rsid w:val="000C115D"/>
    <w:rsid w:val="000C1535"/>
    <w:rsid w:val="000C1BD2"/>
    <w:rsid w:val="000C252B"/>
    <w:rsid w:val="000C2E7B"/>
    <w:rsid w:val="000C2FBD"/>
    <w:rsid w:val="000C3AA3"/>
    <w:rsid w:val="000C3B0C"/>
    <w:rsid w:val="000C422D"/>
    <w:rsid w:val="000C4793"/>
    <w:rsid w:val="000C4FBD"/>
    <w:rsid w:val="000C5F91"/>
    <w:rsid w:val="000C6025"/>
    <w:rsid w:val="000D0565"/>
    <w:rsid w:val="000D0739"/>
    <w:rsid w:val="000D078C"/>
    <w:rsid w:val="000D0E4E"/>
    <w:rsid w:val="000D113C"/>
    <w:rsid w:val="000D12D1"/>
    <w:rsid w:val="000D159A"/>
    <w:rsid w:val="000D1796"/>
    <w:rsid w:val="000D22CC"/>
    <w:rsid w:val="000D2C5B"/>
    <w:rsid w:val="000D36AE"/>
    <w:rsid w:val="000D38A1"/>
    <w:rsid w:val="000D4C4E"/>
    <w:rsid w:val="000D5077"/>
    <w:rsid w:val="000D5362"/>
    <w:rsid w:val="000D57C2"/>
    <w:rsid w:val="000D57F8"/>
    <w:rsid w:val="000D5851"/>
    <w:rsid w:val="000D5C60"/>
    <w:rsid w:val="000D71E2"/>
    <w:rsid w:val="000D73A5"/>
    <w:rsid w:val="000D754A"/>
    <w:rsid w:val="000E07D6"/>
    <w:rsid w:val="000E0CDC"/>
    <w:rsid w:val="000E11DF"/>
    <w:rsid w:val="000E12E9"/>
    <w:rsid w:val="000E1380"/>
    <w:rsid w:val="000E18DF"/>
    <w:rsid w:val="000E1A13"/>
    <w:rsid w:val="000E3CF1"/>
    <w:rsid w:val="000E5438"/>
    <w:rsid w:val="000E59A0"/>
    <w:rsid w:val="000E7A84"/>
    <w:rsid w:val="000F15BC"/>
    <w:rsid w:val="000F180A"/>
    <w:rsid w:val="000F1C92"/>
    <w:rsid w:val="000F2639"/>
    <w:rsid w:val="000F2EEE"/>
    <w:rsid w:val="000F3697"/>
    <w:rsid w:val="000F7F58"/>
    <w:rsid w:val="00100128"/>
    <w:rsid w:val="00100FF3"/>
    <w:rsid w:val="001026CA"/>
    <w:rsid w:val="00102E03"/>
    <w:rsid w:val="00103FE1"/>
    <w:rsid w:val="001043C2"/>
    <w:rsid w:val="001043E1"/>
    <w:rsid w:val="0010505A"/>
    <w:rsid w:val="00105CC7"/>
    <w:rsid w:val="001072B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6661"/>
    <w:rsid w:val="00130779"/>
    <w:rsid w:val="001307A1"/>
    <w:rsid w:val="001309DF"/>
    <w:rsid w:val="001321D3"/>
    <w:rsid w:val="00133599"/>
    <w:rsid w:val="0013388A"/>
    <w:rsid w:val="00133BF7"/>
    <w:rsid w:val="00133CB1"/>
    <w:rsid w:val="00134B88"/>
    <w:rsid w:val="00134E52"/>
    <w:rsid w:val="001354BF"/>
    <w:rsid w:val="00136A23"/>
    <w:rsid w:val="00136B99"/>
    <w:rsid w:val="00136D79"/>
    <w:rsid w:val="0014063E"/>
    <w:rsid w:val="0014087D"/>
    <w:rsid w:val="00140F74"/>
    <w:rsid w:val="00141134"/>
    <w:rsid w:val="00141191"/>
    <w:rsid w:val="0014159C"/>
    <w:rsid w:val="00142665"/>
    <w:rsid w:val="0014336F"/>
    <w:rsid w:val="0014384A"/>
    <w:rsid w:val="00143D38"/>
    <w:rsid w:val="0014450F"/>
    <w:rsid w:val="00144D8F"/>
    <w:rsid w:val="00145515"/>
    <w:rsid w:val="00145C74"/>
    <w:rsid w:val="001462E9"/>
    <w:rsid w:val="001467AF"/>
    <w:rsid w:val="00146B3E"/>
    <w:rsid w:val="00146E32"/>
    <w:rsid w:val="00151619"/>
    <w:rsid w:val="00151F07"/>
    <w:rsid w:val="00152835"/>
    <w:rsid w:val="0015434E"/>
    <w:rsid w:val="00155523"/>
    <w:rsid w:val="001559FA"/>
    <w:rsid w:val="00155D64"/>
    <w:rsid w:val="00156374"/>
    <w:rsid w:val="00156578"/>
    <w:rsid w:val="001577D8"/>
    <w:rsid w:val="00157FC3"/>
    <w:rsid w:val="00160739"/>
    <w:rsid w:val="00160B56"/>
    <w:rsid w:val="001615B3"/>
    <w:rsid w:val="001620FC"/>
    <w:rsid w:val="0016271E"/>
    <w:rsid w:val="00162D7A"/>
    <w:rsid w:val="00164826"/>
    <w:rsid w:val="00164DAB"/>
    <w:rsid w:val="00165BBB"/>
    <w:rsid w:val="0016613F"/>
    <w:rsid w:val="00166215"/>
    <w:rsid w:val="00166591"/>
    <w:rsid w:val="00170B97"/>
    <w:rsid w:val="00170E0A"/>
    <w:rsid w:val="00170F69"/>
    <w:rsid w:val="00171143"/>
    <w:rsid w:val="00172864"/>
    <w:rsid w:val="00172B82"/>
    <w:rsid w:val="00172EFA"/>
    <w:rsid w:val="00173608"/>
    <w:rsid w:val="00173F82"/>
    <w:rsid w:val="001745EC"/>
    <w:rsid w:val="001747B7"/>
    <w:rsid w:val="00175C30"/>
    <w:rsid w:val="00177069"/>
    <w:rsid w:val="00177825"/>
    <w:rsid w:val="00177A0A"/>
    <w:rsid w:val="00177FC1"/>
    <w:rsid w:val="001815A2"/>
    <w:rsid w:val="00181FC1"/>
    <w:rsid w:val="00182023"/>
    <w:rsid w:val="00182322"/>
    <w:rsid w:val="00183034"/>
    <w:rsid w:val="001830F7"/>
    <w:rsid w:val="00183C39"/>
    <w:rsid w:val="00183EE6"/>
    <w:rsid w:val="001855D4"/>
    <w:rsid w:val="0018588A"/>
    <w:rsid w:val="00185A49"/>
    <w:rsid w:val="00186D02"/>
    <w:rsid w:val="00187252"/>
    <w:rsid w:val="00187A71"/>
    <w:rsid w:val="001900E9"/>
    <w:rsid w:val="00191C91"/>
    <w:rsid w:val="00192DD9"/>
    <w:rsid w:val="00194339"/>
    <w:rsid w:val="00194412"/>
    <w:rsid w:val="00194848"/>
    <w:rsid w:val="001958EA"/>
    <w:rsid w:val="001959AD"/>
    <w:rsid w:val="00195E0E"/>
    <w:rsid w:val="001A180D"/>
    <w:rsid w:val="001A1BAC"/>
    <w:rsid w:val="001A23CE"/>
    <w:rsid w:val="001A2690"/>
    <w:rsid w:val="001A2C89"/>
    <w:rsid w:val="001A594F"/>
    <w:rsid w:val="001A673E"/>
    <w:rsid w:val="001A6DDF"/>
    <w:rsid w:val="001A73D2"/>
    <w:rsid w:val="001A7763"/>
    <w:rsid w:val="001A77AB"/>
    <w:rsid w:val="001A7A47"/>
    <w:rsid w:val="001B3964"/>
    <w:rsid w:val="001B4452"/>
    <w:rsid w:val="001B466C"/>
    <w:rsid w:val="001B4F34"/>
    <w:rsid w:val="001B52EC"/>
    <w:rsid w:val="001B554A"/>
    <w:rsid w:val="001B58D7"/>
    <w:rsid w:val="001B6564"/>
    <w:rsid w:val="001B691A"/>
    <w:rsid w:val="001C02D8"/>
    <w:rsid w:val="001C04E3"/>
    <w:rsid w:val="001C2378"/>
    <w:rsid w:val="001C295A"/>
    <w:rsid w:val="001C3EE9"/>
    <w:rsid w:val="001C3FA4"/>
    <w:rsid w:val="001C40F9"/>
    <w:rsid w:val="001C458B"/>
    <w:rsid w:val="001C54BB"/>
    <w:rsid w:val="001C5A40"/>
    <w:rsid w:val="001C5D4F"/>
    <w:rsid w:val="001C64C0"/>
    <w:rsid w:val="001C69DA"/>
    <w:rsid w:val="001C6D71"/>
    <w:rsid w:val="001C6F06"/>
    <w:rsid w:val="001C7AFF"/>
    <w:rsid w:val="001D00DB"/>
    <w:rsid w:val="001D1459"/>
    <w:rsid w:val="001D2360"/>
    <w:rsid w:val="001D3109"/>
    <w:rsid w:val="001D332E"/>
    <w:rsid w:val="001D383A"/>
    <w:rsid w:val="001D3C4D"/>
    <w:rsid w:val="001D5033"/>
    <w:rsid w:val="001D5C88"/>
    <w:rsid w:val="001D6567"/>
    <w:rsid w:val="001D695C"/>
    <w:rsid w:val="001D6FD9"/>
    <w:rsid w:val="001D7438"/>
    <w:rsid w:val="001D780E"/>
    <w:rsid w:val="001E05C3"/>
    <w:rsid w:val="001E0AD3"/>
    <w:rsid w:val="001E17AE"/>
    <w:rsid w:val="001E1D6F"/>
    <w:rsid w:val="001E36E4"/>
    <w:rsid w:val="001E379D"/>
    <w:rsid w:val="001E3A3C"/>
    <w:rsid w:val="001E5C23"/>
    <w:rsid w:val="001E660A"/>
    <w:rsid w:val="001E7504"/>
    <w:rsid w:val="001E76DF"/>
    <w:rsid w:val="001F1308"/>
    <w:rsid w:val="001F1525"/>
    <w:rsid w:val="001F1E87"/>
    <w:rsid w:val="001F1EB6"/>
    <w:rsid w:val="001F2E23"/>
    <w:rsid w:val="001F341F"/>
    <w:rsid w:val="001F3911"/>
    <w:rsid w:val="001F3F1A"/>
    <w:rsid w:val="001F44BF"/>
    <w:rsid w:val="001F4854"/>
    <w:rsid w:val="001F4CBD"/>
    <w:rsid w:val="001F5545"/>
    <w:rsid w:val="001F5777"/>
    <w:rsid w:val="001F5937"/>
    <w:rsid w:val="001F59E3"/>
    <w:rsid w:val="001F59ED"/>
    <w:rsid w:val="001F6426"/>
    <w:rsid w:val="001F7121"/>
    <w:rsid w:val="001F734D"/>
    <w:rsid w:val="001F78DA"/>
    <w:rsid w:val="00200D2C"/>
    <w:rsid w:val="002019D8"/>
    <w:rsid w:val="00201EC7"/>
    <w:rsid w:val="002020C9"/>
    <w:rsid w:val="00202730"/>
    <w:rsid w:val="0020349A"/>
    <w:rsid w:val="002034B4"/>
    <w:rsid w:val="00204032"/>
    <w:rsid w:val="00204BAD"/>
    <w:rsid w:val="00204D60"/>
    <w:rsid w:val="00205627"/>
    <w:rsid w:val="002056D0"/>
    <w:rsid w:val="00210860"/>
    <w:rsid w:val="00210B6A"/>
    <w:rsid w:val="00212CB6"/>
    <w:rsid w:val="00212E37"/>
    <w:rsid w:val="002140FF"/>
    <w:rsid w:val="00215CDC"/>
    <w:rsid w:val="00215E04"/>
    <w:rsid w:val="002178F8"/>
    <w:rsid w:val="00220407"/>
    <w:rsid w:val="00220894"/>
    <w:rsid w:val="0022378B"/>
    <w:rsid w:val="00224952"/>
    <w:rsid w:val="00224DD2"/>
    <w:rsid w:val="00225867"/>
    <w:rsid w:val="00225A6A"/>
    <w:rsid w:val="00225AC7"/>
    <w:rsid w:val="00225ACC"/>
    <w:rsid w:val="002268A6"/>
    <w:rsid w:val="00231C25"/>
    <w:rsid w:val="00231C6F"/>
    <w:rsid w:val="0023234E"/>
    <w:rsid w:val="00232A90"/>
    <w:rsid w:val="00234151"/>
    <w:rsid w:val="00234F8C"/>
    <w:rsid w:val="00235542"/>
    <w:rsid w:val="002369B0"/>
    <w:rsid w:val="00236AD8"/>
    <w:rsid w:val="00236AEB"/>
    <w:rsid w:val="002401F5"/>
    <w:rsid w:val="00240E54"/>
    <w:rsid w:val="002440FD"/>
    <w:rsid w:val="002451C5"/>
    <w:rsid w:val="0024532A"/>
    <w:rsid w:val="00245F1F"/>
    <w:rsid w:val="0024663B"/>
    <w:rsid w:val="00247103"/>
    <w:rsid w:val="00247A81"/>
    <w:rsid w:val="00247CBE"/>
    <w:rsid w:val="00250067"/>
    <w:rsid w:val="00250EE4"/>
    <w:rsid w:val="00251564"/>
    <w:rsid w:val="002516DE"/>
    <w:rsid w:val="00251F81"/>
    <w:rsid w:val="00252603"/>
    <w:rsid w:val="00252B48"/>
    <w:rsid w:val="00252BE0"/>
    <w:rsid w:val="00252D41"/>
    <w:rsid w:val="00253588"/>
    <w:rsid w:val="00253BE3"/>
    <w:rsid w:val="002546F4"/>
    <w:rsid w:val="002551D0"/>
    <w:rsid w:val="00255374"/>
    <w:rsid w:val="00257BF4"/>
    <w:rsid w:val="00260003"/>
    <w:rsid w:val="0026035D"/>
    <w:rsid w:val="002606D6"/>
    <w:rsid w:val="002610A4"/>
    <w:rsid w:val="00261C98"/>
    <w:rsid w:val="00261FE1"/>
    <w:rsid w:val="0026248E"/>
    <w:rsid w:val="00262914"/>
    <w:rsid w:val="002647BF"/>
    <w:rsid w:val="002647D5"/>
    <w:rsid w:val="00265032"/>
    <w:rsid w:val="002651FB"/>
    <w:rsid w:val="0026537F"/>
    <w:rsid w:val="0026538C"/>
    <w:rsid w:val="00265781"/>
    <w:rsid w:val="00265D48"/>
    <w:rsid w:val="00266B13"/>
    <w:rsid w:val="00270728"/>
    <w:rsid w:val="00270D42"/>
    <w:rsid w:val="0027195D"/>
    <w:rsid w:val="00272B03"/>
    <w:rsid w:val="002733E2"/>
    <w:rsid w:val="00274B13"/>
    <w:rsid w:val="002750B1"/>
    <w:rsid w:val="00276A35"/>
    <w:rsid w:val="00276F1C"/>
    <w:rsid w:val="00277835"/>
    <w:rsid w:val="00280AB1"/>
    <w:rsid w:val="00281CDB"/>
    <w:rsid w:val="00282372"/>
    <w:rsid w:val="00282D5F"/>
    <w:rsid w:val="00283730"/>
    <w:rsid w:val="00284BAE"/>
    <w:rsid w:val="002859AF"/>
    <w:rsid w:val="00286AE7"/>
    <w:rsid w:val="00287243"/>
    <w:rsid w:val="00290647"/>
    <w:rsid w:val="00290DBB"/>
    <w:rsid w:val="00291385"/>
    <w:rsid w:val="00291422"/>
    <w:rsid w:val="0029237F"/>
    <w:rsid w:val="00292715"/>
    <w:rsid w:val="00292A64"/>
    <w:rsid w:val="002938F5"/>
    <w:rsid w:val="002939F3"/>
    <w:rsid w:val="00293E57"/>
    <w:rsid w:val="002947D1"/>
    <w:rsid w:val="002948DF"/>
    <w:rsid w:val="00294D90"/>
    <w:rsid w:val="002A1E92"/>
    <w:rsid w:val="002A204D"/>
    <w:rsid w:val="002A2616"/>
    <w:rsid w:val="002A26E1"/>
    <w:rsid w:val="002A2A2D"/>
    <w:rsid w:val="002A2DE4"/>
    <w:rsid w:val="002A368A"/>
    <w:rsid w:val="002A4065"/>
    <w:rsid w:val="002A53D8"/>
    <w:rsid w:val="002A5906"/>
    <w:rsid w:val="002A59F0"/>
    <w:rsid w:val="002A6432"/>
    <w:rsid w:val="002A680B"/>
    <w:rsid w:val="002A6F25"/>
    <w:rsid w:val="002A6FD3"/>
    <w:rsid w:val="002A745F"/>
    <w:rsid w:val="002B0A7D"/>
    <w:rsid w:val="002B0C65"/>
    <w:rsid w:val="002B1A69"/>
    <w:rsid w:val="002B2723"/>
    <w:rsid w:val="002B303A"/>
    <w:rsid w:val="002B35F7"/>
    <w:rsid w:val="002B4045"/>
    <w:rsid w:val="002B538E"/>
    <w:rsid w:val="002B5DCA"/>
    <w:rsid w:val="002B6914"/>
    <w:rsid w:val="002B6BDC"/>
    <w:rsid w:val="002B75B0"/>
    <w:rsid w:val="002B7EAF"/>
    <w:rsid w:val="002C099C"/>
    <w:rsid w:val="002C0B74"/>
    <w:rsid w:val="002C0C8B"/>
    <w:rsid w:val="002C0CBB"/>
    <w:rsid w:val="002C0EF8"/>
    <w:rsid w:val="002C1201"/>
    <w:rsid w:val="002C1233"/>
    <w:rsid w:val="002C1460"/>
    <w:rsid w:val="002C159B"/>
    <w:rsid w:val="002C20F2"/>
    <w:rsid w:val="002C38B2"/>
    <w:rsid w:val="002C3F9C"/>
    <w:rsid w:val="002C4731"/>
    <w:rsid w:val="002C4A81"/>
    <w:rsid w:val="002C5AFA"/>
    <w:rsid w:val="002D0439"/>
    <w:rsid w:val="002D11B7"/>
    <w:rsid w:val="002D3BBC"/>
    <w:rsid w:val="002D438A"/>
    <w:rsid w:val="002D4511"/>
    <w:rsid w:val="002D5738"/>
    <w:rsid w:val="002D5E53"/>
    <w:rsid w:val="002D6C20"/>
    <w:rsid w:val="002E0319"/>
    <w:rsid w:val="002E179B"/>
    <w:rsid w:val="002E1C9E"/>
    <w:rsid w:val="002E257B"/>
    <w:rsid w:val="002E2882"/>
    <w:rsid w:val="002E3AB9"/>
    <w:rsid w:val="002E3C65"/>
    <w:rsid w:val="002E3F5B"/>
    <w:rsid w:val="002E4362"/>
    <w:rsid w:val="002E63D9"/>
    <w:rsid w:val="002E640E"/>
    <w:rsid w:val="002E6BC5"/>
    <w:rsid w:val="002F0C28"/>
    <w:rsid w:val="002F3CDE"/>
    <w:rsid w:val="002F4D79"/>
    <w:rsid w:val="002F5DD6"/>
    <w:rsid w:val="002F5FEA"/>
    <w:rsid w:val="002F63E7"/>
    <w:rsid w:val="002F7BE3"/>
    <w:rsid w:val="002F7E6A"/>
    <w:rsid w:val="00300165"/>
    <w:rsid w:val="003010CF"/>
    <w:rsid w:val="00302287"/>
    <w:rsid w:val="003026A4"/>
    <w:rsid w:val="003027C6"/>
    <w:rsid w:val="00303440"/>
    <w:rsid w:val="00303A56"/>
    <w:rsid w:val="00304D9B"/>
    <w:rsid w:val="00305D96"/>
    <w:rsid w:val="00305FF9"/>
    <w:rsid w:val="00306E6B"/>
    <w:rsid w:val="00307EAD"/>
    <w:rsid w:val="003100C8"/>
    <w:rsid w:val="00311161"/>
    <w:rsid w:val="003111BB"/>
    <w:rsid w:val="00311438"/>
    <w:rsid w:val="0031178E"/>
    <w:rsid w:val="00312400"/>
    <w:rsid w:val="00312739"/>
    <w:rsid w:val="00312D10"/>
    <w:rsid w:val="00312E57"/>
    <w:rsid w:val="0031586E"/>
    <w:rsid w:val="00315CAB"/>
    <w:rsid w:val="003161A3"/>
    <w:rsid w:val="003178DA"/>
    <w:rsid w:val="00317DB8"/>
    <w:rsid w:val="0032038E"/>
    <w:rsid w:val="00320618"/>
    <w:rsid w:val="00320A79"/>
    <w:rsid w:val="0032100B"/>
    <w:rsid w:val="00321BD7"/>
    <w:rsid w:val="0032207D"/>
    <w:rsid w:val="003223FC"/>
    <w:rsid w:val="0032260F"/>
    <w:rsid w:val="003228DA"/>
    <w:rsid w:val="00323D6B"/>
    <w:rsid w:val="00325706"/>
    <w:rsid w:val="00326957"/>
    <w:rsid w:val="00326AE2"/>
    <w:rsid w:val="00331426"/>
    <w:rsid w:val="0033171D"/>
    <w:rsid w:val="00331FC3"/>
    <w:rsid w:val="003336B3"/>
    <w:rsid w:val="00335003"/>
    <w:rsid w:val="00335B75"/>
    <w:rsid w:val="00335D8C"/>
    <w:rsid w:val="00336072"/>
    <w:rsid w:val="003363A1"/>
    <w:rsid w:val="00336BEF"/>
    <w:rsid w:val="0034087A"/>
    <w:rsid w:val="0034193A"/>
    <w:rsid w:val="0034205A"/>
    <w:rsid w:val="0034226D"/>
    <w:rsid w:val="00342972"/>
    <w:rsid w:val="00342C21"/>
    <w:rsid w:val="00342FDD"/>
    <w:rsid w:val="0034429B"/>
    <w:rsid w:val="003442AA"/>
    <w:rsid w:val="00344866"/>
    <w:rsid w:val="00345B9F"/>
    <w:rsid w:val="0034638C"/>
    <w:rsid w:val="00346F7F"/>
    <w:rsid w:val="00347127"/>
    <w:rsid w:val="0034796C"/>
    <w:rsid w:val="00347A97"/>
    <w:rsid w:val="00347AE6"/>
    <w:rsid w:val="00350108"/>
    <w:rsid w:val="003506EE"/>
    <w:rsid w:val="00350762"/>
    <w:rsid w:val="003507C4"/>
    <w:rsid w:val="003519A1"/>
    <w:rsid w:val="00352480"/>
    <w:rsid w:val="003530D2"/>
    <w:rsid w:val="0035331A"/>
    <w:rsid w:val="00353397"/>
    <w:rsid w:val="003534E1"/>
    <w:rsid w:val="003548D8"/>
    <w:rsid w:val="003550B4"/>
    <w:rsid w:val="003554CA"/>
    <w:rsid w:val="003557DA"/>
    <w:rsid w:val="00360232"/>
    <w:rsid w:val="003602E0"/>
    <w:rsid w:val="003605DC"/>
    <w:rsid w:val="00360D01"/>
    <w:rsid w:val="00360F41"/>
    <w:rsid w:val="00361151"/>
    <w:rsid w:val="003621FF"/>
    <w:rsid w:val="00362569"/>
    <w:rsid w:val="003629ED"/>
    <w:rsid w:val="003636CD"/>
    <w:rsid w:val="0036487C"/>
    <w:rsid w:val="0036540C"/>
    <w:rsid w:val="00365411"/>
    <w:rsid w:val="00365FA2"/>
    <w:rsid w:val="00366C69"/>
    <w:rsid w:val="00367441"/>
    <w:rsid w:val="00367B1D"/>
    <w:rsid w:val="00370E4F"/>
    <w:rsid w:val="00371215"/>
    <w:rsid w:val="00371C9C"/>
    <w:rsid w:val="00372F0D"/>
    <w:rsid w:val="00374059"/>
    <w:rsid w:val="00374468"/>
    <w:rsid w:val="00374643"/>
    <w:rsid w:val="00374789"/>
    <w:rsid w:val="0037535B"/>
    <w:rsid w:val="0037552D"/>
    <w:rsid w:val="003756DB"/>
    <w:rsid w:val="003770BB"/>
    <w:rsid w:val="0037771A"/>
    <w:rsid w:val="003779F0"/>
    <w:rsid w:val="003802DC"/>
    <w:rsid w:val="00380E4E"/>
    <w:rsid w:val="00380FBF"/>
    <w:rsid w:val="00382A43"/>
    <w:rsid w:val="00382A57"/>
    <w:rsid w:val="00382D60"/>
    <w:rsid w:val="00382F29"/>
    <w:rsid w:val="0038347F"/>
    <w:rsid w:val="00383C8D"/>
    <w:rsid w:val="0038469D"/>
    <w:rsid w:val="00384D05"/>
    <w:rsid w:val="003852FB"/>
    <w:rsid w:val="00385429"/>
    <w:rsid w:val="00385B05"/>
    <w:rsid w:val="00386382"/>
    <w:rsid w:val="003865EF"/>
    <w:rsid w:val="003869BF"/>
    <w:rsid w:val="00386BA9"/>
    <w:rsid w:val="00386E41"/>
    <w:rsid w:val="00390017"/>
    <w:rsid w:val="003901A3"/>
    <w:rsid w:val="0039072F"/>
    <w:rsid w:val="00392830"/>
    <w:rsid w:val="003940CE"/>
    <w:rsid w:val="0039431F"/>
    <w:rsid w:val="003946EE"/>
    <w:rsid w:val="00397C1D"/>
    <w:rsid w:val="003A04AD"/>
    <w:rsid w:val="003A180F"/>
    <w:rsid w:val="003A18DD"/>
    <w:rsid w:val="003A1C55"/>
    <w:rsid w:val="003A20C8"/>
    <w:rsid w:val="003A2C29"/>
    <w:rsid w:val="003A2EC3"/>
    <w:rsid w:val="003A36F2"/>
    <w:rsid w:val="003A3D39"/>
    <w:rsid w:val="003A3D6D"/>
    <w:rsid w:val="003A3EC7"/>
    <w:rsid w:val="003A40B4"/>
    <w:rsid w:val="003A45CC"/>
    <w:rsid w:val="003A7834"/>
    <w:rsid w:val="003B0B5B"/>
    <w:rsid w:val="003B0E79"/>
    <w:rsid w:val="003B1B27"/>
    <w:rsid w:val="003B328F"/>
    <w:rsid w:val="003B3575"/>
    <w:rsid w:val="003B39CA"/>
    <w:rsid w:val="003B48DC"/>
    <w:rsid w:val="003B50BC"/>
    <w:rsid w:val="003B5D97"/>
    <w:rsid w:val="003B63A4"/>
    <w:rsid w:val="003B6645"/>
    <w:rsid w:val="003B68FE"/>
    <w:rsid w:val="003B6D7D"/>
    <w:rsid w:val="003B791E"/>
    <w:rsid w:val="003B7D7E"/>
    <w:rsid w:val="003C04FF"/>
    <w:rsid w:val="003C1012"/>
    <w:rsid w:val="003C11C9"/>
    <w:rsid w:val="003C1229"/>
    <w:rsid w:val="003C1FD4"/>
    <w:rsid w:val="003C213D"/>
    <w:rsid w:val="003C25AD"/>
    <w:rsid w:val="003C2D21"/>
    <w:rsid w:val="003C31E3"/>
    <w:rsid w:val="003C5E6B"/>
    <w:rsid w:val="003C6F83"/>
    <w:rsid w:val="003C6FC5"/>
    <w:rsid w:val="003C7AD7"/>
    <w:rsid w:val="003C7EFA"/>
    <w:rsid w:val="003D0FC3"/>
    <w:rsid w:val="003D1F7A"/>
    <w:rsid w:val="003D2451"/>
    <w:rsid w:val="003D2C1D"/>
    <w:rsid w:val="003D2C34"/>
    <w:rsid w:val="003D3DDD"/>
    <w:rsid w:val="003D5CBF"/>
    <w:rsid w:val="003D66D2"/>
    <w:rsid w:val="003E07AE"/>
    <w:rsid w:val="003E13B1"/>
    <w:rsid w:val="003E14FC"/>
    <w:rsid w:val="003E1AEA"/>
    <w:rsid w:val="003E1F70"/>
    <w:rsid w:val="003E2976"/>
    <w:rsid w:val="003E4858"/>
    <w:rsid w:val="003E6316"/>
    <w:rsid w:val="003E6884"/>
    <w:rsid w:val="003E6AC5"/>
    <w:rsid w:val="003F0096"/>
    <w:rsid w:val="003F0850"/>
    <w:rsid w:val="003F0D12"/>
    <w:rsid w:val="003F160C"/>
    <w:rsid w:val="003F1AD4"/>
    <w:rsid w:val="003F321C"/>
    <w:rsid w:val="003F324F"/>
    <w:rsid w:val="003F33BC"/>
    <w:rsid w:val="003F3D4E"/>
    <w:rsid w:val="003F3EF8"/>
    <w:rsid w:val="003F477E"/>
    <w:rsid w:val="003F6CD2"/>
    <w:rsid w:val="003F788D"/>
    <w:rsid w:val="003F7991"/>
    <w:rsid w:val="0040126E"/>
    <w:rsid w:val="004020D4"/>
    <w:rsid w:val="004021B6"/>
    <w:rsid w:val="004047C4"/>
    <w:rsid w:val="0040570B"/>
    <w:rsid w:val="00405EDB"/>
    <w:rsid w:val="00405FB1"/>
    <w:rsid w:val="004063F4"/>
    <w:rsid w:val="00406460"/>
    <w:rsid w:val="00406BC5"/>
    <w:rsid w:val="00406EBC"/>
    <w:rsid w:val="004078B2"/>
    <w:rsid w:val="00410543"/>
    <w:rsid w:val="0041065B"/>
    <w:rsid w:val="00412461"/>
    <w:rsid w:val="00412546"/>
    <w:rsid w:val="00413053"/>
    <w:rsid w:val="0041319C"/>
    <w:rsid w:val="004137B6"/>
    <w:rsid w:val="00413A54"/>
    <w:rsid w:val="00413C10"/>
    <w:rsid w:val="00413CD9"/>
    <w:rsid w:val="00413E2D"/>
    <w:rsid w:val="00413F9A"/>
    <w:rsid w:val="004140CA"/>
    <w:rsid w:val="00414C65"/>
    <w:rsid w:val="00415D76"/>
    <w:rsid w:val="00416665"/>
    <w:rsid w:val="00416943"/>
    <w:rsid w:val="00416A67"/>
    <w:rsid w:val="00416ACB"/>
    <w:rsid w:val="004218A3"/>
    <w:rsid w:val="00421DC9"/>
    <w:rsid w:val="00421DCF"/>
    <w:rsid w:val="00422199"/>
    <w:rsid w:val="00422341"/>
    <w:rsid w:val="00423641"/>
    <w:rsid w:val="00426266"/>
    <w:rsid w:val="0042645F"/>
    <w:rsid w:val="00430280"/>
    <w:rsid w:val="00430A2D"/>
    <w:rsid w:val="00431505"/>
    <w:rsid w:val="00431AF0"/>
    <w:rsid w:val="0043213A"/>
    <w:rsid w:val="004330F4"/>
    <w:rsid w:val="00433590"/>
    <w:rsid w:val="0043393D"/>
    <w:rsid w:val="004344C7"/>
    <w:rsid w:val="00435274"/>
    <w:rsid w:val="004352AD"/>
    <w:rsid w:val="0043545D"/>
    <w:rsid w:val="00435871"/>
    <w:rsid w:val="00435FE2"/>
    <w:rsid w:val="00436E2F"/>
    <w:rsid w:val="00436EAB"/>
    <w:rsid w:val="00440DA4"/>
    <w:rsid w:val="004412FA"/>
    <w:rsid w:val="004415C0"/>
    <w:rsid w:val="0044515A"/>
    <w:rsid w:val="00445420"/>
    <w:rsid w:val="004461D9"/>
    <w:rsid w:val="004461EF"/>
    <w:rsid w:val="00446AC6"/>
    <w:rsid w:val="00446D53"/>
    <w:rsid w:val="0044759B"/>
    <w:rsid w:val="00447F54"/>
    <w:rsid w:val="00450B7E"/>
    <w:rsid w:val="0045136B"/>
    <w:rsid w:val="00451C7E"/>
    <w:rsid w:val="00452916"/>
    <w:rsid w:val="00452FA7"/>
    <w:rsid w:val="004533D7"/>
    <w:rsid w:val="00453BB6"/>
    <w:rsid w:val="00453CAA"/>
    <w:rsid w:val="00454EA1"/>
    <w:rsid w:val="00455113"/>
    <w:rsid w:val="00455497"/>
    <w:rsid w:val="004562D9"/>
    <w:rsid w:val="00456421"/>
    <w:rsid w:val="00456DAB"/>
    <w:rsid w:val="00460CC3"/>
    <w:rsid w:val="00460E86"/>
    <w:rsid w:val="0046257B"/>
    <w:rsid w:val="00463BCE"/>
    <w:rsid w:val="004646B4"/>
    <w:rsid w:val="00464A88"/>
    <w:rsid w:val="004651A0"/>
    <w:rsid w:val="004659A2"/>
    <w:rsid w:val="00466532"/>
    <w:rsid w:val="00466C6D"/>
    <w:rsid w:val="00467488"/>
    <w:rsid w:val="00470154"/>
    <w:rsid w:val="0047083E"/>
    <w:rsid w:val="00470EB5"/>
    <w:rsid w:val="0047286B"/>
    <w:rsid w:val="00472E27"/>
    <w:rsid w:val="00474220"/>
    <w:rsid w:val="004752D3"/>
    <w:rsid w:val="004754E1"/>
    <w:rsid w:val="00475661"/>
    <w:rsid w:val="00475721"/>
    <w:rsid w:val="00475CE0"/>
    <w:rsid w:val="00476827"/>
    <w:rsid w:val="00476BD4"/>
    <w:rsid w:val="00477C35"/>
    <w:rsid w:val="00477E8E"/>
    <w:rsid w:val="00480988"/>
    <w:rsid w:val="00480E05"/>
    <w:rsid w:val="00482BBE"/>
    <w:rsid w:val="00483A12"/>
    <w:rsid w:val="00483F7E"/>
    <w:rsid w:val="004843B3"/>
    <w:rsid w:val="004843DA"/>
    <w:rsid w:val="00484A77"/>
    <w:rsid w:val="00484C20"/>
    <w:rsid w:val="0048540F"/>
    <w:rsid w:val="00485970"/>
    <w:rsid w:val="00485C0D"/>
    <w:rsid w:val="00486575"/>
    <w:rsid w:val="004866D0"/>
    <w:rsid w:val="00486936"/>
    <w:rsid w:val="00490B5D"/>
    <w:rsid w:val="00491BF0"/>
    <w:rsid w:val="00494242"/>
    <w:rsid w:val="00494E8E"/>
    <w:rsid w:val="004950F2"/>
    <w:rsid w:val="004955BC"/>
    <w:rsid w:val="00495D63"/>
    <w:rsid w:val="0049616D"/>
    <w:rsid w:val="00496440"/>
    <w:rsid w:val="0049648F"/>
    <w:rsid w:val="00496606"/>
    <w:rsid w:val="00496F05"/>
    <w:rsid w:val="0049713E"/>
    <w:rsid w:val="00497370"/>
    <w:rsid w:val="004A0F39"/>
    <w:rsid w:val="004A251F"/>
    <w:rsid w:val="004A38BF"/>
    <w:rsid w:val="004A3BBF"/>
    <w:rsid w:val="004A3BF1"/>
    <w:rsid w:val="004A3E42"/>
    <w:rsid w:val="004A445B"/>
    <w:rsid w:val="004A4715"/>
    <w:rsid w:val="004A5046"/>
    <w:rsid w:val="004A565E"/>
    <w:rsid w:val="004A5A65"/>
    <w:rsid w:val="004A5DF3"/>
    <w:rsid w:val="004A6134"/>
    <w:rsid w:val="004A7092"/>
    <w:rsid w:val="004A7B70"/>
    <w:rsid w:val="004B49E6"/>
    <w:rsid w:val="004B4D69"/>
    <w:rsid w:val="004B6D08"/>
    <w:rsid w:val="004C01A8"/>
    <w:rsid w:val="004C1840"/>
    <w:rsid w:val="004C24C9"/>
    <w:rsid w:val="004C31B6"/>
    <w:rsid w:val="004C5319"/>
    <w:rsid w:val="004C621F"/>
    <w:rsid w:val="004C7948"/>
    <w:rsid w:val="004C7BB8"/>
    <w:rsid w:val="004C7C60"/>
    <w:rsid w:val="004D0844"/>
    <w:rsid w:val="004D0DFE"/>
    <w:rsid w:val="004D1209"/>
    <w:rsid w:val="004D15F3"/>
    <w:rsid w:val="004D1D91"/>
    <w:rsid w:val="004D22C3"/>
    <w:rsid w:val="004D24F1"/>
    <w:rsid w:val="004D27B5"/>
    <w:rsid w:val="004D353F"/>
    <w:rsid w:val="004D3BC3"/>
    <w:rsid w:val="004D5D59"/>
    <w:rsid w:val="004D6F4D"/>
    <w:rsid w:val="004D6F95"/>
    <w:rsid w:val="004D72FE"/>
    <w:rsid w:val="004D752D"/>
    <w:rsid w:val="004D7E91"/>
    <w:rsid w:val="004E003A"/>
    <w:rsid w:val="004E0768"/>
    <w:rsid w:val="004E0E89"/>
    <w:rsid w:val="004E1A31"/>
    <w:rsid w:val="004E2186"/>
    <w:rsid w:val="004E2DE0"/>
    <w:rsid w:val="004E4060"/>
    <w:rsid w:val="004E409A"/>
    <w:rsid w:val="004E5C9C"/>
    <w:rsid w:val="004F0FB9"/>
    <w:rsid w:val="004F1939"/>
    <w:rsid w:val="004F2F7E"/>
    <w:rsid w:val="004F32B5"/>
    <w:rsid w:val="004F346C"/>
    <w:rsid w:val="004F407E"/>
    <w:rsid w:val="004F5479"/>
    <w:rsid w:val="004F7528"/>
    <w:rsid w:val="004F7BCA"/>
    <w:rsid w:val="004F7C11"/>
    <w:rsid w:val="004F7D89"/>
    <w:rsid w:val="00501981"/>
    <w:rsid w:val="00501A85"/>
    <w:rsid w:val="00501BB3"/>
    <w:rsid w:val="005021DD"/>
    <w:rsid w:val="005026CA"/>
    <w:rsid w:val="00502B72"/>
    <w:rsid w:val="00503F29"/>
    <w:rsid w:val="0050454D"/>
    <w:rsid w:val="00504BC1"/>
    <w:rsid w:val="00505134"/>
    <w:rsid w:val="00505C04"/>
    <w:rsid w:val="005063CC"/>
    <w:rsid w:val="005079D4"/>
    <w:rsid w:val="00510EEB"/>
    <w:rsid w:val="00511F15"/>
    <w:rsid w:val="00512064"/>
    <w:rsid w:val="0051318C"/>
    <w:rsid w:val="005142CD"/>
    <w:rsid w:val="005143C9"/>
    <w:rsid w:val="005157A9"/>
    <w:rsid w:val="005173A7"/>
    <w:rsid w:val="005177E1"/>
    <w:rsid w:val="00520C0A"/>
    <w:rsid w:val="005218B6"/>
    <w:rsid w:val="005220DA"/>
    <w:rsid w:val="00522589"/>
    <w:rsid w:val="00524545"/>
    <w:rsid w:val="00524C4F"/>
    <w:rsid w:val="005255BF"/>
    <w:rsid w:val="005257DE"/>
    <w:rsid w:val="00527200"/>
    <w:rsid w:val="0052721D"/>
    <w:rsid w:val="00530157"/>
    <w:rsid w:val="00531EBE"/>
    <w:rsid w:val="00532F8B"/>
    <w:rsid w:val="00533737"/>
    <w:rsid w:val="00535B79"/>
    <w:rsid w:val="00535D7C"/>
    <w:rsid w:val="00536579"/>
    <w:rsid w:val="00536C1E"/>
    <w:rsid w:val="0054040E"/>
    <w:rsid w:val="005428A0"/>
    <w:rsid w:val="0054343A"/>
    <w:rsid w:val="00543974"/>
    <w:rsid w:val="00543AEA"/>
    <w:rsid w:val="00543EBF"/>
    <w:rsid w:val="00544ABA"/>
    <w:rsid w:val="00544ED1"/>
    <w:rsid w:val="0054593A"/>
    <w:rsid w:val="005467FB"/>
    <w:rsid w:val="00546AE9"/>
    <w:rsid w:val="00547989"/>
    <w:rsid w:val="005511FC"/>
    <w:rsid w:val="00551320"/>
    <w:rsid w:val="005518A4"/>
    <w:rsid w:val="00552768"/>
    <w:rsid w:val="00552935"/>
    <w:rsid w:val="00552C27"/>
    <w:rsid w:val="00553127"/>
    <w:rsid w:val="005537D5"/>
    <w:rsid w:val="00553BD7"/>
    <w:rsid w:val="00554BE7"/>
    <w:rsid w:val="0055677A"/>
    <w:rsid w:val="00556D68"/>
    <w:rsid w:val="00557173"/>
    <w:rsid w:val="00557214"/>
    <w:rsid w:val="005576A1"/>
    <w:rsid w:val="00557A64"/>
    <w:rsid w:val="005605C0"/>
    <w:rsid w:val="00560D23"/>
    <w:rsid w:val="005615D8"/>
    <w:rsid w:val="00561ADE"/>
    <w:rsid w:val="005626D6"/>
    <w:rsid w:val="0056387E"/>
    <w:rsid w:val="005638D4"/>
    <w:rsid w:val="005656ED"/>
    <w:rsid w:val="005663C9"/>
    <w:rsid w:val="00566544"/>
    <w:rsid w:val="00566608"/>
    <w:rsid w:val="00566C83"/>
    <w:rsid w:val="00567F24"/>
    <w:rsid w:val="005700FE"/>
    <w:rsid w:val="00570E24"/>
    <w:rsid w:val="00572576"/>
    <w:rsid w:val="00572760"/>
    <w:rsid w:val="00573318"/>
    <w:rsid w:val="005743DE"/>
    <w:rsid w:val="005748E0"/>
    <w:rsid w:val="00574F3F"/>
    <w:rsid w:val="00575262"/>
    <w:rsid w:val="0057562C"/>
    <w:rsid w:val="005759F6"/>
    <w:rsid w:val="00575E3E"/>
    <w:rsid w:val="00575E79"/>
    <w:rsid w:val="005765F5"/>
    <w:rsid w:val="00576D6C"/>
    <w:rsid w:val="00577A2E"/>
    <w:rsid w:val="00580E48"/>
    <w:rsid w:val="00580F0A"/>
    <w:rsid w:val="00581246"/>
    <w:rsid w:val="00582C3A"/>
    <w:rsid w:val="00582E1A"/>
    <w:rsid w:val="00583147"/>
    <w:rsid w:val="00584416"/>
    <w:rsid w:val="00584B39"/>
    <w:rsid w:val="00585028"/>
    <w:rsid w:val="00585316"/>
    <w:rsid w:val="005854D1"/>
    <w:rsid w:val="00585908"/>
    <w:rsid w:val="00585F5B"/>
    <w:rsid w:val="0058620A"/>
    <w:rsid w:val="00586F24"/>
    <w:rsid w:val="00587788"/>
    <w:rsid w:val="00587FAF"/>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8D1"/>
    <w:rsid w:val="00597ED0"/>
    <w:rsid w:val="005A054D"/>
    <w:rsid w:val="005A0A46"/>
    <w:rsid w:val="005A0C43"/>
    <w:rsid w:val="005A10B9"/>
    <w:rsid w:val="005A11EA"/>
    <w:rsid w:val="005A269F"/>
    <w:rsid w:val="005A305E"/>
    <w:rsid w:val="005A30BB"/>
    <w:rsid w:val="005A3887"/>
    <w:rsid w:val="005A7A64"/>
    <w:rsid w:val="005B0414"/>
    <w:rsid w:val="005B0542"/>
    <w:rsid w:val="005B2225"/>
    <w:rsid w:val="005B2799"/>
    <w:rsid w:val="005B2B77"/>
    <w:rsid w:val="005B3D4A"/>
    <w:rsid w:val="005B4D87"/>
    <w:rsid w:val="005B7DD1"/>
    <w:rsid w:val="005C00A0"/>
    <w:rsid w:val="005C28FA"/>
    <w:rsid w:val="005C3153"/>
    <w:rsid w:val="005C40F4"/>
    <w:rsid w:val="005C43BE"/>
    <w:rsid w:val="005C44F3"/>
    <w:rsid w:val="005C712D"/>
    <w:rsid w:val="005C7C75"/>
    <w:rsid w:val="005D0E4F"/>
    <w:rsid w:val="005D1E32"/>
    <w:rsid w:val="005D206B"/>
    <w:rsid w:val="005D22B7"/>
    <w:rsid w:val="005D25FC"/>
    <w:rsid w:val="005D2BDE"/>
    <w:rsid w:val="005D39B4"/>
    <w:rsid w:val="005D3D76"/>
    <w:rsid w:val="005D4578"/>
    <w:rsid w:val="005D46CA"/>
    <w:rsid w:val="005D4EFA"/>
    <w:rsid w:val="005D55BA"/>
    <w:rsid w:val="005D598D"/>
    <w:rsid w:val="005D5ADB"/>
    <w:rsid w:val="005D648A"/>
    <w:rsid w:val="005D6570"/>
    <w:rsid w:val="005D79D1"/>
    <w:rsid w:val="005D7E0D"/>
    <w:rsid w:val="005E0592"/>
    <w:rsid w:val="005E234A"/>
    <w:rsid w:val="005E35CC"/>
    <w:rsid w:val="005E371E"/>
    <w:rsid w:val="005E3964"/>
    <w:rsid w:val="005E53F9"/>
    <w:rsid w:val="005E775D"/>
    <w:rsid w:val="005E7A39"/>
    <w:rsid w:val="005F0600"/>
    <w:rsid w:val="005F0A43"/>
    <w:rsid w:val="005F27BF"/>
    <w:rsid w:val="005F4171"/>
    <w:rsid w:val="005F46D6"/>
    <w:rsid w:val="005F4DD6"/>
    <w:rsid w:val="005F50D8"/>
    <w:rsid w:val="005F53A1"/>
    <w:rsid w:val="005F53AA"/>
    <w:rsid w:val="005F6B77"/>
    <w:rsid w:val="005F7487"/>
    <w:rsid w:val="006002C7"/>
    <w:rsid w:val="00600F95"/>
    <w:rsid w:val="006012A7"/>
    <w:rsid w:val="00601839"/>
    <w:rsid w:val="00601CFA"/>
    <w:rsid w:val="00602759"/>
    <w:rsid w:val="0060277A"/>
    <w:rsid w:val="00602B7C"/>
    <w:rsid w:val="00603312"/>
    <w:rsid w:val="00603452"/>
    <w:rsid w:val="00604DC7"/>
    <w:rsid w:val="00604E47"/>
    <w:rsid w:val="00605441"/>
    <w:rsid w:val="00606970"/>
    <w:rsid w:val="00606A20"/>
    <w:rsid w:val="006072C6"/>
    <w:rsid w:val="00607A2E"/>
    <w:rsid w:val="00610851"/>
    <w:rsid w:val="00610FFD"/>
    <w:rsid w:val="006130F7"/>
    <w:rsid w:val="00613AF8"/>
    <w:rsid w:val="00613D8E"/>
    <w:rsid w:val="006140A9"/>
    <w:rsid w:val="006142E0"/>
    <w:rsid w:val="00615C4D"/>
    <w:rsid w:val="00615EF5"/>
    <w:rsid w:val="00616112"/>
    <w:rsid w:val="00617953"/>
    <w:rsid w:val="00617BD3"/>
    <w:rsid w:val="006205CA"/>
    <w:rsid w:val="00621F53"/>
    <w:rsid w:val="00622E2A"/>
    <w:rsid w:val="00623089"/>
    <w:rsid w:val="0062308E"/>
    <w:rsid w:val="006234C4"/>
    <w:rsid w:val="00623B9F"/>
    <w:rsid w:val="006244C9"/>
    <w:rsid w:val="006245F6"/>
    <w:rsid w:val="0062475D"/>
    <w:rsid w:val="00624941"/>
    <w:rsid w:val="0062495F"/>
    <w:rsid w:val="00625A63"/>
    <w:rsid w:val="0062660B"/>
    <w:rsid w:val="00626AD1"/>
    <w:rsid w:val="00626F06"/>
    <w:rsid w:val="006304BC"/>
    <w:rsid w:val="00630DCE"/>
    <w:rsid w:val="0063120A"/>
    <w:rsid w:val="0063150B"/>
    <w:rsid w:val="00631585"/>
    <w:rsid w:val="006318B3"/>
    <w:rsid w:val="006318DD"/>
    <w:rsid w:val="00632A3A"/>
    <w:rsid w:val="00633164"/>
    <w:rsid w:val="00634ACF"/>
    <w:rsid w:val="00635035"/>
    <w:rsid w:val="0063580D"/>
    <w:rsid w:val="00635CAE"/>
    <w:rsid w:val="00637240"/>
    <w:rsid w:val="00642871"/>
    <w:rsid w:val="00643660"/>
    <w:rsid w:val="00646E5C"/>
    <w:rsid w:val="00647741"/>
    <w:rsid w:val="00650139"/>
    <w:rsid w:val="00652756"/>
    <w:rsid w:val="00652AD8"/>
    <w:rsid w:val="00652B29"/>
    <w:rsid w:val="00652B79"/>
    <w:rsid w:val="006533C3"/>
    <w:rsid w:val="00654068"/>
    <w:rsid w:val="0065441A"/>
    <w:rsid w:val="006545C6"/>
    <w:rsid w:val="00654719"/>
    <w:rsid w:val="00654B38"/>
    <w:rsid w:val="00654B83"/>
    <w:rsid w:val="00655061"/>
    <w:rsid w:val="0065510C"/>
    <w:rsid w:val="00655B63"/>
    <w:rsid w:val="006571F6"/>
    <w:rsid w:val="006618CC"/>
    <w:rsid w:val="00662111"/>
    <w:rsid w:val="00662118"/>
    <w:rsid w:val="00663333"/>
    <w:rsid w:val="006638AD"/>
    <w:rsid w:val="006650C1"/>
    <w:rsid w:val="00666130"/>
    <w:rsid w:val="00666530"/>
    <w:rsid w:val="0066732C"/>
    <w:rsid w:val="006679F5"/>
    <w:rsid w:val="00667B77"/>
    <w:rsid w:val="006716DA"/>
    <w:rsid w:val="006728ED"/>
    <w:rsid w:val="006732B1"/>
    <w:rsid w:val="0067446F"/>
    <w:rsid w:val="006746A4"/>
    <w:rsid w:val="00675558"/>
    <w:rsid w:val="00675611"/>
    <w:rsid w:val="00675A60"/>
    <w:rsid w:val="006764AC"/>
    <w:rsid w:val="0067697E"/>
    <w:rsid w:val="00677443"/>
    <w:rsid w:val="0067769A"/>
    <w:rsid w:val="006806A3"/>
    <w:rsid w:val="006806A6"/>
    <w:rsid w:val="00680F0B"/>
    <w:rsid w:val="00681211"/>
    <w:rsid w:val="00681A37"/>
    <w:rsid w:val="00681B36"/>
    <w:rsid w:val="00682E14"/>
    <w:rsid w:val="0068333C"/>
    <w:rsid w:val="0068436C"/>
    <w:rsid w:val="00684937"/>
    <w:rsid w:val="0068545E"/>
    <w:rsid w:val="00685FD4"/>
    <w:rsid w:val="00686612"/>
    <w:rsid w:val="0068661E"/>
    <w:rsid w:val="00690A49"/>
    <w:rsid w:val="00690BB6"/>
    <w:rsid w:val="00691B30"/>
    <w:rsid w:val="0069238B"/>
    <w:rsid w:val="0069266E"/>
    <w:rsid w:val="00693912"/>
    <w:rsid w:val="00693E1F"/>
    <w:rsid w:val="00693ECB"/>
    <w:rsid w:val="00694797"/>
    <w:rsid w:val="0069480A"/>
    <w:rsid w:val="00695887"/>
    <w:rsid w:val="00697355"/>
    <w:rsid w:val="00697733"/>
    <w:rsid w:val="006A06C0"/>
    <w:rsid w:val="006A254E"/>
    <w:rsid w:val="006A2897"/>
    <w:rsid w:val="006A2B7B"/>
    <w:rsid w:val="006A2C30"/>
    <w:rsid w:val="006A301C"/>
    <w:rsid w:val="006A3E2B"/>
    <w:rsid w:val="006A5714"/>
    <w:rsid w:val="006A5ADA"/>
    <w:rsid w:val="006A5C67"/>
    <w:rsid w:val="006A6E17"/>
    <w:rsid w:val="006B120D"/>
    <w:rsid w:val="006B17E7"/>
    <w:rsid w:val="006B19E8"/>
    <w:rsid w:val="006B1A8A"/>
    <w:rsid w:val="006B1FD5"/>
    <w:rsid w:val="006B30AD"/>
    <w:rsid w:val="006B379C"/>
    <w:rsid w:val="006B3E01"/>
    <w:rsid w:val="006B555A"/>
    <w:rsid w:val="006B600A"/>
    <w:rsid w:val="006B6635"/>
    <w:rsid w:val="006B7935"/>
    <w:rsid w:val="006B7D22"/>
    <w:rsid w:val="006B7D2C"/>
    <w:rsid w:val="006B7F05"/>
    <w:rsid w:val="006C0F9C"/>
    <w:rsid w:val="006C1019"/>
    <w:rsid w:val="006C19E3"/>
    <w:rsid w:val="006C2BB5"/>
    <w:rsid w:val="006C2BEE"/>
    <w:rsid w:val="006C3AD8"/>
    <w:rsid w:val="006C40E1"/>
    <w:rsid w:val="006C4516"/>
    <w:rsid w:val="006C455E"/>
    <w:rsid w:val="006C5958"/>
    <w:rsid w:val="006C5B4F"/>
    <w:rsid w:val="006C643C"/>
    <w:rsid w:val="006C6E3A"/>
    <w:rsid w:val="006C6FD7"/>
    <w:rsid w:val="006C7F42"/>
    <w:rsid w:val="006D00DB"/>
    <w:rsid w:val="006D011C"/>
    <w:rsid w:val="006D0361"/>
    <w:rsid w:val="006D0BDD"/>
    <w:rsid w:val="006D154C"/>
    <w:rsid w:val="006D16B0"/>
    <w:rsid w:val="006D2182"/>
    <w:rsid w:val="006D238B"/>
    <w:rsid w:val="006D2444"/>
    <w:rsid w:val="006D254B"/>
    <w:rsid w:val="006D289B"/>
    <w:rsid w:val="006D3BE1"/>
    <w:rsid w:val="006D48FC"/>
    <w:rsid w:val="006D5207"/>
    <w:rsid w:val="006D5859"/>
    <w:rsid w:val="006D62BC"/>
    <w:rsid w:val="006D6450"/>
    <w:rsid w:val="006D6547"/>
    <w:rsid w:val="006D6939"/>
    <w:rsid w:val="006D7EB0"/>
    <w:rsid w:val="006E0138"/>
    <w:rsid w:val="006E02B7"/>
    <w:rsid w:val="006E0BB0"/>
    <w:rsid w:val="006E0CD8"/>
    <w:rsid w:val="006E12C3"/>
    <w:rsid w:val="006E2529"/>
    <w:rsid w:val="006E45F3"/>
    <w:rsid w:val="006E4A2F"/>
    <w:rsid w:val="006E4ED4"/>
    <w:rsid w:val="006E5763"/>
    <w:rsid w:val="006E5E19"/>
    <w:rsid w:val="006E61C3"/>
    <w:rsid w:val="006E799D"/>
    <w:rsid w:val="006F0593"/>
    <w:rsid w:val="006F1064"/>
    <w:rsid w:val="006F1EB7"/>
    <w:rsid w:val="006F3C97"/>
    <w:rsid w:val="006F52E5"/>
    <w:rsid w:val="006F6066"/>
    <w:rsid w:val="006F6850"/>
    <w:rsid w:val="006F707E"/>
    <w:rsid w:val="007001DC"/>
    <w:rsid w:val="0070033D"/>
    <w:rsid w:val="00700848"/>
    <w:rsid w:val="007025CB"/>
    <w:rsid w:val="00702D13"/>
    <w:rsid w:val="007034AA"/>
    <w:rsid w:val="00703C9D"/>
    <w:rsid w:val="007044D2"/>
    <w:rsid w:val="0070490C"/>
    <w:rsid w:val="00705C38"/>
    <w:rsid w:val="00706465"/>
    <w:rsid w:val="0070695A"/>
    <w:rsid w:val="0070782D"/>
    <w:rsid w:val="007109C2"/>
    <w:rsid w:val="00711340"/>
    <w:rsid w:val="00712775"/>
    <w:rsid w:val="00712C42"/>
    <w:rsid w:val="00713DE4"/>
    <w:rsid w:val="00714C47"/>
    <w:rsid w:val="007152F7"/>
    <w:rsid w:val="00715B9D"/>
    <w:rsid w:val="00716462"/>
    <w:rsid w:val="0071797A"/>
    <w:rsid w:val="00721029"/>
    <w:rsid w:val="00721084"/>
    <w:rsid w:val="00721262"/>
    <w:rsid w:val="00721D9B"/>
    <w:rsid w:val="00722121"/>
    <w:rsid w:val="007224B9"/>
    <w:rsid w:val="00722F94"/>
    <w:rsid w:val="00723AA7"/>
    <w:rsid w:val="0072432E"/>
    <w:rsid w:val="00726036"/>
    <w:rsid w:val="00726279"/>
    <w:rsid w:val="00726774"/>
    <w:rsid w:val="00726A9B"/>
    <w:rsid w:val="00727530"/>
    <w:rsid w:val="00730D60"/>
    <w:rsid w:val="00731290"/>
    <w:rsid w:val="00731E7C"/>
    <w:rsid w:val="007329EF"/>
    <w:rsid w:val="0073327A"/>
    <w:rsid w:val="00734EBE"/>
    <w:rsid w:val="00736DD8"/>
    <w:rsid w:val="0074076A"/>
    <w:rsid w:val="00741AF4"/>
    <w:rsid w:val="00741DCC"/>
    <w:rsid w:val="0074203A"/>
    <w:rsid w:val="007427B5"/>
    <w:rsid w:val="00742865"/>
    <w:rsid w:val="0074296C"/>
    <w:rsid w:val="00742C83"/>
    <w:rsid w:val="007435B2"/>
    <w:rsid w:val="0074360F"/>
    <w:rsid w:val="00744869"/>
    <w:rsid w:val="00744A64"/>
    <w:rsid w:val="00744D47"/>
    <w:rsid w:val="00744EA0"/>
    <w:rsid w:val="0074638D"/>
    <w:rsid w:val="00746484"/>
    <w:rsid w:val="0074704F"/>
    <w:rsid w:val="00747F48"/>
    <w:rsid w:val="00747F4C"/>
    <w:rsid w:val="00751091"/>
    <w:rsid w:val="00751B83"/>
    <w:rsid w:val="0075220B"/>
    <w:rsid w:val="00752854"/>
    <w:rsid w:val="00754359"/>
    <w:rsid w:val="00754411"/>
    <w:rsid w:val="00754BD9"/>
    <w:rsid w:val="00754E7A"/>
    <w:rsid w:val="0075540C"/>
    <w:rsid w:val="00755DB1"/>
    <w:rsid w:val="00756EBA"/>
    <w:rsid w:val="007574FC"/>
    <w:rsid w:val="00760975"/>
    <w:rsid w:val="00761953"/>
    <w:rsid w:val="00761FDA"/>
    <w:rsid w:val="007621FF"/>
    <w:rsid w:val="007634E3"/>
    <w:rsid w:val="00764194"/>
    <w:rsid w:val="00765ED3"/>
    <w:rsid w:val="0076658F"/>
    <w:rsid w:val="0076681D"/>
    <w:rsid w:val="00766A65"/>
    <w:rsid w:val="007671F5"/>
    <w:rsid w:val="007676B8"/>
    <w:rsid w:val="0077175C"/>
    <w:rsid w:val="00771870"/>
    <w:rsid w:val="00771945"/>
    <w:rsid w:val="00771BF9"/>
    <w:rsid w:val="00772F8A"/>
    <w:rsid w:val="007739C6"/>
    <w:rsid w:val="00774889"/>
    <w:rsid w:val="00774FF5"/>
    <w:rsid w:val="007750B3"/>
    <w:rsid w:val="00775F31"/>
    <w:rsid w:val="00775F76"/>
    <w:rsid w:val="00776AEA"/>
    <w:rsid w:val="00777BA0"/>
    <w:rsid w:val="007803BD"/>
    <w:rsid w:val="007811DC"/>
    <w:rsid w:val="00781869"/>
    <w:rsid w:val="007820FA"/>
    <w:rsid w:val="0078285F"/>
    <w:rsid w:val="00783207"/>
    <w:rsid w:val="00783E1D"/>
    <w:rsid w:val="0078483B"/>
    <w:rsid w:val="00784CDD"/>
    <w:rsid w:val="00784EED"/>
    <w:rsid w:val="007857DD"/>
    <w:rsid w:val="00785900"/>
    <w:rsid w:val="00786958"/>
    <w:rsid w:val="00786E71"/>
    <w:rsid w:val="0079162F"/>
    <w:rsid w:val="00792604"/>
    <w:rsid w:val="00792A22"/>
    <w:rsid w:val="0079345F"/>
    <w:rsid w:val="00793D7E"/>
    <w:rsid w:val="00794924"/>
    <w:rsid w:val="00794AA6"/>
    <w:rsid w:val="00795A2F"/>
    <w:rsid w:val="00795E8A"/>
    <w:rsid w:val="007A0BC2"/>
    <w:rsid w:val="007A1F44"/>
    <w:rsid w:val="007A23FF"/>
    <w:rsid w:val="007A295B"/>
    <w:rsid w:val="007A3424"/>
    <w:rsid w:val="007A35EF"/>
    <w:rsid w:val="007A43A2"/>
    <w:rsid w:val="007A47C0"/>
    <w:rsid w:val="007A4D04"/>
    <w:rsid w:val="007A7A96"/>
    <w:rsid w:val="007B03AF"/>
    <w:rsid w:val="007B1543"/>
    <w:rsid w:val="007B16A4"/>
    <w:rsid w:val="007B1AC0"/>
    <w:rsid w:val="007B270A"/>
    <w:rsid w:val="007B2D3B"/>
    <w:rsid w:val="007B52CD"/>
    <w:rsid w:val="007B7DC1"/>
    <w:rsid w:val="007B7EDB"/>
    <w:rsid w:val="007C18C4"/>
    <w:rsid w:val="007C19AD"/>
    <w:rsid w:val="007C2C13"/>
    <w:rsid w:val="007C3598"/>
    <w:rsid w:val="007C3BC4"/>
    <w:rsid w:val="007C3FA8"/>
    <w:rsid w:val="007C4F28"/>
    <w:rsid w:val="007C68DA"/>
    <w:rsid w:val="007D1E21"/>
    <w:rsid w:val="007D229A"/>
    <w:rsid w:val="007D2F44"/>
    <w:rsid w:val="007D2F4D"/>
    <w:rsid w:val="007D4178"/>
    <w:rsid w:val="007D4D33"/>
    <w:rsid w:val="007D7175"/>
    <w:rsid w:val="007E1369"/>
    <w:rsid w:val="007E180D"/>
    <w:rsid w:val="007E1A1B"/>
    <w:rsid w:val="007E1A88"/>
    <w:rsid w:val="007E2CCD"/>
    <w:rsid w:val="007E4C88"/>
    <w:rsid w:val="007E57BF"/>
    <w:rsid w:val="007E585E"/>
    <w:rsid w:val="007E7DDF"/>
    <w:rsid w:val="007F09F9"/>
    <w:rsid w:val="007F11C8"/>
    <w:rsid w:val="007F1CFB"/>
    <w:rsid w:val="007F220B"/>
    <w:rsid w:val="007F25FC"/>
    <w:rsid w:val="007F27DD"/>
    <w:rsid w:val="007F36DE"/>
    <w:rsid w:val="007F5112"/>
    <w:rsid w:val="007F515F"/>
    <w:rsid w:val="007F6880"/>
    <w:rsid w:val="007F76B4"/>
    <w:rsid w:val="007F7D68"/>
    <w:rsid w:val="008001B4"/>
    <w:rsid w:val="008006BD"/>
    <w:rsid w:val="00800769"/>
    <w:rsid w:val="00800ED2"/>
    <w:rsid w:val="00801426"/>
    <w:rsid w:val="008021BF"/>
    <w:rsid w:val="00802E74"/>
    <w:rsid w:val="00804B92"/>
    <w:rsid w:val="00804E21"/>
    <w:rsid w:val="00805092"/>
    <w:rsid w:val="00806AAF"/>
    <w:rsid w:val="008070AC"/>
    <w:rsid w:val="008101FD"/>
    <w:rsid w:val="00810D8D"/>
    <w:rsid w:val="00811835"/>
    <w:rsid w:val="00811E80"/>
    <w:rsid w:val="00813896"/>
    <w:rsid w:val="008145C0"/>
    <w:rsid w:val="0081581D"/>
    <w:rsid w:val="0081701F"/>
    <w:rsid w:val="008172BE"/>
    <w:rsid w:val="00817B71"/>
    <w:rsid w:val="00820244"/>
    <w:rsid w:val="00821CE9"/>
    <w:rsid w:val="008221B3"/>
    <w:rsid w:val="0082248E"/>
    <w:rsid w:val="0082349B"/>
    <w:rsid w:val="00823C4D"/>
    <w:rsid w:val="00824FDF"/>
    <w:rsid w:val="00825125"/>
    <w:rsid w:val="008257CC"/>
    <w:rsid w:val="008260E1"/>
    <w:rsid w:val="00826E1F"/>
    <w:rsid w:val="008274BF"/>
    <w:rsid w:val="00830DC3"/>
    <w:rsid w:val="00831555"/>
    <w:rsid w:val="00831F52"/>
    <w:rsid w:val="00832154"/>
    <w:rsid w:val="00832F5C"/>
    <w:rsid w:val="00833F52"/>
    <w:rsid w:val="00835065"/>
    <w:rsid w:val="0083537E"/>
    <w:rsid w:val="008359E0"/>
    <w:rsid w:val="00835DA8"/>
    <w:rsid w:val="008376F6"/>
    <w:rsid w:val="00837D5B"/>
    <w:rsid w:val="00840607"/>
    <w:rsid w:val="00841CD2"/>
    <w:rsid w:val="00842991"/>
    <w:rsid w:val="00842B77"/>
    <w:rsid w:val="00842DB1"/>
    <w:rsid w:val="0084309F"/>
    <w:rsid w:val="00845C12"/>
    <w:rsid w:val="008469D9"/>
    <w:rsid w:val="00846DC0"/>
    <w:rsid w:val="008474A7"/>
    <w:rsid w:val="0085010D"/>
    <w:rsid w:val="008506B6"/>
    <w:rsid w:val="00850AE0"/>
    <w:rsid w:val="008524D2"/>
    <w:rsid w:val="00852E19"/>
    <w:rsid w:val="00853AEB"/>
    <w:rsid w:val="0085627F"/>
    <w:rsid w:val="00856833"/>
    <w:rsid w:val="00856840"/>
    <w:rsid w:val="00857582"/>
    <w:rsid w:val="00857C2B"/>
    <w:rsid w:val="0086087C"/>
    <w:rsid w:val="00860D8E"/>
    <w:rsid w:val="0086275E"/>
    <w:rsid w:val="008630ED"/>
    <w:rsid w:val="00864263"/>
    <w:rsid w:val="00864440"/>
    <w:rsid w:val="00864D76"/>
    <w:rsid w:val="008650FC"/>
    <w:rsid w:val="0086631D"/>
    <w:rsid w:val="00866506"/>
    <w:rsid w:val="00866527"/>
    <w:rsid w:val="00866EB3"/>
    <w:rsid w:val="0086701A"/>
    <w:rsid w:val="00867B1F"/>
    <w:rsid w:val="00867BD2"/>
    <w:rsid w:val="00867E39"/>
    <w:rsid w:val="0087015B"/>
    <w:rsid w:val="00870374"/>
    <w:rsid w:val="008712FD"/>
    <w:rsid w:val="008716A1"/>
    <w:rsid w:val="00871E12"/>
    <w:rsid w:val="00872D3F"/>
    <w:rsid w:val="008733E4"/>
    <w:rsid w:val="00873F15"/>
    <w:rsid w:val="00874096"/>
    <w:rsid w:val="008756A4"/>
    <w:rsid w:val="00875A3D"/>
    <w:rsid w:val="00875F73"/>
    <w:rsid w:val="00880F30"/>
    <w:rsid w:val="008833E8"/>
    <w:rsid w:val="00883DDD"/>
    <w:rsid w:val="008849F9"/>
    <w:rsid w:val="00885650"/>
    <w:rsid w:val="008870F2"/>
    <w:rsid w:val="008875F1"/>
    <w:rsid w:val="00887B48"/>
    <w:rsid w:val="0089176E"/>
    <w:rsid w:val="008917E0"/>
    <w:rsid w:val="00892365"/>
    <w:rsid w:val="008928D7"/>
    <w:rsid w:val="00892BE5"/>
    <w:rsid w:val="0089387C"/>
    <w:rsid w:val="0089444E"/>
    <w:rsid w:val="008947CD"/>
    <w:rsid w:val="008949DF"/>
    <w:rsid w:val="008949FC"/>
    <w:rsid w:val="008951DB"/>
    <w:rsid w:val="00896C81"/>
    <w:rsid w:val="00896D83"/>
    <w:rsid w:val="00897D65"/>
    <w:rsid w:val="008A0AB2"/>
    <w:rsid w:val="008A0C0F"/>
    <w:rsid w:val="008A0CFC"/>
    <w:rsid w:val="008A12FE"/>
    <w:rsid w:val="008A28B6"/>
    <w:rsid w:val="008A2BB1"/>
    <w:rsid w:val="008A2C85"/>
    <w:rsid w:val="008A3466"/>
    <w:rsid w:val="008A389F"/>
    <w:rsid w:val="008A3D02"/>
    <w:rsid w:val="008A5940"/>
    <w:rsid w:val="008A73B2"/>
    <w:rsid w:val="008B043F"/>
    <w:rsid w:val="008B0808"/>
    <w:rsid w:val="008B0AEC"/>
    <w:rsid w:val="008B1B37"/>
    <w:rsid w:val="008B1E53"/>
    <w:rsid w:val="008B1E5B"/>
    <w:rsid w:val="008B253A"/>
    <w:rsid w:val="008B3338"/>
    <w:rsid w:val="008B389D"/>
    <w:rsid w:val="008B3C5C"/>
    <w:rsid w:val="008B4C7C"/>
    <w:rsid w:val="008B5299"/>
    <w:rsid w:val="008B5A5F"/>
    <w:rsid w:val="008B5AB0"/>
    <w:rsid w:val="008B6054"/>
    <w:rsid w:val="008B6075"/>
    <w:rsid w:val="008B6497"/>
    <w:rsid w:val="008B7B08"/>
    <w:rsid w:val="008C13F0"/>
    <w:rsid w:val="008C1F26"/>
    <w:rsid w:val="008C2A3A"/>
    <w:rsid w:val="008C4C7E"/>
    <w:rsid w:val="008C4D36"/>
    <w:rsid w:val="008C592F"/>
    <w:rsid w:val="008C5C46"/>
    <w:rsid w:val="008C6184"/>
    <w:rsid w:val="008C71A1"/>
    <w:rsid w:val="008C785E"/>
    <w:rsid w:val="008D0AFB"/>
    <w:rsid w:val="008D1511"/>
    <w:rsid w:val="008D1EDD"/>
    <w:rsid w:val="008D2E6B"/>
    <w:rsid w:val="008D32DF"/>
    <w:rsid w:val="008D35E9"/>
    <w:rsid w:val="008D3959"/>
    <w:rsid w:val="008D3966"/>
    <w:rsid w:val="008D4352"/>
    <w:rsid w:val="008D60BC"/>
    <w:rsid w:val="008D6D7B"/>
    <w:rsid w:val="008D797D"/>
    <w:rsid w:val="008D7EB7"/>
    <w:rsid w:val="008E0EB8"/>
    <w:rsid w:val="008E10A6"/>
    <w:rsid w:val="008E1271"/>
    <w:rsid w:val="008E1F43"/>
    <w:rsid w:val="008E2251"/>
    <w:rsid w:val="008E24B3"/>
    <w:rsid w:val="008E24CA"/>
    <w:rsid w:val="008E2F6E"/>
    <w:rsid w:val="008E2F79"/>
    <w:rsid w:val="008E38AD"/>
    <w:rsid w:val="008E3EEC"/>
    <w:rsid w:val="008E5BF2"/>
    <w:rsid w:val="008E5C81"/>
    <w:rsid w:val="008E716A"/>
    <w:rsid w:val="008F0294"/>
    <w:rsid w:val="008F0A38"/>
    <w:rsid w:val="008F0F84"/>
    <w:rsid w:val="008F1014"/>
    <w:rsid w:val="008F1129"/>
    <w:rsid w:val="008F11C9"/>
    <w:rsid w:val="008F1274"/>
    <w:rsid w:val="008F23D8"/>
    <w:rsid w:val="008F2FD5"/>
    <w:rsid w:val="008F37E5"/>
    <w:rsid w:val="008F48C2"/>
    <w:rsid w:val="008F57CE"/>
    <w:rsid w:val="008F5840"/>
    <w:rsid w:val="008F5EEF"/>
    <w:rsid w:val="008F66FE"/>
    <w:rsid w:val="008F72CC"/>
    <w:rsid w:val="008F72CD"/>
    <w:rsid w:val="0090058E"/>
    <w:rsid w:val="0090355C"/>
    <w:rsid w:val="00903802"/>
    <w:rsid w:val="00905453"/>
    <w:rsid w:val="00905C69"/>
    <w:rsid w:val="0090696D"/>
    <w:rsid w:val="00906CD6"/>
    <w:rsid w:val="00906E4D"/>
    <w:rsid w:val="00906F31"/>
    <w:rsid w:val="009078B3"/>
    <w:rsid w:val="00907A77"/>
    <w:rsid w:val="00907E00"/>
    <w:rsid w:val="0091088D"/>
    <w:rsid w:val="00910FC9"/>
    <w:rsid w:val="0091291A"/>
    <w:rsid w:val="00913612"/>
    <w:rsid w:val="0091366A"/>
    <w:rsid w:val="00913824"/>
    <w:rsid w:val="00914622"/>
    <w:rsid w:val="00914C6B"/>
    <w:rsid w:val="00914F1F"/>
    <w:rsid w:val="00915757"/>
    <w:rsid w:val="009159B3"/>
    <w:rsid w:val="00916181"/>
    <w:rsid w:val="00917CB8"/>
    <w:rsid w:val="009204C5"/>
    <w:rsid w:val="009215B0"/>
    <w:rsid w:val="0092180D"/>
    <w:rsid w:val="00922CCC"/>
    <w:rsid w:val="00922D09"/>
    <w:rsid w:val="009232C9"/>
    <w:rsid w:val="00923608"/>
    <w:rsid w:val="009238E5"/>
    <w:rsid w:val="00923A01"/>
    <w:rsid w:val="00923F12"/>
    <w:rsid w:val="00924DA2"/>
    <w:rsid w:val="00924FF8"/>
    <w:rsid w:val="009257EB"/>
    <w:rsid w:val="00925A4D"/>
    <w:rsid w:val="00925BA8"/>
    <w:rsid w:val="00926843"/>
    <w:rsid w:val="00926DA7"/>
    <w:rsid w:val="00927F8B"/>
    <w:rsid w:val="0093094D"/>
    <w:rsid w:val="009328C7"/>
    <w:rsid w:val="009336EC"/>
    <w:rsid w:val="00933F56"/>
    <w:rsid w:val="009344D2"/>
    <w:rsid w:val="0093489B"/>
    <w:rsid w:val="009348BE"/>
    <w:rsid w:val="00934C13"/>
    <w:rsid w:val="00935228"/>
    <w:rsid w:val="0093546C"/>
    <w:rsid w:val="009355A2"/>
    <w:rsid w:val="00935F9E"/>
    <w:rsid w:val="00936D98"/>
    <w:rsid w:val="00940BFD"/>
    <w:rsid w:val="0094290E"/>
    <w:rsid w:val="00942C80"/>
    <w:rsid w:val="00943197"/>
    <w:rsid w:val="009432FD"/>
    <w:rsid w:val="009435F2"/>
    <w:rsid w:val="00944BEB"/>
    <w:rsid w:val="00945180"/>
    <w:rsid w:val="00945854"/>
    <w:rsid w:val="0094590C"/>
    <w:rsid w:val="00946355"/>
    <w:rsid w:val="009468B7"/>
    <w:rsid w:val="00946EFD"/>
    <w:rsid w:val="0094724E"/>
    <w:rsid w:val="00947973"/>
    <w:rsid w:val="00947BE6"/>
    <w:rsid w:val="0095048D"/>
    <w:rsid w:val="009514C7"/>
    <w:rsid w:val="00951ADB"/>
    <w:rsid w:val="00952797"/>
    <w:rsid w:val="0095380C"/>
    <w:rsid w:val="00954353"/>
    <w:rsid w:val="009556CE"/>
    <w:rsid w:val="00955C0A"/>
    <w:rsid w:val="00955C4F"/>
    <w:rsid w:val="0096000D"/>
    <w:rsid w:val="0096096A"/>
    <w:rsid w:val="009657F1"/>
    <w:rsid w:val="0096625D"/>
    <w:rsid w:val="009676AE"/>
    <w:rsid w:val="009709F8"/>
    <w:rsid w:val="009719F4"/>
    <w:rsid w:val="00972929"/>
    <w:rsid w:val="00972F91"/>
    <w:rsid w:val="00973827"/>
    <w:rsid w:val="00974128"/>
    <w:rsid w:val="009742D3"/>
    <w:rsid w:val="00974459"/>
    <w:rsid w:val="009746C4"/>
    <w:rsid w:val="00977BA7"/>
    <w:rsid w:val="00980517"/>
    <w:rsid w:val="0098164B"/>
    <w:rsid w:val="0098194F"/>
    <w:rsid w:val="009826C8"/>
    <w:rsid w:val="009836E4"/>
    <w:rsid w:val="0098412F"/>
    <w:rsid w:val="00985F28"/>
    <w:rsid w:val="00986149"/>
    <w:rsid w:val="00986176"/>
    <w:rsid w:val="00986E7F"/>
    <w:rsid w:val="00987536"/>
    <w:rsid w:val="00990088"/>
    <w:rsid w:val="00990BD5"/>
    <w:rsid w:val="0099196F"/>
    <w:rsid w:val="00992B98"/>
    <w:rsid w:val="00992BAF"/>
    <w:rsid w:val="0099359F"/>
    <w:rsid w:val="00994871"/>
    <w:rsid w:val="00994E08"/>
    <w:rsid w:val="009951F9"/>
    <w:rsid w:val="00995404"/>
    <w:rsid w:val="00995C95"/>
    <w:rsid w:val="00995E85"/>
    <w:rsid w:val="00996468"/>
    <w:rsid w:val="00996876"/>
    <w:rsid w:val="00996FFA"/>
    <w:rsid w:val="009973F1"/>
    <w:rsid w:val="009973F3"/>
    <w:rsid w:val="009A010D"/>
    <w:rsid w:val="009A0C6F"/>
    <w:rsid w:val="009A0DE8"/>
    <w:rsid w:val="009A14EF"/>
    <w:rsid w:val="009A2060"/>
    <w:rsid w:val="009A2DF9"/>
    <w:rsid w:val="009A3552"/>
    <w:rsid w:val="009A3A86"/>
    <w:rsid w:val="009A4869"/>
    <w:rsid w:val="009A6A6B"/>
    <w:rsid w:val="009B0B00"/>
    <w:rsid w:val="009B1EF9"/>
    <w:rsid w:val="009B26AC"/>
    <w:rsid w:val="009B2FA6"/>
    <w:rsid w:val="009B37E2"/>
    <w:rsid w:val="009B3980"/>
    <w:rsid w:val="009B4519"/>
    <w:rsid w:val="009B506B"/>
    <w:rsid w:val="009B57EF"/>
    <w:rsid w:val="009B5B85"/>
    <w:rsid w:val="009B7121"/>
    <w:rsid w:val="009B7204"/>
    <w:rsid w:val="009C0074"/>
    <w:rsid w:val="009C0564"/>
    <w:rsid w:val="009C2685"/>
    <w:rsid w:val="009C39BC"/>
    <w:rsid w:val="009C4BC2"/>
    <w:rsid w:val="009C4D22"/>
    <w:rsid w:val="009C59CD"/>
    <w:rsid w:val="009C7320"/>
    <w:rsid w:val="009C7A64"/>
    <w:rsid w:val="009D0729"/>
    <w:rsid w:val="009D0F66"/>
    <w:rsid w:val="009D1A06"/>
    <w:rsid w:val="009D1BA4"/>
    <w:rsid w:val="009D22E4"/>
    <w:rsid w:val="009D22F7"/>
    <w:rsid w:val="009D24DA"/>
    <w:rsid w:val="009D2A45"/>
    <w:rsid w:val="009D319C"/>
    <w:rsid w:val="009D3963"/>
    <w:rsid w:val="009D40E3"/>
    <w:rsid w:val="009D5BAB"/>
    <w:rsid w:val="009D6A0A"/>
    <w:rsid w:val="009D7F61"/>
    <w:rsid w:val="009E058F"/>
    <w:rsid w:val="009E0A9E"/>
    <w:rsid w:val="009E19A2"/>
    <w:rsid w:val="009E1F9D"/>
    <w:rsid w:val="009E3AFD"/>
    <w:rsid w:val="009E3CDD"/>
    <w:rsid w:val="009E41CC"/>
    <w:rsid w:val="009E4B16"/>
    <w:rsid w:val="009E52CF"/>
    <w:rsid w:val="009E52D7"/>
    <w:rsid w:val="009E56A9"/>
    <w:rsid w:val="009E5B79"/>
    <w:rsid w:val="009E5C60"/>
    <w:rsid w:val="009E64DB"/>
    <w:rsid w:val="009E6794"/>
    <w:rsid w:val="009E6CAD"/>
    <w:rsid w:val="009E7189"/>
    <w:rsid w:val="009E7E46"/>
    <w:rsid w:val="009E7FC1"/>
    <w:rsid w:val="009F01E1"/>
    <w:rsid w:val="009F0B4D"/>
    <w:rsid w:val="009F1096"/>
    <w:rsid w:val="009F150E"/>
    <w:rsid w:val="009F27AD"/>
    <w:rsid w:val="009F2E70"/>
    <w:rsid w:val="009F3A14"/>
    <w:rsid w:val="009F3FB5"/>
    <w:rsid w:val="009F521F"/>
    <w:rsid w:val="009F553C"/>
    <w:rsid w:val="009F59F8"/>
    <w:rsid w:val="00A005B0"/>
    <w:rsid w:val="00A01ABB"/>
    <w:rsid w:val="00A01F17"/>
    <w:rsid w:val="00A022A5"/>
    <w:rsid w:val="00A03A22"/>
    <w:rsid w:val="00A04634"/>
    <w:rsid w:val="00A06119"/>
    <w:rsid w:val="00A06216"/>
    <w:rsid w:val="00A07A48"/>
    <w:rsid w:val="00A07B40"/>
    <w:rsid w:val="00A07CEE"/>
    <w:rsid w:val="00A108EE"/>
    <w:rsid w:val="00A10BB8"/>
    <w:rsid w:val="00A10FA5"/>
    <w:rsid w:val="00A11035"/>
    <w:rsid w:val="00A1200D"/>
    <w:rsid w:val="00A13455"/>
    <w:rsid w:val="00A137E4"/>
    <w:rsid w:val="00A14813"/>
    <w:rsid w:val="00A1566A"/>
    <w:rsid w:val="00A165BF"/>
    <w:rsid w:val="00A172E8"/>
    <w:rsid w:val="00A179FF"/>
    <w:rsid w:val="00A20F3B"/>
    <w:rsid w:val="00A21A36"/>
    <w:rsid w:val="00A2202E"/>
    <w:rsid w:val="00A25294"/>
    <w:rsid w:val="00A254EE"/>
    <w:rsid w:val="00A25BE7"/>
    <w:rsid w:val="00A27008"/>
    <w:rsid w:val="00A27CDF"/>
    <w:rsid w:val="00A309C6"/>
    <w:rsid w:val="00A30D13"/>
    <w:rsid w:val="00A314F9"/>
    <w:rsid w:val="00A3182C"/>
    <w:rsid w:val="00A319D0"/>
    <w:rsid w:val="00A32316"/>
    <w:rsid w:val="00A3238E"/>
    <w:rsid w:val="00A32BDE"/>
    <w:rsid w:val="00A33172"/>
    <w:rsid w:val="00A3432B"/>
    <w:rsid w:val="00A346BA"/>
    <w:rsid w:val="00A34C67"/>
    <w:rsid w:val="00A34D62"/>
    <w:rsid w:val="00A3611D"/>
    <w:rsid w:val="00A36339"/>
    <w:rsid w:val="00A366E4"/>
    <w:rsid w:val="00A40E8A"/>
    <w:rsid w:val="00A4104A"/>
    <w:rsid w:val="00A42AEA"/>
    <w:rsid w:val="00A4376F"/>
    <w:rsid w:val="00A437BE"/>
    <w:rsid w:val="00A44B73"/>
    <w:rsid w:val="00A4549F"/>
    <w:rsid w:val="00A45B9B"/>
    <w:rsid w:val="00A462FE"/>
    <w:rsid w:val="00A46654"/>
    <w:rsid w:val="00A501C9"/>
    <w:rsid w:val="00A50506"/>
    <w:rsid w:val="00A5192E"/>
    <w:rsid w:val="00A52BE4"/>
    <w:rsid w:val="00A53F55"/>
    <w:rsid w:val="00A5417B"/>
    <w:rsid w:val="00A54599"/>
    <w:rsid w:val="00A54B82"/>
    <w:rsid w:val="00A55C53"/>
    <w:rsid w:val="00A56154"/>
    <w:rsid w:val="00A569D4"/>
    <w:rsid w:val="00A56D33"/>
    <w:rsid w:val="00A57F1A"/>
    <w:rsid w:val="00A60163"/>
    <w:rsid w:val="00A6038D"/>
    <w:rsid w:val="00A60CF0"/>
    <w:rsid w:val="00A61023"/>
    <w:rsid w:val="00A61429"/>
    <w:rsid w:val="00A61514"/>
    <w:rsid w:val="00A61645"/>
    <w:rsid w:val="00A61DB0"/>
    <w:rsid w:val="00A61ED1"/>
    <w:rsid w:val="00A62080"/>
    <w:rsid w:val="00A630A2"/>
    <w:rsid w:val="00A632B8"/>
    <w:rsid w:val="00A63BF3"/>
    <w:rsid w:val="00A64942"/>
    <w:rsid w:val="00A652DD"/>
    <w:rsid w:val="00A6543B"/>
    <w:rsid w:val="00A65911"/>
    <w:rsid w:val="00A65F9A"/>
    <w:rsid w:val="00A6643C"/>
    <w:rsid w:val="00A6649A"/>
    <w:rsid w:val="00A6680B"/>
    <w:rsid w:val="00A671D4"/>
    <w:rsid w:val="00A67544"/>
    <w:rsid w:val="00A7075B"/>
    <w:rsid w:val="00A71CE6"/>
    <w:rsid w:val="00A71D23"/>
    <w:rsid w:val="00A7333A"/>
    <w:rsid w:val="00A73D0D"/>
    <w:rsid w:val="00A74A92"/>
    <w:rsid w:val="00A75CC1"/>
    <w:rsid w:val="00A75E88"/>
    <w:rsid w:val="00A8056E"/>
    <w:rsid w:val="00A82A47"/>
    <w:rsid w:val="00A82D58"/>
    <w:rsid w:val="00A8328A"/>
    <w:rsid w:val="00A8399D"/>
    <w:rsid w:val="00A83E3D"/>
    <w:rsid w:val="00A8443A"/>
    <w:rsid w:val="00A8479C"/>
    <w:rsid w:val="00A850AD"/>
    <w:rsid w:val="00A8557B"/>
    <w:rsid w:val="00A85A05"/>
    <w:rsid w:val="00A86D63"/>
    <w:rsid w:val="00A87797"/>
    <w:rsid w:val="00A90E72"/>
    <w:rsid w:val="00A922A2"/>
    <w:rsid w:val="00A9327B"/>
    <w:rsid w:val="00A9336D"/>
    <w:rsid w:val="00A93B69"/>
    <w:rsid w:val="00A93CDA"/>
    <w:rsid w:val="00A963C7"/>
    <w:rsid w:val="00A9643C"/>
    <w:rsid w:val="00A979A5"/>
    <w:rsid w:val="00AA1626"/>
    <w:rsid w:val="00AA199B"/>
    <w:rsid w:val="00AA1C25"/>
    <w:rsid w:val="00AA29EA"/>
    <w:rsid w:val="00AA3DB7"/>
    <w:rsid w:val="00AA51F5"/>
    <w:rsid w:val="00AA5685"/>
    <w:rsid w:val="00AA5E3B"/>
    <w:rsid w:val="00AA673C"/>
    <w:rsid w:val="00AA68B4"/>
    <w:rsid w:val="00AA6E80"/>
    <w:rsid w:val="00AA78A8"/>
    <w:rsid w:val="00AB0543"/>
    <w:rsid w:val="00AB0AC9"/>
    <w:rsid w:val="00AB185A"/>
    <w:rsid w:val="00AB1BA7"/>
    <w:rsid w:val="00AB1E04"/>
    <w:rsid w:val="00AB29CF"/>
    <w:rsid w:val="00AB3113"/>
    <w:rsid w:val="00AB348A"/>
    <w:rsid w:val="00AB3F38"/>
    <w:rsid w:val="00AB43EC"/>
    <w:rsid w:val="00AB4BF4"/>
    <w:rsid w:val="00AB5A9D"/>
    <w:rsid w:val="00AB5ADF"/>
    <w:rsid w:val="00AB5E57"/>
    <w:rsid w:val="00AB6868"/>
    <w:rsid w:val="00AB725F"/>
    <w:rsid w:val="00AB7FB1"/>
    <w:rsid w:val="00AC0705"/>
    <w:rsid w:val="00AC109B"/>
    <w:rsid w:val="00AC560D"/>
    <w:rsid w:val="00AC6B85"/>
    <w:rsid w:val="00AC74DA"/>
    <w:rsid w:val="00AC7A2B"/>
    <w:rsid w:val="00AC7C25"/>
    <w:rsid w:val="00AD0A51"/>
    <w:rsid w:val="00AD0B37"/>
    <w:rsid w:val="00AD10ED"/>
    <w:rsid w:val="00AD11F7"/>
    <w:rsid w:val="00AD1DB7"/>
    <w:rsid w:val="00AD248F"/>
    <w:rsid w:val="00AD2852"/>
    <w:rsid w:val="00AD3976"/>
    <w:rsid w:val="00AD3E83"/>
    <w:rsid w:val="00AD4D2A"/>
    <w:rsid w:val="00AD542F"/>
    <w:rsid w:val="00AD5F35"/>
    <w:rsid w:val="00AD7305"/>
    <w:rsid w:val="00AD7E64"/>
    <w:rsid w:val="00AE0C56"/>
    <w:rsid w:val="00AE134B"/>
    <w:rsid w:val="00AE149E"/>
    <w:rsid w:val="00AE22F2"/>
    <w:rsid w:val="00AE29FC"/>
    <w:rsid w:val="00AE2F3F"/>
    <w:rsid w:val="00AE3B4E"/>
    <w:rsid w:val="00AE59EC"/>
    <w:rsid w:val="00AE6671"/>
    <w:rsid w:val="00AE67B3"/>
    <w:rsid w:val="00AE7410"/>
    <w:rsid w:val="00AE7864"/>
    <w:rsid w:val="00AE7949"/>
    <w:rsid w:val="00AF247D"/>
    <w:rsid w:val="00AF25D5"/>
    <w:rsid w:val="00AF3064"/>
    <w:rsid w:val="00AF307D"/>
    <w:rsid w:val="00AF3DBB"/>
    <w:rsid w:val="00AF5194"/>
    <w:rsid w:val="00AF53EF"/>
    <w:rsid w:val="00AF558F"/>
    <w:rsid w:val="00AF7171"/>
    <w:rsid w:val="00AF73C3"/>
    <w:rsid w:val="00AF795C"/>
    <w:rsid w:val="00B0009C"/>
    <w:rsid w:val="00B00752"/>
    <w:rsid w:val="00B02147"/>
    <w:rsid w:val="00B026C1"/>
    <w:rsid w:val="00B02AA0"/>
    <w:rsid w:val="00B02B8A"/>
    <w:rsid w:val="00B02B9C"/>
    <w:rsid w:val="00B0353B"/>
    <w:rsid w:val="00B03B8A"/>
    <w:rsid w:val="00B040B2"/>
    <w:rsid w:val="00B073E7"/>
    <w:rsid w:val="00B10558"/>
    <w:rsid w:val="00B111F4"/>
    <w:rsid w:val="00B13CC8"/>
    <w:rsid w:val="00B13D98"/>
    <w:rsid w:val="00B156A9"/>
    <w:rsid w:val="00B15F83"/>
    <w:rsid w:val="00B160FF"/>
    <w:rsid w:val="00B16322"/>
    <w:rsid w:val="00B164E3"/>
    <w:rsid w:val="00B1662E"/>
    <w:rsid w:val="00B16A6F"/>
    <w:rsid w:val="00B215CF"/>
    <w:rsid w:val="00B22C0D"/>
    <w:rsid w:val="00B23AF4"/>
    <w:rsid w:val="00B23C15"/>
    <w:rsid w:val="00B25762"/>
    <w:rsid w:val="00B25934"/>
    <w:rsid w:val="00B25B40"/>
    <w:rsid w:val="00B25FDE"/>
    <w:rsid w:val="00B26AB0"/>
    <w:rsid w:val="00B26AD2"/>
    <w:rsid w:val="00B26CA2"/>
    <w:rsid w:val="00B30B4E"/>
    <w:rsid w:val="00B30C6E"/>
    <w:rsid w:val="00B31246"/>
    <w:rsid w:val="00B318A4"/>
    <w:rsid w:val="00B326FF"/>
    <w:rsid w:val="00B340AA"/>
    <w:rsid w:val="00B34A9F"/>
    <w:rsid w:val="00B34B6C"/>
    <w:rsid w:val="00B34B80"/>
    <w:rsid w:val="00B35CDA"/>
    <w:rsid w:val="00B376FA"/>
    <w:rsid w:val="00B37D97"/>
    <w:rsid w:val="00B4056F"/>
    <w:rsid w:val="00B411BD"/>
    <w:rsid w:val="00B41559"/>
    <w:rsid w:val="00B418E8"/>
    <w:rsid w:val="00B42285"/>
    <w:rsid w:val="00B4274B"/>
    <w:rsid w:val="00B435B1"/>
    <w:rsid w:val="00B4367F"/>
    <w:rsid w:val="00B438BA"/>
    <w:rsid w:val="00B44F99"/>
    <w:rsid w:val="00B45876"/>
    <w:rsid w:val="00B47AD6"/>
    <w:rsid w:val="00B47CF6"/>
    <w:rsid w:val="00B51542"/>
    <w:rsid w:val="00B51D1D"/>
    <w:rsid w:val="00B52049"/>
    <w:rsid w:val="00B523E6"/>
    <w:rsid w:val="00B5310E"/>
    <w:rsid w:val="00B54ACC"/>
    <w:rsid w:val="00B54DCB"/>
    <w:rsid w:val="00B55AC2"/>
    <w:rsid w:val="00B560C9"/>
    <w:rsid w:val="00B56533"/>
    <w:rsid w:val="00B56CFC"/>
    <w:rsid w:val="00B57777"/>
    <w:rsid w:val="00B57A17"/>
    <w:rsid w:val="00B61BE2"/>
    <w:rsid w:val="00B6266F"/>
    <w:rsid w:val="00B62E0B"/>
    <w:rsid w:val="00B63C32"/>
    <w:rsid w:val="00B64372"/>
    <w:rsid w:val="00B64434"/>
    <w:rsid w:val="00B64B56"/>
    <w:rsid w:val="00B711CE"/>
    <w:rsid w:val="00B71614"/>
    <w:rsid w:val="00B71DC8"/>
    <w:rsid w:val="00B723E4"/>
    <w:rsid w:val="00B72BD3"/>
    <w:rsid w:val="00B746C6"/>
    <w:rsid w:val="00B7604C"/>
    <w:rsid w:val="00B7652C"/>
    <w:rsid w:val="00B766BF"/>
    <w:rsid w:val="00B76FA6"/>
    <w:rsid w:val="00B77286"/>
    <w:rsid w:val="00B775DE"/>
    <w:rsid w:val="00B80910"/>
    <w:rsid w:val="00B818F4"/>
    <w:rsid w:val="00B81AE8"/>
    <w:rsid w:val="00B81BC9"/>
    <w:rsid w:val="00B82024"/>
    <w:rsid w:val="00B8222F"/>
    <w:rsid w:val="00B82615"/>
    <w:rsid w:val="00B83444"/>
    <w:rsid w:val="00B836ED"/>
    <w:rsid w:val="00B853BE"/>
    <w:rsid w:val="00B86476"/>
    <w:rsid w:val="00B86A3D"/>
    <w:rsid w:val="00B875C7"/>
    <w:rsid w:val="00B905E0"/>
    <w:rsid w:val="00B90D10"/>
    <w:rsid w:val="00B90FE5"/>
    <w:rsid w:val="00B919AD"/>
    <w:rsid w:val="00B91A2B"/>
    <w:rsid w:val="00B924A5"/>
    <w:rsid w:val="00B93204"/>
    <w:rsid w:val="00B93A2F"/>
    <w:rsid w:val="00B94E17"/>
    <w:rsid w:val="00B957FE"/>
    <w:rsid w:val="00B95F02"/>
    <w:rsid w:val="00B96558"/>
    <w:rsid w:val="00B96BEF"/>
    <w:rsid w:val="00B96FC0"/>
    <w:rsid w:val="00B97260"/>
    <w:rsid w:val="00B97A69"/>
    <w:rsid w:val="00BA0632"/>
    <w:rsid w:val="00BA0AAA"/>
    <w:rsid w:val="00BA0DFB"/>
    <w:rsid w:val="00BA2FEF"/>
    <w:rsid w:val="00BA42FE"/>
    <w:rsid w:val="00BA6221"/>
    <w:rsid w:val="00BA747B"/>
    <w:rsid w:val="00BB01BA"/>
    <w:rsid w:val="00BB1548"/>
    <w:rsid w:val="00BB1CE7"/>
    <w:rsid w:val="00BB2365"/>
    <w:rsid w:val="00BB2EB3"/>
    <w:rsid w:val="00BB2FD3"/>
    <w:rsid w:val="00BB2FDF"/>
    <w:rsid w:val="00BB2FFF"/>
    <w:rsid w:val="00BB34FE"/>
    <w:rsid w:val="00BB39A5"/>
    <w:rsid w:val="00BB478B"/>
    <w:rsid w:val="00BB5FCB"/>
    <w:rsid w:val="00BB604B"/>
    <w:rsid w:val="00BB6A27"/>
    <w:rsid w:val="00BC00EC"/>
    <w:rsid w:val="00BC08C5"/>
    <w:rsid w:val="00BC12FB"/>
    <w:rsid w:val="00BC1C3C"/>
    <w:rsid w:val="00BC307F"/>
    <w:rsid w:val="00BC3159"/>
    <w:rsid w:val="00BC3257"/>
    <w:rsid w:val="00BC39DB"/>
    <w:rsid w:val="00BC3A32"/>
    <w:rsid w:val="00BC3B07"/>
    <w:rsid w:val="00BC46EF"/>
    <w:rsid w:val="00BC479C"/>
    <w:rsid w:val="00BC6FD6"/>
    <w:rsid w:val="00BD008E"/>
    <w:rsid w:val="00BD081D"/>
    <w:rsid w:val="00BD09D6"/>
    <w:rsid w:val="00BD2B13"/>
    <w:rsid w:val="00BD2F3B"/>
    <w:rsid w:val="00BD3372"/>
    <w:rsid w:val="00BD50AA"/>
    <w:rsid w:val="00BD5135"/>
    <w:rsid w:val="00BD7291"/>
    <w:rsid w:val="00BD7EA3"/>
    <w:rsid w:val="00BD7FE2"/>
    <w:rsid w:val="00BE0805"/>
    <w:rsid w:val="00BE0B19"/>
    <w:rsid w:val="00BE0DD8"/>
    <w:rsid w:val="00BE13F0"/>
    <w:rsid w:val="00BE1D82"/>
    <w:rsid w:val="00BE1EE4"/>
    <w:rsid w:val="00BE1F8B"/>
    <w:rsid w:val="00BE25AB"/>
    <w:rsid w:val="00BE2B4F"/>
    <w:rsid w:val="00BE2F39"/>
    <w:rsid w:val="00BE332D"/>
    <w:rsid w:val="00BE3CF1"/>
    <w:rsid w:val="00BE41F0"/>
    <w:rsid w:val="00BE4B20"/>
    <w:rsid w:val="00BE5165"/>
    <w:rsid w:val="00BE5FC4"/>
    <w:rsid w:val="00BE7C4D"/>
    <w:rsid w:val="00BE7F6A"/>
    <w:rsid w:val="00BF0274"/>
    <w:rsid w:val="00BF08C4"/>
    <w:rsid w:val="00BF0BAF"/>
    <w:rsid w:val="00BF1037"/>
    <w:rsid w:val="00BF1852"/>
    <w:rsid w:val="00BF19CE"/>
    <w:rsid w:val="00BF2AD8"/>
    <w:rsid w:val="00BF2B6F"/>
    <w:rsid w:val="00BF351A"/>
    <w:rsid w:val="00BF3914"/>
    <w:rsid w:val="00BF49B1"/>
    <w:rsid w:val="00BF4A02"/>
    <w:rsid w:val="00BF5552"/>
    <w:rsid w:val="00BF73F2"/>
    <w:rsid w:val="00C015AF"/>
    <w:rsid w:val="00C01671"/>
    <w:rsid w:val="00C01CCF"/>
    <w:rsid w:val="00C02419"/>
    <w:rsid w:val="00C02766"/>
    <w:rsid w:val="00C02E7E"/>
    <w:rsid w:val="00C036F6"/>
    <w:rsid w:val="00C037F3"/>
    <w:rsid w:val="00C03A7A"/>
    <w:rsid w:val="00C03EE8"/>
    <w:rsid w:val="00C05BEC"/>
    <w:rsid w:val="00C06E7D"/>
    <w:rsid w:val="00C07FA9"/>
    <w:rsid w:val="00C1112B"/>
    <w:rsid w:val="00C11A88"/>
    <w:rsid w:val="00C11CDC"/>
    <w:rsid w:val="00C12012"/>
    <w:rsid w:val="00C123A7"/>
    <w:rsid w:val="00C1259F"/>
    <w:rsid w:val="00C12874"/>
    <w:rsid w:val="00C12970"/>
    <w:rsid w:val="00C12BC1"/>
    <w:rsid w:val="00C13BDA"/>
    <w:rsid w:val="00C13FFD"/>
    <w:rsid w:val="00C145AE"/>
    <w:rsid w:val="00C14632"/>
    <w:rsid w:val="00C16C30"/>
    <w:rsid w:val="00C16FE4"/>
    <w:rsid w:val="00C20A00"/>
    <w:rsid w:val="00C21673"/>
    <w:rsid w:val="00C21C7A"/>
    <w:rsid w:val="00C21F76"/>
    <w:rsid w:val="00C23130"/>
    <w:rsid w:val="00C255A5"/>
    <w:rsid w:val="00C2584B"/>
    <w:rsid w:val="00C25942"/>
    <w:rsid w:val="00C25B35"/>
    <w:rsid w:val="00C25DD9"/>
    <w:rsid w:val="00C2663F"/>
    <w:rsid w:val="00C266A7"/>
    <w:rsid w:val="00C26DB8"/>
    <w:rsid w:val="00C27A01"/>
    <w:rsid w:val="00C313E9"/>
    <w:rsid w:val="00C33DDE"/>
    <w:rsid w:val="00C3400F"/>
    <w:rsid w:val="00C34B64"/>
    <w:rsid w:val="00C34C36"/>
    <w:rsid w:val="00C352B3"/>
    <w:rsid w:val="00C35565"/>
    <w:rsid w:val="00C356E8"/>
    <w:rsid w:val="00C3654C"/>
    <w:rsid w:val="00C36BF5"/>
    <w:rsid w:val="00C36DBC"/>
    <w:rsid w:val="00C376BA"/>
    <w:rsid w:val="00C4012B"/>
    <w:rsid w:val="00C40373"/>
    <w:rsid w:val="00C4082D"/>
    <w:rsid w:val="00C40AE6"/>
    <w:rsid w:val="00C40D52"/>
    <w:rsid w:val="00C411AF"/>
    <w:rsid w:val="00C4138D"/>
    <w:rsid w:val="00C41E3A"/>
    <w:rsid w:val="00C4304C"/>
    <w:rsid w:val="00C43315"/>
    <w:rsid w:val="00C44FA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4E3B"/>
    <w:rsid w:val="00C654E0"/>
    <w:rsid w:val="00C67512"/>
    <w:rsid w:val="00C67EAB"/>
    <w:rsid w:val="00C70DFF"/>
    <w:rsid w:val="00C70F66"/>
    <w:rsid w:val="00C716FE"/>
    <w:rsid w:val="00C71AD8"/>
    <w:rsid w:val="00C72B8E"/>
    <w:rsid w:val="00C730CE"/>
    <w:rsid w:val="00C74175"/>
    <w:rsid w:val="00C7522E"/>
    <w:rsid w:val="00C75504"/>
    <w:rsid w:val="00C75A6B"/>
    <w:rsid w:val="00C763B6"/>
    <w:rsid w:val="00C7644F"/>
    <w:rsid w:val="00C76690"/>
    <w:rsid w:val="00C768F6"/>
    <w:rsid w:val="00C80073"/>
    <w:rsid w:val="00C80DEA"/>
    <w:rsid w:val="00C81A56"/>
    <w:rsid w:val="00C81CCC"/>
    <w:rsid w:val="00C832DC"/>
    <w:rsid w:val="00C8377F"/>
    <w:rsid w:val="00C84346"/>
    <w:rsid w:val="00C8646D"/>
    <w:rsid w:val="00C87C8D"/>
    <w:rsid w:val="00C90F17"/>
    <w:rsid w:val="00C91DE3"/>
    <w:rsid w:val="00C92C7F"/>
    <w:rsid w:val="00C9369D"/>
    <w:rsid w:val="00C944FA"/>
    <w:rsid w:val="00C95854"/>
    <w:rsid w:val="00C95EFF"/>
    <w:rsid w:val="00C96E6F"/>
    <w:rsid w:val="00C97872"/>
    <w:rsid w:val="00CA0532"/>
    <w:rsid w:val="00CA20FD"/>
    <w:rsid w:val="00CA2241"/>
    <w:rsid w:val="00CA3524"/>
    <w:rsid w:val="00CA37BE"/>
    <w:rsid w:val="00CA3CDD"/>
    <w:rsid w:val="00CA403B"/>
    <w:rsid w:val="00CA505A"/>
    <w:rsid w:val="00CA59DD"/>
    <w:rsid w:val="00CB008E"/>
    <w:rsid w:val="00CB01FA"/>
    <w:rsid w:val="00CB0737"/>
    <w:rsid w:val="00CB097A"/>
    <w:rsid w:val="00CB0E6E"/>
    <w:rsid w:val="00CB26EC"/>
    <w:rsid w:val="00CB2D2A"/>
    <w:rsid w:val="00CB5B1E"/>
    <w:rsid w:val="00CB787A"/>
    <w:rsid w:val="00CC0501"/>
    <w:rsid w:val="00CC0C4A"/>
    <w:rsid w:val="00CC17F0"/>
    <w:rsid w:val="00CC1853"/>
    <w:rsid w:val="00CC1FAE"/>
    <w:rsid w:val="00CC3A23"/>
    <w:rsid w:val="00CC6428"/>
    <w:rsid w:val="00CC737C"/>
    <w:rsid w:val="00CD087D"/>
    <w:rsid w:val="00CD0F5D"/>
    <w:rsid w:val="00CD1C0B"/>
    <w:rsid w:val="00CD207E"/>
    <w:rsid w:val="00CD239A"/>
    <w:rsid w:val="00CD2644"/>
    <w:rsid w:val="00CD325C"/>
    <w:rsid w:val="00CD5512"/>
    <w:rsid w:val="00CD6E3D"/>
    <w:rsid w:val="00CD71AB"/>
    <w:rsid w:val="00CD7EFE"/>
    <w:rsid w:val="00CE0109"/>
    <w:rsid w:val="00CE144C"/>
    <w:rsid w:val="00CE1DD7"/>
    <w:rsid w:val="00CE1FC5"/>
    <w:rsid w:val="00CE46E5"/>
    <w:rsid w:val="00CE485A"/>
    <w:rsid w:val="00CE5279"/>
    <w:rsid w:val="00CE5A78"/>
    <w:rsid w:val="00CE7720"/>
    <w:rsid w:val="00CE78AE"/>
    <w:rsid w:val="00CE7E62"/>
    <w:rsid w:val="00CF0DD2"/>
    <w:rsid w:val="00CF195E"/>
    <w:rsid w:val="00CF19DA"/>
    <w:rsid w:val="00CF1C7F"/>
    <w:rsid w:val="00CF1CC0"/>
    <w:rsid w:val="00CF24F8"/>
    <w:rsid w:val="00CF2653"/>
    <w:rsid w:val="00CF281F"/>
    <w:rsid w:val="00CF2B43"/>
    <w:rsid w:val="00CF35B5"/>
    <w:rsid w:val="00CF4247"/>
    <w:rsid w:val="00CF5263"/>
    <w:rsid w:val="00CF5F75"/>
    <w:rsid w:val="00CF60B5"/>
    <w:rsid w:val="00D004FA"/>
    <w:rsid w:val="00D0126F"/>
    <w:rsid w:val="00D01B21"/>
    <w:rsid w:val="00D01E2F"/>
    <w:rsid w:val="00D024DA"/>
    <w:rsid w:val="00D03102"/>
    <w:rsid w:val="00D03447"/>
    <w:rsid w:val="00D03727"/>
    <w:rsid w:val="00D0378A"/>
    <w:rsid w:val="00D03AA7"/>
    <w:rsid w:val="00D05132"/>
    <w:rsid w:val="00D05EA9"/>
    <w:rsid w:val="00D06115"/>
    <w:rsid w:val="00D06543"/>
    <w:rsid w:val="00D071F8"/>
    <w:rsid w:val="00D07252"/>
    <w:rsid w:val="00D072A5"/>
    <w:rsid w:val="00D074F4"/>
    <w:rsid w:val="00D076A6"/>
    <w:rsid w:val="00D07B88"/>
    <w:rsid w:val="00D07CE1"/>
    <w:rsid w:val="00D1026A"/>
    <w:rsid w:val="00D107CF"/>
    <w:rsid w:val="00D11B0B"/>
    <w:rsid w:val="00D11C39"/>
    <w:rsid w:val="00D12293"/>
    <w:rsid w:val="00D14236"/>
    <w:rsid w:val="00D14553"/>
    <w:rsid w:val="00D14DB1"/>
    <w:rsid w:val="00D15C7A"/>
    <w:rsid w:val="00D15F43"/>
    <w:rsid w:val="00D1666C"/>
    <w:rsid w:val="00D16E87"/>
    <w:rsid w:val="00D20B8B"/>
    <w:rsid w:val="00D2162C"/>
    <w:rsid w:val="00D21A3C"/>
    <w:rsid w:val="00D233F1"/>
    <w:rsid w:val="00D25063"/>
    <w:rsid w:val="00D256F8"/>
    <w:rsid w:val="00D2685C"/>
    <w:rsid w:val="00D26A3B"/>
    <w:rsid w:val="00D26E05"/>
    <w:rsid w:val="00D27A90"/>
    <w:rsid w:val="00D302FD"/>
    <w:rsid w:val="00D3038A"/>
    <w:rsid w:val="00D3098D"/>
    <w:rsid w:val="00D31A02"/>
    <w:rsid w:val="00D3323C"/>
    <w:rsid w:val="00D33456"/>
    <w:rsid w:val="00D3396F"/>
    <w:rsid w:val="00D33D4D"/>
    <w:rsid w:val="00D34A0B"/>
    <w:rsid w:val="00D350EC"/>
    <w:rsid w:val="00D36234"/>
    <w:rsid w:val="00D36371"/>
    <w:rsid w:val="00D37877"/>
    <w:rsid w:val="00D41148"/>
    <w:rsid w:val="00D422E1"/>
    <w:rsid w:val="00D437D8"/>
    <w:rsid w:val="00D44169"/>
    <w:rsid w:val="00D44994"/>
    <w:rsid w:val="00D45DF3"/>
    <w:rsid w:val="00D46174"/>
    <w:rsid w:val="00D46C7E"/>
    <w:rsid w:val="00D47964"/>
    <w:rsid w:val="00D47DD0"/>
    <w:rsid w:val="00D50183"/>
    <w:rsid w:val="00D51954"/>
    <w:rsid w:val="00D51D12"/>
    <w:rsid w:val="00D51ECC"/>
    <w:rsid w:val="00D5362B"/>
    <w:rsid w:val="00D55072"/>
    <w:rsid w:val="00D551B5"/>
    <w:rsid w:val="00D558F9"/>
    <w:rsid w:val="00D5635F"/>
    <w:rsid w:val="00D56DB2"/>
    <w:rsid w:val="00D5747F"/>
    <w:rsid w:val="00D57495"/>
    <w:rsid w:val="00D574FA"/>
    <w:rsid w:val="00D60C8D"/>
    <w:rsid w:val="00D61374"/>
    <w:rsid w:val="00D6168A"/>
    <w:rsid w:val="00D616A5"/>
    <w:rsid w:val="00D61FF0"/>
    <w:rsid w:val="00D6211D"/>
    <w:rsid w:val="00D62BA5"/>
    <w:rsid w:val="00D62C97"/>
    <w:rsid w:val="00D63517"/>
    <w:rsid w:val="00D63B75"/>
    <w:rsid w:val="00D64BB8"/>
    <w:rsid w:val="00D659B1"/>
    <w:rsid w:val="00D66E18"/>
    <w:rsid w:val="00D6734D"/>
    <w:rsid w:val="00D679CF"/>
    <w:rsid w:val="00D679D3"/>
    <w:rsid w:val="00D71EAC"/>
    <w:rsid w:val="00D727E1"/>
    <w:rsid w:val="00D7296A"/>
    <w:rsid w:val="00D7356F"/>
    <w:rsid w:val="00D73587"/>
    <w:rsid w:val="00D73EBB"/>
    <w:rsid w:val="00D74B1C"/>
    <w:rsid w:val="00D751FB"/>
    <w:rsid w:val="00D754D6"/>
    <w:rsid w:val="00D759B1"/>
    <w:rsid w:val="00D761AA"/>
    <w:rsid w:val="00D76FAE"/>
    <w:rsid w:val="00D777D7"/>
    <w:rsid w:val="00D80AB8"/>
    <w:rsid w:val="00D81792"/>
    <w:rsid w:val="00D819B1"/>
    <w:rsid w:val="00D82494"/>
    <w:rsid w:val="00D83AE9"/>
    <w:rsid w:val="00D846EE"/>
    <w:rsid w:val="00D850DF"/>
    <w:rsid w:val="00D857B8"/>
    <w:rsid w:val="00D87175"/>
    <w:rsid w:val="00D87ABF"/>
    <w:rsid w:val="00D906C8"/>
    <w:rsid w:val="00D90CD3"/>
    <w:rsid w:val="00D919E6"/>
    <w:rsid w:val="00D91BE1"/>
    <w:rsid w:val="00D91ED6"/>
    <w:rsid w:val="00D92C29"/>
    <w:rsid w:val="00D936E2"/>
    <w:rsid w:val="00D95104"/>
    <w:rsid w:val="00D95600"/>
    <w:rsid w:val="00D9683C"/>
    <w:rsid w:val="00D97884"/>
    <w:rsid w:val="00D9795E"/>
    <w:rsid w:val="00DA0A7F"/>
    <w:rsid w:val="00DA130F"/>
    <w:rsid w:val="00DA1C31"/>
    <w:rsid w:val="00DA20BC"/>
    <w:rsid w:val="00DA2ED7"/>
    <w:rsid w:val="00DA3E7A"/>
    <w:rsid w:val="00DA430C"/>
    <w:rsid w:val="00DA43F5"/>
    <w:rsid w:val="00DA615D"/>
    <w:rsid w:val="00DA6598"/>
    <w:rsid w:val="00DA6C0F"/>
    <w:rsid w:val="00DA702F"/>
    <w:rsid w:val="00DA7F8A"/>
    <w:rsid w:val="00DB0176"/>
    <w:rsid w:val="00DB0404"/>
    <w:rsid w:val="00DB09A5"/>
    <w:rsid w:val="00DB11F8"/>
    <w:rsid w:val="00DB129A"/>
    <w:rsid w:val="00DB1498"/>
    <w:rsid w:val="00DB18F8"/>
    <w:rsid w:val="00DB1F2A"/>
    <w:rsid w:val="00DB297F"/>
    <w:rsid w:val="00DB3153"/>
    <w:rsid w:val="00DB317A"/>
    <w:rsid w:val="00DB38F9"/>
    <w:rsid w:val="00DB3B82"/>
    <w:rsid w:val="00DB410C"/>
    <w:rsid w:val="00DB45A3"/>
    <w:rsid w:val="00DB485D"/>
    <w:rsid w:val="00DB5749"/>
    <w:rsid w:val="00DB79AE"/>
    <w:rsid w:val="00DC0BCF"/>
    <w:rsid w:val="00DC1327"/>
    <w:rsid w:val="00DC1350"/>
    <w:rsid w:val="00DC3237"/>
    <w:rsid w:val="00DC41A4"/>
    <w:rsid w:val="00DC5599"/>
    <w:rsid w:val="00DC5672"/>
    <w:rsid w:val="00DC60A2"/>
    <w:rsid w:val="00DC6600"/>
    <w:rsid w:val="00DC67BD"/>
    <w:rsid w:val="00DC6924"/>
    <w:rsid w:val="00DC71F2"/>
    <w:rsid w:val="00DD2025"/>
    <w:rsid w:val="00DD22EA"/>
    <w:rsid w:val="00DD23A0"/>
    <w:rsid w:val="00DD2D75"/>
    <w:rsid w:val="00DD3127"/>
    <w:rsid w:val="00DD3360"/>
    <w:rsid w:val="00DD3EF5"/>
    <w:rsid w:val="00DD53FA"/>
    <w:rsid w:val="00DD5F42"/>
    <w:rsid w:val="00DD617B"/>
    <w:rsid w:val="00DD62E5"/>
    <w:rsid w:val="00DD63DA"/>
    <w:rsid w:val="00DD7231"/>
    <w:rsid w:val="00DE0E59"/>
    <w:rsid w:val="00DE0F6C"/>
    <w:rsid w:val="00DE219B"/>
    <w:rsid w:val="00DE24B4"/>
    <w:rsid w:val="00DE275F"/>
    <w:rsid w:val="00DE38E5"/>
    <w:rsid w:val="00DE52E3"/>
    <w:rsid w:val="00DE7C00"/>
    <w:rsid w:val="00DF03E9"/>
    <w:rsid w:val="00DF03ED"/>
    <w:rsid w:val="00DF04EE"/>
    <w:rsid w:val="00DF0B48"/>
    <w:rsid w:val="00DF0BF4"/>
    <w:rsid w:val="00DF0CAF"/>
    <w:rsid w:val="00DF179D"/>
    <w:rsid w:val="00DF1E9C"/>
    <w:rsid w:val="00DF4572"/>
    <w:rsid w:val="00DF4658"/>
    <w:rsid w:val="00DF6BB1"/>
    <w:rsid w:val="00DF6C8B"/>
    <w:rsid w:val="00DF6F17"/>
    <w:rsid w:val="00DF70CB"/>
    <w:rsid w:val="00DF78FA"/>
    <w:rsid w:val="00E002F1"/>
    <w:rsid w:val="00E0082C"/>
    <w:rsid w:val="00E00E81"/>
    <w:rsid w:val="00E01798"/>
    <w:rsid w:val="00E01DAA"/>
    <w:rsid w:val="00E023E5"/>
    <w:rsid w:val="00E02432"/>
    <w:rsid w:val="00E0314F"/>
    <w:rsid w:val="00E04022"/>
    <w:rsid w:val="00E0416C"/>
    <w:rsid w:val="00E04257"/>
    <w:rsid w:val="00E06EF2"/>
    <w:rsid w:val="00E0728F"/>
    <w:rsid w:val="00E0755C"/>
    <w:rsid w:val="00E123E8"/>
    <w:rsid w:val="00E1365C"/>
    <w:rsid w:val="00E14A7E"/>
    <w:rsid w:val="00E151E1"/>
    <w:rsid w:val="00E15C99"/>
    <w:rsid w:val="00E16E8E"/>
    <w:rsid w:val="00E17619"/>
    <w:rsid w:val="00E17805"/>
    <w:rsid w:val="00E20F79"/>
    <w:rsid w:val="00E21278"/>
    <w:rsid w:val="00E21732"/>
    <w:rsid w:val="00E223FC"/>
    <w:rsid w:val="00E22CCD"/>
    <w:rsid w:val="00E23A11"/>
    <w:rsid w:val="00E23FB7"/>
    <w:rsid w:val="00E24A27"/>
    <w:rsid w:val="00E25F89"/>
    <w:rsid w:val="00E30E6C"/>
    <w:rsid w:val="00E32D62"/>
    <w:rsid w:val="00E32F1B"/>
    <w:rsid w:val="00E339DC"/>
    <w:rsid w:val="00E33E15"/>
    <w:rsid w:val="00E359C8"/>
    <w:rsid w:val="00E361B8"/>
    <w:rsid w:val="00E36A1B"/>
    <w:rsid w:val="00E37774"/>
    <w:rsid w:val="00E37850"/>
    <w:rsid w:val="00E40445"/>
    <w:rsid w:val="00E405BA"/>
    <w:rsid w:val="00E40CD0"/>
    <w:rsid w:val="00E429ED"/>
    <w:rsid w:val="00E43F37"/>
    <w:rsid w:val="00E44AF0"/>
    <w:rsid w:val="00E44D9D"/>
    <w:rsid w:val="00E450ED"/>
    <w:rsid w:val="00E46789"/>
    <w:rsid w:val="00E46B6B"/>
    <w:rsid w:val="00E4791B"/>
    <w:rsid w:val="00E47DD7"/>
    <w:rsid w:val="00E47E31"/>
    <w:rsid w:val="00E50AC6"/>
    <w:rsid w:val="00E50CFD"/>
    <w:rsid w:val="00E51DDD"/>
    <w:rsid w:val="00E51FDD"/>
    <w:rsid w:val="00E52435"/>
    <w:rsid w:val="00E53122"/>
    <w:rsid w:val="00E5351B"/>
    <w:rsid w:val="00E5373F"/>
    <w:rsid w:val="00E53FA9"/>
    <w:rsid w:val="00E5414C"/>
    <w:rsid w:val="00E547B3"/>
    <w:rsid w:val="00E54887"/>
    <w:rsid w:val="00E5733D"/>
    <w:rsid w:val="00E612DC"/>
    <w:rsid w:val="00E61CC0"/>
    <w:rsid w:val="00E6277B"/>
    <w:rsid w:val="00E62823"/>
    <w:rsid w:val="00E64424"/>
    <w:rsid w:val="00E64C99"/>
    <w:rsid w:val="00E64CD3"/>
    <w:rsid w:val="00E6623E"/>
    <w:rsid w:val="00E671C9"/>
    <w:rsid w:val="00E6743F"/>
    <w:rsid w:val="00E6758E"/>
    <w:rsid w:val="00E67E23"/>
    <w:rsid w:val="00E70016"/>
    <w:rsid w:val="00E70BC7"/>
    <w:rsid w:val="00E70FBC"/>
    <w:rsid w:val="00E7126F"/>
    <w:rsid w:val="00E71F54"/>
    <w:rsid w:val="00E729E8"/>
    <w:rsid w:val="00E72C01"/>
    <w:rsid w:val="00E741AC"/>
    <w:rsid w:val="00E75174"/>
    <w:rsid w:val="00E75EBA"/>
    <w:rsid w:val="00E7608B"/>
    <w:rsid w:val="00E763B4"/>
    <w:rsid w:val="00E77848"/>
    <w:rsid w:val="00E80061"/>
    <w:rsid w:val="00E80514"/>
    <w:rsid w:val="00E80E5B"/>
    <w:rsid w:val="00E8129F"/>
    <w:rsid w:val="00E816C5"/>
    <w:rsid w:val="00E81CE0"/>
    <w:rsid w:val="00E81E7C"/>
    <w:rsid w:val="00E8224D"/>
    <w:rsid w:val="00E8519F"/>
    <w:rsid w:val="00E85CC3"/>
    <w:rsid w:val="00E8644A"/>
    <w:rsid w:val="00E86D3B"/>
    <w:rsid w:val="00E87A43"/>
    <w:rsid w:val="00E87D39"/>
    <w:rsid w:val="00E90279"/>
    <w:rsid w:val="00E90635"/>
    <w:rsid w:val="00E909A1"/>
    <w:rsid w:val="00E90BFF"/>
    <w:rsid w:val="00E91F04"/>
    <w:rsid w:val="00E91F35"/>
    <w:rsid w:val="00E95BA6"/>
    <w:rsid w:val="00E97290"/>
    <w:rsid w:val="00E97648"/>
    <w:rsid w:val="00EA0E4A"/>
    <w:rsid w:val="00EA1A54"/>
    <w:rsid w:val="00EA2226"/>
    <w:rsid w:val="00EA26FC"/>
    <w:rsid w:val="00EA3A18"/>
    <w:rsid w:val="00EA3B5A"/>
    <w:rsid w:val="00EA410E"/>
    <w:rsid w:val="00EA4FD1"/>
    <w:rsid w:val="00EA51DE"/>
    <w:rsid w:val="00EA53C2"/>
    <w:rsid w:val="00EA5695"/>
    <w:rsid w:val="00EA5B0A"/>
    <w:rsid w:val="00EA65AD"/>
    <w:rsid w:val="00EA6E14"/>
    <w:rsid w:val="00EA7FCF"/>
    <w:rsid w:val="00EB0029"/>
    <w:rsid w:val="00EB0CA3"/>
    <w:rsid w:val="00EB104F"/>
    <w:rsid w:val="00EB1B27"/>
    <w:rsid w:val="00EB1DA8"/>
    <w:rsid w:val="00EB3E23"/>
    <w:rsid w:val="00EB4CFF"/>
    <w:rsid w:val="00EB4E0C"/>
    <w:rsid w:val="00EB5476"/>
    <w:rsid w:val="00EB6DCA"/>
    <w:rsid w:val="00EB70B0"/>
    <w:rsid w:val="00EB7471"/>
    <w:rsid w:val="00EB7633"/>
    <w:rsid w:val="00EB7736"/>
    <w:rsid w:val="00EC051E"/>
    <w:rsid w:val="00EC2E2D"/>
    <w:rsid w:val="00EC462B"/>
    <w:rsid w:val="00EC4723"/>
    <w:rsid w:val="00EC56E0"/>
    <w:rsid w:val="00EC6057"/>
    <w:rsid w:val="00EC6725"/>
    <w:rsid w:val="00EC6847"/>
    <w:rsid w:val="00EC7DB6"/>
    <w:rsid w:val="00ED162F"/>
    <w:rsid w:val="00ED2B78"/>
    <w:rsid w:val="00ED2E23"/>
    <w:rsid w:val="00ED2E52"/>
    <w:rsid w:val="00ED3024"/>
    <w:rsid w:val="00ED4D9C"/>
    <w:rsid w:val="00ED5FE4"/>
    <w:rsid w:val="00ED71C5"/>
    <w:rsid w:val="00EE16FA"/>
    <w:rsid w:val="00EE211E"/>
    <w:rsid w:val="00EE3C42"/>
    <w:rsid w:val="00EE3D4F"/>
    <w:rsid w:val="00EE5232"/>
    <w:rsid w:val="00EE534D"/>
    <w:rsid w:val="00EE5560"/>
    <w:rsid w:val="00EE6F1E"/>
    <w:rsid w:val="00EF0348"/>
    <w:rsid w:val="00EF1F9C"/>
    <w:rsid w:val="00EF2C89"/>
    <w:rsid w:val="00EF4366"/>
    <w:rsid w:val="00EF47C4"/>
    <w:rsid w:val="00EF4CD6"/>
    <w:rsid w:val="00EF55A0"/>
    <w:rsid w:val="00EF5EDA"/>
    <w:rsid w:val="00EF63D1"/>
    <w:rsid w:val="00EF6513"/>
    <w:rsid w:val="00EF6683"/>
    <w:rsid w:val="00EF7002"/>
    <w:rsid w:val="00EF769B"/>
    <w:rsid w:val="00F01351"/>
    <w:rsid w:val="00F027BA"/>
    <w:rsid w:val="00F03E79"/>
    <w:rsid w:val="00F0628D"/>
    <w:rsid w:val="00F06651"/>
    <w:rsid w:val="00F069A8"/>
    <w:rsid w:val="00F07DE6"/>
    <w:rsid w:val="00F1056C"/>
    <w:rsid w:val="00F107F1"/>
    <w:rsid w:val="00F10FC1"/>
    <w:rsid w:val="00F112FD"/>
    <w:rsid w:val="00F133A1"/>
    <w:rsid w:val="00F138A2"/>
    <w:rsid w:val="00F13ECD"/>
    <w:rsid w:val="00F14EAF"/>
    <w:rsid w:val="00F155CE"/>
    <w:rsid w:val="00F16BF2"/>
    <w:rsid w:val="00F17EAE"/>
    <w:rsid w:val="00F20980"/>
    <w:rsid w:val="00F21423"/>
    <w:rsid w:val="00F215EE"/>
    <w:rsid w:val="00F218D4"/>
    <w:rsid w:val="00F2250A"/>
    <w:rsid w:val="00F24788"/>
    <w:rsid w:val="00F2640F"/>
    <w:rsid w:val="00F27C34"/>
    <w:rsid w:val="00F27E46"/>
    <w:rsid w:val="00F30138"/>
    <w:rsid w:val="00F301C2"/>
    <w:rsid w:val="00F302E1"/>
    <w:rsid w:val="00F30326"/>
    <w:rsid w:val="00F313A1"/>
    <w:rsid w:val="00F31B22"/>
    <w:rsid w:val="00F31B49"/>
    <w:rsid w:val="00F32E4F"/>
    <w:rsid w:val="00F32F56"/>
    <w:rsid w:val="00F33D4F"/>
    <w:rsid w:val="00F34CD6"/>
    <w:rsid w:val="00F35873"/>
    <w:rsid w:val="00F35920"/>
    <w:rsid w:val="00F366A5"/>
    <w:rsid w:val="00F36C5F"/>
    <w:rsid w:val="00F37259"/>
    <w:rsid w:val="00F405A4"/>
    <w:rsid w:val="00F41F05"/>
    <w:rsid w:val="00F433BD"/>
    <w:rsid w:val="00F44EC5"/>
    <w:rsid w:val="00F4592E"/>
    <w:rsid w:val="00F46C5D"/>
    <w:rsid w:val="00F47498"/>
    <w:rsid w:val="00F50CE9"/>
    <w:rsid w:val="00F510F2"/>
    <w:rsid w:val="00F512B2"/>
    <w:rsid w:val="00F5283D"/>
    <w:rsid w:val="00F52ABA"/>
    <w:rsid w:val="00F52BC7"/>
    <w:rsid w:val="00F536FB"/>
    <w:rsid w:val="00F53768"/>
    <w:rsid w:val="00F53BF4"/>
    <w:rsid w:val="00F54266"/>
    <w:rsid w:val="00F54C00"/>
    <w:rsid w:val="00F55043"/>
    <w:rsid w:val="00F55FD4"/>
    <w:rsid w:val="00F56DCF"/>
    <w:rsid w:val="00F57034"/>
    <w:rsid w:val="00F575C8"/>
    <w:rsid w:val="00F60123"/>
    <w:rsid w:val="00F60BE9"/>
    <w:rsid w:val="00F614AD"/>
    <w:rsid w:val="00F61FD8"/>
    <w:rsid w:val="00F62DBF"/>
    <w:rsid w:val="00F641FC"/>
    <w:rsid w:val="00F647F7"/>
    <w:rsid w:val="00F657D3"/>
    <w:rsid w:val="00F6583C"/>
    <w:rsid w:val="00F6589A"/>
    <w:rsid w:val="00F6707C"/>
    <w:rsid w:val="00F6783E"/>
    <w:rsid w:val="00F67A11"/>
    <w:rsid w:val="00F70DBE"/>
    <w:rsid w:val="00F71124"/>
    <w:rsid w:val="00F71888"/>
    <w:rsid w:val="00F719CD"/>
    <w:rsid w:val="00F71BB8"/>
    <w:rsid w:val="00F72584"/>
    <w:rsid w:val="00F7290D"/>
    <w:rsid w:val="00F7302F"/>
    <w:rsid w:val="00F732EC"/>
    <w:rsid w:val="00F73D08"/>
    <w:rsid w:val="00F7586B"/>
    <w:rsid w:val="00F75BF5"/>
    <w:rsid w:val="00F75EB3"/>
    <w:rsid w:val="00F75F2F"/>
    <w:rsid w:val="00F76445"/>
    <w:rsid w:val="00F76ECC"/>
    <w:rsid w:val="00F77644"/>
    <w:rsid w:val="00F77DE9"/>
    <w:rsid w:val="00F80399"/>
    <w:rsid w:val="00F812C8"/>
    <w:rsid w:val="00F8132D"/>
    <w:rsid w:val="00F818AE"/>
    <w:rsid w:val="00F81B40"/>
    <w:rsid w:val="00F820C4"/>
    <w:rsid w:val="00F83829"/>
    <w:rsid w:val="00F84069"/>
    <w:rsid w:val="00F843D7"/>
    <w:rsid w:val="00F8538B"/>
    <w:rsid w:val="00F85536"/>
    <w:rsid w:val="00F85986"/>
    <w:rsid w:val="00F8657A"/>
    <w:rsid w:val="00F8679A"/>
    <w:rsid w:val="00F87117"/>
    <w:rsid w:val="00F8736C"/>
    <w:rsid w:val="00F873E0"/>
    <w:rsid w:val="00F9030E"/>
    <w:rsid w:val="00F90ADB"/>
    <w:rsid w:val="00F90D2A"/>
    <w:rsid w:val="00F90E78"/>
    <w:rsid w:val="00F91209"/>
    <w:rsid w:val="00F9221F"/>
    <w:rsid w:val="00F931C7"/>
    <w:rsid w:val="00F93559"/>
    <w:rsid w:val="00F93D72"/>
    <w:rsid w:val="00F93E65"/>
    <w:rsid w:val="00F94070"/>
    <w:rsid w:val="00F9493B"/>
    <w:rsid w:val="00F950B5"/>
    <w:rsid w:val="00F9513F"/>
    <w:rsid w:val="00F97094"/>
    <w:rsid w:val="00F97908"/>
    <w:rsid w:val="00F97B43"/>
    <w:rsid w:val="00FA07F8"/>
    <w:rsid w:val="00FA105C"/>
    <w:rsid w:val="00FA1475"/>
    <w:rsid w:val="00FA148A"/>
    <w:rsid w:val="00FA1D2B"/>
    <w:rsid w:val="00FA27C8"/>
    <w:rsid w:val="00FA3B76"/>
    <w:rsid w:val="00FA4A77"/>
    <w:rsid w:val="00FA4D66"/>
    <w:rsid w:val="00FA4F41"/>
    <w:rsid w:val="00FA5A4E"/>
    <w:rsid w:val="00FA6C62"/>
    <w:rsid w:val="00FB0082"/>
    <w:rsid w:val="00FB0243"/>
    <w:rsid w:val="00FB1527"/>
    <w:rsid w:val="00FB2537"/>
    <w:rsid w:val="00FB2C76"/>
    <w:rsid w:val="00FB3294"/>
    <w:rsid w:val="00FB33DC"/>
    <w:rsid w:val="00FB4338"/>
    <w:rsid w:val="00FB477E"/>
    <w:rsid w:val="00FB49A8"/>
    <w:rsid w:val="00FB4C9C"/>
    <w:rsid w:val="00FB5460"/>
    <w:rsid w:val="00FB6165"/>
    <w:rsid w:val="00FC0150"/>
    <w:rsid w:val="00FC03AB"/>
    <w:rsid w:val="00FC0876"/>
    <w:rsid w:val="00FC3791"/>
    <w:rsid w:val="00FC4729"/>
    <w:rsid w:val="00FC472D"/>
    <w:rsid w:val="00FC4A8C"/>
    <w:rsid w:val="00FC53DB"/>
    <w:rsid w:val="00FC5FC2"/>
    <w:rsid w:val="00FC6177"/>
    <w:rsid w:val="00FC63D1"/>
    <w:rsid w:val="00FC6931"/>
    <w:rsid w:val="00FC7528"/>
    <w:rsid w:val="00FD0572"/>
    <w:rsid w:val="00FD1A97"/>
    <w:rsid w:val="00FD2D7B"/>
    <w:rsid w:val="00FD37F6"/>
    <w:rsid w:val="00FD441D"/>
    <w:rsid w:val="00FD4589"/>
    <w:rsid w:val="00FD473E"/>
    <w:rsid w:val="00FD5BBA"/>
    <w:rsid w:val="00FD7DF9"/>
    <w:rsid w:val="00FE0B51"/>
    <w:rsid w:val="00FE0B78"/>
    <w:rsid w:val="00FE0ED4"/>
    <w:rsid w:val="00FE13EB"/>
    <w:rsid w:val="00FE1EAB"/>
    <w:rsid w:val="00FE3465"/>
    <w:rsid w:val="00FE3C04"/>
    <w:rsid w:val="00FE55C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8C38"/>
  <w15:docId w15:val="{B9FE63FE-BE8F-4E99-826D-ECD01925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rPr>
      <w:sz w:val="22"/>
      <w:szCs w:val="22"/>
      <w:lang w:val="en-US" w:eastAsia="en-US"/>
    </w:rPr>
  </w:style>
  <w:style w:type="paragraph" w:styleId="Heading1">
    <w:name w:val="heading 1"/>
    <w:basedOn w:val="Normal"/>
    <w:next w:val="Normal"/>
    <w:qFormat/>
    <w:rsid w:val="00F313A1"/>
    <w:pPr>
      <w:keepNext/>
      <w:numPr>
        <w:numId w:val="3"/>
      </w:numPr>
      <w:spacing w:before="120"/>
      <w:outlineLvl w:val="0"/>
    </w:pPr>
    <w:rPr>
      <w:b/>
      <w:bCs/>
      <w:sz w:val="28"/>
      <w:szCs w:val="28"/>
    </w:rPr>
  </w:style>
  <w:style w:type="paragraph" w:styleId="Heading2">
    <w:name w:val="heading 2"/>
    <w:basedOn w:val="Normal"/>
    <w:next w:val="Normal"/>
    <w:qFormat/>
    <w:rsid w:val="00F313A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313A1"/>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313A1"/>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F313A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313A1"/>
    <w:pPr>
      <w:numPr>
        <w:ilvl w:val="5"/>
        <w:numId w:val="3"/>
      </w:numPr>
      <w:spacing w:before="240" w:after="60"/>
      <w:outlineLvl w:val="5"/>
    </w:pPr>
    <w:rPr>
      <w:b/>
      <w:bCs/>
    </w:rPr>
  </w:style>
  <w:style w:type="paragraph" w:styleId="Heading7">
    <w:name w:val="heading 7"/>
    <w:basedOn w:val="Normal"/>
    <w:next w:val="Normal"/>
    <w:qFormat/>
    <w:rsid w:val="00F313A1"/>
    <w:pPr>
      <w:numPr>
        <w:ilvl w:val="6"/>
        <w:numId w:val="3"/>
      </w:numPr>
      <w:spacing w:before="240" w:after="60"/>
      <w:outlineLvl w:val="6"/>
    </w:pPr>
    <w:rPr>
      <w:sz w:val="24"/>
      <w:szCs w:val="24"/>
    </w:rPr>
  </w:style>
  <w:style w:type="paragraph" w:styleId="Heading8">
    <w:name w:val="heading 8"/>
    <w:basedOn w:val="Normal"/>
    <w:next w:val="Normal"/>
    <w:qFormat/>
    <w:rsid w:val="00F313A1"/>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313A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13A1"/>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basedOn w:val="DefaultParagraphFont"/>
    <w:rsid w:val="00F313A1"/>
    <w:rPr>
      <w:color w:val="0000FF"/>
      <w:kern w:val="2"/>
      <w:u w:val="single"/>
      <w:lang w:val="en-GB" w:eastAsia="zh-CN" w:bidi="ar-SA"/>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313A1"/>
    <w:pPr>
      <w:jc w:val="center"/>
    </w:pPr>
    <w:rPr>
      <w:b/>
      <w:bCs/>
      <w:sz w:val="20"/>
      <w:szCs w:val="2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11AF"/>
    <w:rPr>
      <w:b/>
      <w:bCs/>
      <w:kern w:val="2"/>
      <w:lang w:val="en-GB" w:eastAsia="zh-CN" w:bidi="ar-SA"/>
    </w:rPr>
  </w:style>
  <w:style w:type="paragraph" w:styleId="ListBullet">
    <w:name w:val="List Bullet"/>
    <w:basedOn w:val="List"/>
    <w:rsid w:val="00F313A1"/>
    <w:pPr>
      <w:spacing w:after="180"/>
      <w:ind w:left="568" w:hanging="284"/>
    </w:pPr>
    <w:rPr>
      <w:sz w:val="20"/>
      <w:szCs w:val="20"/>
      <w:lang w:val="en-GB"/>
    </w:rPr>
  </w:style>
  <w:style w:type="paragraph" w:styleId="List">
    <w:name w:val="List"/>
    <w:basedOn w:val="Normal"/>
    <w:rsid w:val="00F313A1"/>
    <w:pPr>
      <w:ind w:left="360" w:hanging="360"/>
    </w:pPr>
  </w:style>
  <w:style w:type="paragraph" w:styleId="BodyText2">
    <w:name w:val="Body Text 2"/>
    <w:basedOn w:val="Normal"/>
    <w:rsid w:val="00F313A1"/>
    <w:rPr>
      <w:szCs w:val="20"/>
    </w:rPr>
  </w:style>
  <w:style w:type="paragraph" w:styleId="BalloonText">
    <w:name w:val="Balloon Text"/>
    <w:basedOn w:val="Normal"/>
    <w:semiHidden/>
    <w:rsid w:val="00F313A1"/>
    <w:rPr>
      <w:rFonts w:ascii="Tahoma" w:hAnsi="Tahoma" w:cs="Tahoma"/>
      <w:sz w:val="16"/>
      <w:szCs w:val="16"/>
    </w:rPr>
  </w:style>
  <w:style w:type="paragraph" w:customStyle="1" w:styleId="References">
    <w:name w:val="References"/>
    <w:basedOn w:val="Normal"/>
    <w:rsid w:val="00CF195E"/>
    <w:pPr>
      <w:numPr>
        <w:numId w:val="2"/>
      </w:numPr>
      <w:spacing w:after="60"/>
    </w:pPr>
    <w:rPr>
      <w:sz w:val="20"/>
      <w:szCs w:val="16"/>
    </w:rPr>
  </w:style>
  <w:style w:type="character" w:styleId="FollowedHyperlink">
    <w:name w:val="FollowedHyperlink"/>
    <w:basedOn w:val="DefaultParagraphFont"/>
    <w:rsid w:val="00F313A1"/>
    <w:rPr>
      <w:color w:val="800080"/>
      <w:kern w:val="2"/>
      <w:u w:val="single"/>
      <w:lang w:val="en-GB" w:eastAsia="zh-CN" w:bidi="ar-SA"/>
    </w:rPr>
  </w:style>
  <w:style w:type="paragraph" w:styleId="FootnoteText">
    <w:name w:val="footnote text"/>
    <w:basedOn w:val="Normal"/>
    <w:link w:val="FootnoteTextChar"/>
    <w:semiHidden/>
    <w:rsid w:val="00F313A1"/>
    <w:rPr>
      <w:sz w:val="20"/>
      <w:szCs w:val="20"/>
    </w:rPr>
  </w:style>
  <w:style w:type="character" w:styleId="FootnoteReference">
    <w:name w:val="footnote reference"/>
    <w:basedOn w:val="DefaultParagraphFont"/>
    <w:semiHidden/>
    <w:rsid w:val="00F313A1"/>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23234E"/>
    <w:pPr>
      <w:ind w:left="720"/>
      <w:contextualSpacing/>
    </w:pPr>
    <w:rPr>
      <w:rFonts w:eastAsia="Times New Roman"/>
      <w:sz w:val="24"/>
      <w:szCs w:val="24"/>
      <w:lang w:eastAsia="zh-CN"/>
    </w:rPr>
  </w:style>
  <w:style w:type="paragraph" w:customStyle="1" w:styleId="21Descriptiontext">
    <w:name w:val="2.1 Description text"/>
    <w:basedOn w:val="Normal"/>
    <w:rsid w:val="004A7B70"/>
    <w:pPr>
      <w:tabs>
        <w:tab w:val="left" w:pos="851"/>
        <w:tab w:val="left" w:pos="1418"/>
      </w:tabs>
      <w:spacing w:after="240" w:line="360" w:lineRule="auto"/>
    </w:pPr>
    <w:rPr>
      <w:rFonts w:ascii="Courier New" w:eastAsia="Times New Roman" w:hAnsi="Courier New"/>
      <w:sz w:val="24"/>
      <w:szCs w:val="24"/>
      <w:lang w:val="en-GB" w:eastAsia="sv-SE"/>
    </w:rPr>
  </w:style>
  <w:style w:type="character" w:styleId="PlaceholderText">
    <w:name w:val="Placeholder Text"/>
    <w:basedOn w:val="DefaultParagraphFont"/>
    <w:uiPriority w:val="99"/>
    <w:semiHidden/>
    <w:rsid w:val="00D27A90"/>
    <w:rPr>
      <w:color w:val="808080"/>
      <w:kern w:val="2"/>
      <w:lang w:val="en-GB" w:eastAsia="zh-CN" w:bidi="ar-SA"/>
    </w:rPr>
  </w:style>
  <w:style w:type="character" w:styleId="CommentReference">
    <w:name w:val="annotation reference"/>
    <w:basedOn w:val="DefaultParagraphFont"/>
    <w:rsid w:val="007F25FC"/>
    <w:rPr>
      <w:sz w:val="21"/>
      <w:szCs w:val="21"/>
    </w:rPr>
  </w:style>
  <w:style w:type="paragraph" w:styleId="CommentText">
    <w:name w:val="annotation text"/>
    <w:basedOn w:val="Normal"/>
    <w:link w:val="CommentTextChar"/>
    <w:rsid w:val="007F25FC"/>
  </w:style>
  <w:style w:type="character" w:customStyle="1" w:styleId="CommentTextChar">
    <w:name w:val="Comment Text Char"/>
    <w:basedOn w:val="DefaultParagraphFont"/>
    <w:link w:val="CommentText"/>
    <w:rsid w:val="007F25FC"/>
    <w:rPr>
      <w:sz w:val="22"/>
      <w:szCs w:val="22"/>
      <w:lang w:val="en-US" w:eastAsia="en-US"/>
    </w:rPr>
  </w:style>
  <w:style w:type="paragraph" w:styleId="CommentSubject">
    <w:name w:val="annotation subject"/>
    <w:basedOn w:val="CommentText"/>
    <w:next w:val="CommentText"/>
    <w:link w:val="CommentSubjectChar"/>
    <w:rsid w:val="007F25FC"/>
    <w:rPr>
      <w:b/>
      <w:bCs/>
    </w:rPr>
  </w:style>
  <w:style w:type="character" w:customStyle="1" w:styleId="CommentSubjectChar">
    <w:name w:val="Comment Subject Char"/>
    <w:basedOn w:val="CommentTextChar"/>
    <w:link w:val="CommentSubject"/>
    <w:rsid w:val="007F25FC"/>
    <w:rPr>
      <w:b/>
      <w:bCs/>
      <w:sz w:val="22"/>
      <w:szCs w:val="22"/>
      <w:lang w:val="en-US" w:eastAsia="en-US"/>
    </w:rPr>
  </w:style>
  <w:style w:type="paragraph" w:styleId="Revision">
    <w:name w:val="Revision"/>
    <w:hidden/>
    <w:uiPriority w:val="99"/>
    <w:semiHidden/>
    <w:rsid w:val="00E37850"/>
    <w:rPr>
      <w:sz w:val="22"/>
      <w:szCs w:val="22"/>
      <w:lang w:val="en-US" w:eastAsia="en-US"/>
    </w:rPr>
  </w:style>
  <w:style w:type="character" w:customStyle="1" w:styleId="ListParagraphChar">
    <w:name w:val="List Paragraph Char"/>
    <w:aliases w:val="- Bullets Char,목록 단락 Char,リスト段落 Char"/>
    <w:link w:val="ListParagraph"/>
    <w:uiPriority w:val="34"/>
    <w:qFormat/>
    <w:locked/>
    <w:rsid w:val="001C295A"/>
    <w:rPr>
      <w:rFonts w:eastAsia="Times New Roman"/>
      <w:sz w:val="24"/>
      <w:szCs w:val="24"/>
      <w:lang w:val="en-US" w:eastAsia="zh-CN"/>
    </w:rPr>
  </w:style>
  <w:style w:type="character" w:customStyle="1" w:styleId="FootnoteTextChar">
    <w:name w:val="Footnote Text Char"/>
    <w:basedOn w:val="DefaultParagraphFont"/>
    <w:link w:val="FootnoteText"/>
    <w:semiHidden/>
    <w:rsid w:val="00E01798"/>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574">
      <w:bodyDiv w:val="1"/>
      <w:marLeft w:val="0"/>
      <w:marRight w:val="0"/>
      <w:marTop w:val="0"/>
      <w:marBottom w:val="0"/>
      <w:divBdr>
        <w:top w:val="none" w:sz="0" w:space="0" w:color="auto"/>
        <w:left w:val="none" w:sz="0" w:space="0" w:color="auto"/>
        <w:bottom w:val="none" w:sz="0" w:space="0" w:color="auto"/>
        <w:right w:val="none" w:sz="0" w:space="0" w:color="auto"/>
      </w:divBdr>
      <w:divsChild>
        <w:div w:id="158156398">
          <w:marLeft w:val="864"/>
          <w:marRight w:val="0"/>
          <w:marTop w:val="0"/>
          <w:marBottom w:val="0"/>
          <w:divBdr>
            <w:top w:val="none" w:sz="0" w:space="0" w:color="auto"/>
            <w:left w:val="none" w:sz="0" w:space="0" w:color="auto"/>
            <w:bottom w:val="none" w:sz="0" w:space="0" w:color="auto"/>
            <w:right w:val="none" w:sz="0" w:space="0" w:color="auto"/>
          </w:divBdr>
        </w:div>
        <w:div w:id="228226786">
          <w:marLeft w:val="864"/>
          <w:marRight w:val="0"/>
          <w:marTop w:val="0"/>
          <w:marBottom w:val="0"/>
          <w:divBdr>
            <w:top w:val="none" w:sz="0" w:space="0" w:color="auto"/>
            <w:left w:val="none" w:sz="0" w:space="0" w:color="auto"/>
            <w:bottom w:val="none" w:sz="0" w:space="0" w:color="auto"/>
            <w:right w:val="none" w:sz="0" w:space="0" w:color="auto"/>
          </w:divBdr>
        </w:div>
        <w:div w:id="529300387">
          <w:marLeft w:val="864"/>
          <w:marRight w:val="0"/>
          <w:marTop w:val="0"/>
          <w:marBottom w:val="0"/>
          <w:divBdr>
            <w:top w:val="none" w:sz="0" w:space="0" w:color="auto"/>
            <w:left w:val="none" w:sz="0" w:space="0" w:color="auto"/>
            <w:bottom w:val="none" w:sz="0" w:space="0" w:color="auto"/>
            <w:right w:val="none" w:sz="0" w:space="0" w:color="auto"/>
          </w:divBdr>
        </w:div>
        <w:div w:id="740300132">
          <w:marLeft w:val="864"/>
          <w:marRight w:val="0"/>
          <w:marTop w:val="0"/>
          <w:marBottom w:val="0"/>
          <w:divBdr>
            <w:top w:val="none" w:sz="0" w:space="0" w:color="auto"/>
            <w:left w:val="none" w:sz="0" w:space="0" w:color="auto"/>
            <w:bottom w:val="none" w:sz="0" w:space="0" w:color="auto"/>
            <w:right w:val="none" w:sz="0" w:space="0" w:color="auto"/>
          </w:divBdr>
        </w:div>
        <w:div w:id="780882635">
          <w:marLeft w:val="864"/>
          <w:marRight w:val="0"/>
          <w:marTop w:val="0"/>
          <w:marBottom w:val="0"/>
          <w:divBdr>
            <w:top w:val="none" w:sz="0" w:space="0" w:color="auto"/>
            <w:left w:val="none" w:sz="0" w:space="0" w:color="auto"/>
            <w:bottom w:val="none" w:sz="0" w:space="0" w:color="auto"/>
            <w:right w:val="none" w:sz="0" w:space="0" w:color="auto"/>
          </w:divBdr>
        </w:div>
        <w:div w:id="828061612">
          <w:marLeft w:val="864"/>
          <w:marRight w:val="0"/>
          <w:marTop w:val="0"/>
          <w:marBottom w:val="0"/>
          <w:divBdr>
            <w:top w:val="none" w:sz="0" w:space="0" w:color="auto"/>
            <w:left w:val="none" w:sz="0" w:space="0" w:color="auto"/>
            <w:bottom w:val="none" w:sz="0" w:space="0" w:color="auto"/>
            <w:right w:val="none" w:sz="0" w:space="0" w:color="auto"/>
          </w:divBdr>
        </w:div>
        <w:div w:id="835458584">
          <w:marLeft w:val="403"/>
          <w:marRight w:val="0"/>
          <w:marTop w:val="0"/>
          <w:marBottom w:val="0"/>
          <w:divBdr>
            <w:top w:val="none" w:sz="0" w:space="0" w:color="auto"/>
            <w:left w:val="none" w:sz="0" w:space="0" w:color="auto"/>
            <w:bottom w:val="none" w:sz="0" w:space="0" w:color="auto"/>
            <w:right w:val="none" w:sz="0" w:space="0" w:color="auto"/>
          </w:divBdr>
        </w:div>
        <w:div w:id="1642149866">
          <w:marLeft w:val="403"/>
          <w:marRight w:val="0"/>
          <w:marTop w:val="0"/>
          <w:marBottom w:val="0"/>
          <w:divBdr>
            <w:top w:val="none" w:sz="0" w:space="0" w:color="auto"/>
            <w:left w:val="none" w:sz="0" w:space="0" w:color="auto"/>
            <w:bottom w:val="none" w:sz="0" w:space="0" w:color="auto"/>
            <w:right w:val="none" w:sz="0" w:space="0" w:color="auto"/>
          </w:divBdr>
        </w:div>
        <w:div w:id="1753163489">
          <w:marLeft w:val="403"/>
          <w:marRight w:val="0"/>
          <w:marTop w:val="0"/>
          <w:marBottom w:val="0"/>
          <w:divBdr>
            <w:top w:val="none" w:sz="0" w:space="0" w:color="auto"/>
            <w:left w:val="none" w:sz="0" w:space="0" w:color="auto"/>
            <w:bottom w:val="none" w:sz="0" w:space="0" w:color="auto"/>
            <w:right w:val="none" w:sz="0" w:space="0" w:color="auto"/>
          </w:divBdr>
        </w:div>
        <w:div w:id="1760129124">
          <w:marLeft w:val="864"/>
          <w:marRight w:val="0"/>
          <w:marTop w:val="0"/>
          <w:marBottom w:val="0"/>
          <w:divBdr>
            <w:top w:val="none" w:sz="0" w:space="0" w:color="auto"/>
            <w:left w:val="none" w:sz="0" w:space="0" w:color="auto"/>
            <w:bottom w:val="none" w:sz="0" w:space="0" w:color="auto"/>
            <w:right w:val="none" w:sz="0" w:space="0" w:color="auto"/>
          </w:divBdr>
        </w:div>
      </w:divsChild>
    </w:div>
    <w:div w:id="78912639">
      <w:bodyDiv w:val="1"/>
      <w:marLeft w:val="0"/>
      <w:marRight w:val="0"/>
      <w:marTop w:val="0"/>
      <w:marBottom w:val="0"/>
      <w:divBdr>
        <w:top w:val="none" w:sz="0" w:space="0" w:color="auto"/>
        <w:left w:val="none" w:sz="0" w:space="0" w:color="auto"/>
        <w:bottom w:val="none" w:sz="0" w:space="0" w:color="auto"/>
        <w:right w:val="none" w:sz="0" w:space="0" w:color="auto"/>
      </w:divBdr>
      <w:divsChild>
        <w:div w:id="290745420">
          <w:marLeft w:val="1555"/>
          <w:marRight w:val="0"/>
          <w:marTop w:val="86"/>
          <w:marBottom w:val="0"/>
          <w:divBdr>
            <w:top w:val="none" w:sz="0" w:space="0" w:color="auto"/>
            <w:left w:val="none" w:sz="0" w:space="0" w:color="auto"/>
            <w:bottom w:val="none" w:sz="0" w:space="0" w:color="auto"/>
            <w:right w:val="none" w:sz="0" w:space="0" w:color="auto"/>
          </w:divBdr>
        </w:div>
        <w:div w:id="384723467">
          <w:marLeft w:val="1555"/>
          <w:marRight w:val="0"/>
          <w:marTop w:val="86"/>
          <w:marBottom w:val="0"/>
          <w:divBdr>
            <w:top w:val="none" w:sz="0" w:space="0" w:color="auto"/>
            <w:left w:val="none" w:sz="0" w:space="0" w:color="auto"/>
            <w:bottom w:val="none" w:sz="0" w:space="0" w:color="auto"/>
            <w:right w:val="none" w:sz="0" w:space="0" w:color="auto"/>
          </w:divBdr>
        </w:div>
        <w:div w:id="1220558065">
          <w:marLeft w:val="1555"/>
          <w:marRight w:val="0"/>
          <w:marTop w:val="86"/>
          <w:marBottom w:val="0"/>
          <w:divBdr>
            <w:top w:val="none" w:sz="0" w:space="0" w:color="auto"/>
            <w:left w:val="none" w:sz="0" w:space="0" w:color="auto"/>
            <w:bottom w:val="none" w:sz="0" w:space="0" w:color="auto"/>
            <w:right w:val="none" w:sz="0" w:space="0" w:color="auto"/>
          </w:divBdr>
        </w:div>
        <w:div w:id="1833981569">
          <w:marLeft w:val="1555"/>
          <w:marRight w:val="0"/>
          <w:marTop w:val="86"/>
          <w:marBottom w:val="0"/>
          <w:divBdr>
            <w:top w:val="none" w:sz="0" w:space="0" w:color="auto"/>
            <w:left w:val="none" w:sz="0" w:space="0" w:color="auto"/>
            <w:bottom w:val="none" w:sz="0" w:space="0" w:color="auto"/>
            <w:right w:val="none" w:sz="0" w:space="0" w:color="auto"/>
          </w:divBdr>
        </w:div>
      </w:divsChild>
    </w:div>
    <w:div w:id="135873991">
      <w:bodyDiv w:val="1"/>
      <w:marLeft w:val="0"/>
      <w:marRight w:val="0"/>
      <w:marTop w:val="0"/>
      <w:marBottom w:val="0"/>
      <w:divBdr>
        <w:top w:val="none" w:sz="0" w:space="0" w:color="auto"/>
        <w:left w:val="none" w:sz="0" w:space="0" w:color="auto"/>
        <w:bottom w:val="none" w:sz="0" w:space="0" w:color="auto"/>
        <w:right w:val="none" w:sz="0" w:space="0" w:color="auto"/>
      </w:divBdr>
    </w:div>
    <w:div w:id="150220916">
      <w:bodyDiv w:val="1"/>
      <w:marLeft w:val="0"/>
      <w:marRight w:val="0"/>
      <w:marTop w:val="0"/>
      <w:marBottom w:val="0"/>
      <w:divBdr>
        <w:top w:val="none" w:sz="0" w:space="0" w:color="auto"/>
        <w:left w:val="none" w:sz="0" w:space="0" w:color="auto"/>
        <w:bottom w:val="none" w:sz="0" w:space="0" w:color="auto"/>
        <w:right w:val="none" w:sz="0" w:space="0" w:color="auto"/>
      </w:divBdr>
      <w:divsChild>
        <w:div w:id="368840027">
          <w:marLeft w:val="864"/>
          <w:marRight w:val="0"/>
          <w:marTop w:val="0"/>
          <w:marBottom w:val="0"/>
          <w:divBdr>
            <w:top w:val="none" w:sz="0" w:space="0" w:color="auto"/>
            <w:left w:val="none" w:sz="0" w:space="0" w:color="auto"/>
            <w:bottom w:val="none" w:sz="0" w:space="0" w:color="auto"/>
            <w:right w:val="none" w:sz="0" w:space="0" w:color="auto"/>
          </w:divBdr>
        </w:div>
        <w:div w:id="494420023">
          <w:marLeft w:val="1325"/>
          <w:marRight w:val="0"/>
          <w:marTop w:val="0"/>
          <w:marBottom w:val="0"/>
          <w:divBdr>
            <w:top w:val="none" w:sz="0" w:space="0" w:color="auto"/>
            <w:left w:val="none" w:sz="0" w:space="0" w:color="auto"/>
            <w:bottom w:val="none" w:sz="0" w:space="0" w:color="auto"/>
            <w:right w:val="none" w:sz="0" w:space="0" w:color="auto"/>
          </w:divBdr>
        </w:div>
        <w:div w:id="1259800418">
          <w:marLeft w:val="864"/>
          <w:marRight w:val="0"/>
          <w:marTop w:val="0"/>
          <w:marBottom w:val="0"/>
          <w:divBdr>
            <w:top w:val="none" w:sz="0" w:space="0" w:color="auto"/>
            <w:left w:val="none" w:sz="0" w:space="0" w:color="auto"/>
            <w:bottom w:val="none" w:sz="0" w:space="0" w:color="auto"/>
            <w:right w:val="none" w:sz="0" w:space="0" w:color="auto"/>
          </w:divBdr>
        </w:div>
        <w:div w:id="1439910376">
          <w:marLeft w:val="864"/>
          <w:marRight w:val="0"/>
          <w:marTop w:val="0"/>
          <w:marBottom w:val="0"/>
          <w:divBdr>
            <w:top w:val="none" w:sz="0" w:space="0" w:color="auto"/>
            <w:left w:val="none" w:sz="0" w:space="0" w:color="auto"/>
            <w:bottom w:val="none" w:sz="0" w:space="0" w:color="auto"/>
            <w:right w:val="none" w:sz="0" w:space="0" w:color="auto"/>
          </w:divBdr>
        </w:div>
        <w:div w:id="1935942575">
          <w:marLeft w:val="1325"/>
          <w:marRight w:val="0"/>
          <w:marTop w:val="0"/>
          <w:marBottom w:val="0"/>
          <w:divBdr>
            <w:top w:val="none" w:sz="0" w:space="0" w:color="auto"/>
            <w:left w:val="none" w:sz="0" w:space="0" w:color="auto"/>
            <w:bottom w:val="none" w:sz="0" w:space="0" w:color="auto"/>
            <w:right w:val="none" w:sz="0" w:space="0" w:color="auto"/>
          </w:divBdr>
        </w:div>
      </w:divsChild>
    </w:div>
    <w:div w:id="230582040">
      <w:bodyDiv w:val="1"/>
      <w:marLeft w:val="0"/>
      <w:marRight w:val="0"/>
      <w:marTop w:val="0"/>
      <w:marBottom w:val="0"/>
      <w:divBdr>
        <w:top w:val="none" w:sz="0" w:space="0" w:color="auto"/>
        <w:left w:val="none" w:sz="0" w:space="0" w:color="auto"/>
        <w:bottom w:val="none" w:sz="0" w:space="0" w:color="auto"/>
        <w:right w:val="none" w:sz="0" w:space="0" w:color="auto"/>
      </w:divBdr>
      <w:divsChild>
        <w:div w:id="1910530432">
          <w:marLeft w:val="1915"/>
          <w:marRight w:val="0"/>
          <w:marTop w:val="0"/>
          <w:marBottom w:val="0"/>
          <w:divBdr>
            <w:top w:val="none" w:sz="0" w:space="0" w:color="auto"/>
            <w:left w:val="none" w:sz="0" w:space="0" w:color="auto"/>
            <w:bottom w:val="none" w:sz="0" w:space="0" w:color="auto"/>
            <w:right w:val="none" w:sz="0" w:space="0" w:color="auto"/>
          </w:divBdr>
        </w:div>
        <w:div w:id="2084331180">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034578">
      <w:bodyDiv w:val="1"/>
      <w:marLeft w:val="0"/>
      <w:marRight w:val="0"/>
      <w:marTop w:val="0"/>
      <w:marBottom w:val="0"/>
      <w:divBdr>
        <w:top w:val="none" w:sz="0" w:space="0" w:color="auto"/>
        <w:left w:val="none" w:sz="0" w:space="0" w:color="auto"/>
        <w:bottom w:val="none" w:sz="0" w:space="0" w:color="auto"/>
        <w:right w:val="none" w:sz="0" w:space="0" w:color="auto"/>
      </w:divBdr>
      <w:divsChild>
        <w:div w:id="181212886">
          <w:marLeft w:val="864"/>
          <w:marRight w:val="0"/>
          <w:marTop w:val="0"/>
          <w:marBottom w:val="0"/>
          <w:divBdr>
            <w:top w:val="none" w:sz="0" w:space="0" w:color="auto"/>
            <w:left w:val="none" w:sz="0" w:space="0" w:color="auto"/>
            <w:bottom w:val="none" w:sz="0" w:space="0" w:color="auto"/>
            <w:right w:val="none" w:sz="0" w:space="0" w:color="auto"/>
          </w:divBdr>
        </w:div>
        <w:div w:id="283123590">
          <w:marLeft w:val="864"/>
          <w:marRight w:val="0"/>
          <w:marTop w:val="0"/>
          <w:marBottom w:val="0"/>
          <w:divBdr>
            <w:top w:val="none" w:sz="0" w:space="0" w:color="auto"/>
            <w:left w:val="none" w:sz="0" w:space="0" w:color="auto"/>
            <w:bottom w:val="none" w:sz="0" w:space="0" w:color="auto"/>
            <w:right w:val="none" w:sz="0" w:space="0" w:color="auto"/>
          </w:divBdr>
        </w:div>
        <w:div w:id="455946955">
          <w:marLeft w:val="864"/>
          <w:marRight w:val="0"/>
          <w:marTop w:val="0"/>
          <w:marBottom w:val="0"/>
          <w:divBdr>
            <w:top w:val="none" w:sz="0" w:space="0" w:color="auto"/>
            <w:left w:val="none" w:sz="0" w:space="0" w:color="auto"/>
            <w:bottom w:val="none" w:sz="0" w:space="0" w:color="auto"/>
            <w:right w:val="none" w:sz="0" w:space="0" w:color="auto"/>
          </w:divBdr>
        </w:div>
        <w:div w:id="943346074">
          <w:marLeft w:val="403"/>
          <w:marRight w:val="0"/>
          <w:marTop w:val="0"/>
          <w:marBottom w:val="0"/>
          <w:divBdr>
            <w:top w:val="none" w:sz="0" w:space="0" w:color="auto"/>
            <w:left w:val="none" w:sz="0" w:space="0" w:color="auto"/>
            <w:bottom w:val="none" w:sz="0" w:space="0" w:color="auto"/>
            <w:right w:val="none" w:sz="0" w:space="0" w:color="auto"/>
          </w:divBdr>
        </w:div>
        <w:div w:id="1016418739">
          <w:marLeft w:val="864"/>
          <w:marRight w:val="0"/>
          <w:marTop w:val="0"/>
          <w:marBottom w:val="0"/>
          <w:divBdr>
            <w:top w:val="none" w:sz="0" w:space="0" w:color="auto"/>
            <w:left w:val="none" w:sz="0" w:space="0" w:color="auto"/>
            <w:bottom w:val="none" w:sz="0" w:space="0" w:color="auto"/>
            <w:right w:val="none" w:sz="0" w:space="0" w:color="auto"/>
          </w:divBdr>
        </w:div>
        <w:div w:id="1078668575">
          <w:marLeft w:val="864"/>
          <w:marRight w:val="0"/>
          <w:marTop w:val="0"/>
          <w:marBottom w:val="0"/>
          <w:divBdr>
            <w:top w:val="none" w:sz="0" w:space="0" w:color="auto"/>
            <w:left w:val="none" w:sz="0" w:space="0" w:color="auto"/>
            <w:bottom w:val="none" w:sz="0" w:space="0" w:color="auto"/>
            <w:right w:val="none" w:sz="0" w:space="0" w:color="auto"/>
          </w:divBdr>
        </w:div>
        <w:div w:id="1103453271">
          <w:marLeft w:val="864"/>
          <w:marRight w:val="0"/>
          <w:marTop w:val="0"/>
          <w:marBottom w:val="0"/>
          <w:divBdr>
            <w:top w:val="none" w:sz="0" w:space="0" w:color="auto"/>
            <w:left w:val="none" w:sz="0" w:space="0" w:color="auto"/>
            <w:bottom w:val="none" w:sz="0" w:space="0" w:color="auto"/>
            <w:right w:val="none" w:sz="0" w:space="0" w:color="auto"/>
          </w:divBdr>
        </w:div>
        <w:div w:id="1532524950">
          <w:marLeft w:val="403"/>
          <w:marRight w:val="0"/>
          <w:marTop w:val="0"/>
          <w:marBottom w:val="0"/>
          <w:divBdr>
            <w:top w:val="none" w:sz="0" w:space="0" w:color="auto"/>
            <w:left w:val="none" w:sz="0" w:space="0" w:color="auto"/>
            <w:bottom w:val="none" w:sz="0" w:space="0" w:color="auto"/>
            <w:right w:val="none" w:sz="0" w:space="0" w:color="auto"/>
          </w:divBdr>
        </w:div>
        <w:div w:id="1780031115">
          <w:marLeft w:val="403"/>
          <w:marRight w:val="0"/>
          <w:marTop w:val="0"/>
          <w:marBottom w:val="0"/>
          <w:divBdr>
            <w:top w:val="none" w:sz="0" w:space="0" w:color="auto"/>
            <w:left w:val="none" w:sz="0" w:space="0" w:color="auto"/>
            <w:bottom w:val="none" w:sz="0" w:space="0" w:color="auto"/>
            <w:right w:val="none" w:sz="0" w:space="0" w:color="auto"/>
          </w:divBdr>
        </w:div>
        <w:div w:id="1865551880">
          <w:marLeft w:val="864"/>
          <w:marRight w:val="0"/>
          <w:marTop w:val="0"/>
          <w:marBottom w:val="0"/>
          <w:divBdr>
            <w:top w:val="none" w:sz="0" w:space="0" w:color="auto"/>
            <w:left w:val="none" w:sz="0" w:space="0" w:color="auto"/>
            <w:bottom w:val="none" w:sz="0" w:space="0" w:color="auto"/>
            <w:right w:val="none" w:sz="0" w:space="0" w:color="auto"/>
          </w:divBdr>
        </w:div>
      </w:divsChild>
    </w:div>
    <w:div w:id="315646913">
      <w:bodyDiv w:val="1"/>
      <w:marLeft w:val="0"/>
      <w:marRight w:val="0"/>
      <w:marTop w:val="0"/>
      <w:marBottom w:val="0"/>
      <w:divBdr>
        <w:top w:val="none" w:sz="0" w:space="0" w:color="auto"/>
        <w:left w:val="none" w:sz="0" w:space="0" w:color="auto"/>
        <w:bottom w:val="none" w:sz="0" w:space="0" w:color="auto"/>
        <w:right w:val="none" w:sz="0" w:space="0" w:color="auto"/>
      </w:divBdr>
      <w:divsChild>
        <w:div w:id="229733797">
          <w:marLeft w:val="864"/>
          <w:marRight w:val="0"/>
          <w:marTop w:val="0"/>
          <w:marBottom w:val="0"/>
          <w:divBdr>
            <w:top w:val="none" w:sz="0" w:space="0" w:color="auto"/>
            <w:left w:val="none" w:sz="0" w:space="0" w:color="auto"/>
            <w:bottom w:val="none" w:sz="0" w:space="0" w:color="auto"/>
            <w:right w:val="none" w:sz="0" w:space="0" w:color="auto"/>
          </w:divBdr>
        </w:div>
        <w:div w:id="729108972">
          <w:marLeft w:val="403"/>
          <w:marRight w:val="0"/>
          <w:marTop w:val="0"/>
          <w:marBottom w:val="0"/>
          <w:divBdr>
            <w:top w:val="none" w:sz="0" w:space="0" w:color="auto"/>
            <w:left w:val="none" w:sz="0" w:space="0" w:color="auto"/>
            <w:bottom w:val="none" w:sz="0" w:space="0" w:color="auto"/>
            <w:right w:val="none" w:sz="0" w:space="0" w:color="auto"/>
          </w:divBdr>
        </w:div>
        <w:div w:id="779640137">
          <w:marLeft w:val="864"/>
          <w:marRight w:val="0"/>
          <w:marTop w:val="0"/>
          <w:marBottom w:val="0"/>
          <w:divBdr>
            <w:top w:val="none" w:sz="0" w:space="0" w:color="auto"/>
            <w:left w:val="none" w:sz="0" w:space="0" w:color="auto"/>
            <w:bottom w:val="none" w:sz="0" w:space="0" w:color="auto"/>
            <w:right w:val="none" w:sz="0" w:space="0" w:color="auto"/>
          </w:divBdr>
        </w:div>
        <w:div w:id="935749463">
          <w:marLeft w:val="403"/>
          <w:marRight w:val="0"/>
          <w:marTop w:val="0"/>
          <w:marBottom w:val="0"/>
          <w:divBdr>
            <w:top w:val="none" w:sz="0" w:space="0" w:color="auto"/>
            <w:left w:val="none" w:sz="0" w:space="0" w:color="auto"/>
            <w:bottom w:val="none" w:sz="0" w:space="0" w:color="auto"/>
            <w:right w:val="none" w:sz="0" w:space="0" w:color="auto"/>
          </w:divBdr>
        </w:div>
        <w:div w:id="1072462276">
          <w:marLeft w:val="864"/>
          <w:marRight w:val="0"/>
          <w:marTop w:val="0"/>
          <w:marBottom w:val="0"/>
          <w:divBdr>
            <w:top w:val="none" w:sz="0" w:space="0" w:color="auto"/>
            <w:left w:val="none" w:sz="0" w:space="0" w:color="auto"/>
            <w:bottom w:val="none" w:sz="0" w:space="0" w:color="auto"/>
            <w:right w:val="none" w:sz="0" w:space="0" w:color="auto"/>
          </w:divBdr>
        </w:div>
        <w:div w:id="1323507218">
          <w:marLeft w:val="403"/>
          <w:marRight w:val="0"/>
          <w:marTop w:val="0"/>
          <w:marBottom w:val="0"/>
          <w:divBdr>
            <w:top w:val="none" w:sz="0" w:space="0" w:color="auto"/>
            <w:left w:val="none" w:sz="0" w:space="0" w:color="auto"/>
            <w:bottom w:val="none" w:sz="0" w:space="0" w:color="auto"/>
            <w:right w:val="none" w:sz="0" w:space="0" w:color="auto"/>
          </w:divBdr>
        </w:div>
        <w:div w:id="1677223907">
          <w:marLeft w:val="864"/>
          <w:marRight w:val="0"/>
          <w:marTop w:val="0"/>
          <w:marBottom w:val="0"/>
          <w:divBdr>
            <w:top w:val="none" w:sz="0" w:space="0" w:color="auto"/>
            <w:left w:val="none" w:sz="0" w:space="0" w:color="auto"/>
            <w:bottom w:val="none" w:sz="0" w:space="0" w:color="auto"/>
            <w:right w:val="none" w:sz="0" w:space="0" w:color="auto"/>
          </w:divBdr>
        </w:div>
        <w:div w:id="1803772035">
          <w:marLeft w:val="864"/>
          <w:marRight w:val="0"/>
          <w:marTop w:val="0"/>
          <w:marBottom w:val="0"/>
          <w:divBdr>
            <w:top w:val="none" w:sz="0" w:space="0" w:color="auto"/>
            <w:left w:val="none" w:sz="0" w:space="0" w:color="auto"/>
            <w:bottom w:val="none" w:sz="0" w:space="0" w:color="auto"/>
            <w:right w:val="none" w:sz="0" w:space="0" w:color="auto"/>
          </w:divBdr>
        </w:div>
        <w:div w:id="1879077033">
          <w:marLeft w:val="864"/>
          <w:marRight w:val="0"/>
          <w:marTop w:val="0"/>
          <w:marBottom w:val="0"/>
          <w:divBdr>
            <w:top w:val="none" w:sz="0" w:space="0" w:color="auto"/>
            <w:left w:val="none" w:sz="0" w:space="0" w:color="auto"/>
            <w:bottom w:val="none" w:sz="0" w:space="0" w:color="auto"/>
            <w:right w:val="none" w:sz="0" w:space="0" w:color="auto"/>
          </w:divBdr>
        </w:div>
        <w:div w:id="1980264802">
          <w:marLeft w:val="86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2614885">
      <w:bodyDiv w:val="1"/>
      <w:marLeft w:val="0"/>
      <w:marRight w:val="0"/>
      <w:marTop w:val="0"/>
      <w:marBottom w:val="0"/>
      <w:divBdr>
        <w:top w:val="none" w:sz="0" w:space="0" w:color="auto"/>
        <w:left w:val="none" w:sz="0" w:space="0" w:color="auto"/>
        <w:bottom w:val="none" w:sz="0" w:space="0" w:color="auto"/>
        <w:right w:val="none" w:sz="0" w:space="0" w:color="auto"/>
      </w:divBdr>
      <w:divsChild>
        <w:div w:id="301620526">
          <w:marLeft w:val="2405"/>
          <w:marRight w:val="0"/>
          <w:marTop w:val="86"/>
          <w:marBottom w:val="0"/>
          <w:divBdr>
            <w:top w:val="none" w:sz="0" w:space="0" w:color="auto"/>
            <w:left w:val="none" w:sz="0" w:space="0" w:color="auto"/>
            <w:bottom w:val="none" w:sz="0" w:space="0" w:color="auto"/>
            <w:right w:val="none" w:sz="0" w:space="0" w:color="auto"/>
          </w:divBdr>
        </w:div>
        <w:div w:id="555966652">
          <w:marLeft w:val="2405"/>
          <w:marRight w:val="0"/>
          <w:marTop w:val="86"/>
          <w:marBottom w:val="0"/>
          <w:divBdr>
            <w:top w:val="none" w:sz="0" w:space="0" w:color="auto"/>
            <w:left w:val="none" w:sz="0" w:space="0" w:color="auto"/>
            <w:bottom w:val="none" w:sz="0" w:space="0" w:color="auto"/>
            <w:right w:val="none" w:sz="0" w:space="0" w:color="auto"/>
          </w:divBdr>
        </w:div>
        <w:div w:id="1324897580">
          <w:marLeft w:val="2405"/>
          <w:marRight w:val="0"/>
          <w:marTop w:val="86"/>
          <w:marBottom w:val="0"/>
          <w:divBdr>
            <w:top w:val="none" w:sz="0" w:space="0" w:color="auto"/>
            <w:left w:val="none" w:sz="0" w:space="0" w:color="auto"/>
            <w:bottom w:val="none" w:sz="0" w:space="0" w:color="auto"/>
            <w:right w:val="none" w:sz="0" w:space="0" w:color="auto"/>
          </w:divBdr>
        </w:div>
        <w:div w:id="1425304434">
          <w:marLeft w:val="2405"/>
          <w:marRight w:val="0"/>
          <w:marTop w:val="8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757331">
      <w:bodyDiv w:val="1"/>
      <w:marLeft w:val="0"/>
      <w:marRight w:val="0"/>
      <w:marTop w:val="0"/>
      <w:marBottom w:val="0"/>
      <w:divBdr>
        <w:top w:val="none" w:sz="0" w:space="0" w:color="auto"/>
        <w:left w:val="none" w:sz="0" w:space="0" w:color="auto"/>
        <w:bottom w:val="none" w:sz="0" w:space="0" w:color="auto"/>
        <w:right w:val="none" w:sz="0" w:space="0" w:color="auto"/>
      </w:divBdr>
      <w:divsChild>
        <w:div w:id="319384280">
          <w:marLeft w:val="1166"/>
          <w:marRight w:val="0"/>
          <w:marTop w:val="0"/>
          <w:marBottom w:val="0"/>
          <w:divBdr>
            <w:top w:val="none" w:sz="0" w:space="0" w:color="auto"/>
            <w:left w:val="none" w:sz="0" w:space="0" w:color="auto"/>
            <w:bottom w:val="none" w:sz="0" w:space="0" w:color="auto"/>
            <w:right w:val="none" w:sz="0" w:space="0" w:color="auto"/>
          </w:divBdr>
        </w:div>
        <w:div w:id="1683702886">
          <w:marLeft w:val="1166"/>
          <w:marRight w:val="0"/>
          <w:marTop w:val="0"/>
          <w:marBottom w:val="0"/>
          <w:divBdr>
            <w:top w:val="none" w:sz="0" w:space="0" w:color="auto"/>
            <w:left w:val="none" w:sz="0" w:space="0" w:color="auto"/>
            <w:bottom w:val="none" w:sz="0" w:space="0" w:color="auto"/>
            <w:right w:val="none" w:sz="0" w:space="0" w:color="auto"/>
          </w:divBdr>
        </w:div>
      </w:divsChild>
    </w:div>
    <w:div w:id="656957270">
      <w:bodyDiv w:val="1"/>
      <w:marLeft w:val="0"/>
      <w:marRight w:val="0"/>
      <w:marTop w:val="0"/>
      <w:marBottom w:val="0"/>
      <w:divBdr>
        <w:top w:val="none" w:sz="0" w:space="0" w:color="auto"/>
        <w:left w:val="none" w:sz="0" w:space="0" w:color="auto"/>
        <w:bottom w:val="none" w:sz="0" w:space="0" w:color="auto"/>
        <w:right w:val="none" w:sz="0" w:space="0" w:color="auto"/>
      </w:divBdr>
      <w:divsChild>
        <w:div w:id="452552215">
          <w:marLeft w:val="1325"/>
          <w:marRight w:val="0"/>
          <w:marTop w:val="0"/>
          <w:marBottom w:val="0"/>
          <w:divBdr>
            <w:top w:val="none" w:sz="0" w:space="0" w:color="auto"/>
            <w:left w:val="none" w:sz="0" w:space="0" w:color="auto"/>
            <w:bottom w:val="none" w:sz="0" w:space="0" w:color="auto"/>
            <w:right w:val="none" w:sz="0" w:space="0" w:color="auto"/>
          </w:divBdr>
        </w:div>
        <w:div w:id="821389012">
          <w:marLeft w:val="1325"/>
          <w:marRight w:val="0"/>
          <w:marTop w:val="0"/>
          <w:marBottom w:val="0"/>
          <w:divBdr>
            <w:top w:val="none" w:sz="0" w:space="0" w:color="auto"/>
            <w:left w:val="none" w:sz="0" w:space="0" w:color="auto"/>
            <w:bottom w:val="none" w:sz="0" w:space="0" w:color="auto"/>
            <w:right w:val="none" w:sz="0" w:space="0" w:color="auto"/>
          </w:divBdr>
        </w:div>
        <w:div w:id="1292441750">
          <w:marLeft w:val="864"/>
          <w:marRight w:val="0"/>
          <w:marTop w:val="0"/>
          <w:marBottom w:val="0"/>
          <w:divBdr>
            <w:top w:val="none" w:sz="0" w:space="0" w:color="auto"/>
            <w:left w:val="none" w:sz="0" w:space="0" w:color="auto"/>
            <w:bottom w:val="none" w:sz="0" w:space="0" w:color="auto"/>
            <w:right w:val="none" w:sz="0" w:space="0" w:color="auto"/>
          </w:divBdr>
        </w:div>
        <w:div w:id="1315644064">
          <w:marLeft w:val="1843"/>
          <w:marRight w:val="0"/>
          <w:marTop w:val="0"/>
          <w:marBottom w:val="0"/>
          <w:divBdr>
            <w:top w:val="none" w:sz="0" w:space="0" w:color="auto"/>
            <w:left w:val="none" w:sz="0" w:space="0" w:color="auto"/>
            <w:bottom w:val="none" w:sz="0" w:space="0" w:color="auto"/>
            <w:right w:val="none" w:sz="0" w:space="0" w:color="auto"/>
          </w:divBdr>
        </w:div>
      </w:divsChild>
    </w:div>
    <w:div w:id="746996706">
      <w:bodyDiv w:val="1"/>
      <w:marLeft w:val="0"/>
      <w:marRight w:val="0"/>
      <w:marTop w:val="0"/>
      <w:marBottom w:val="0"/>
      <w:divBdr>
        <w:top w:val="none" w:sz="0" w:space="0" w:color="auto"/>
        <w:left w:val="none" w:sz="0" w:space="0" w:color="auto"/>
        <w:bottom w:val="none" w:sz="0" w:space="0" w:color="auto"/>
        <w:right w:val="none" w:sz="0" w:space="0" w:color="auto"/>
      </w:divBdr>
      <w:divsChild>
        <w:div w:id="342897000">
          <w:marLeft w:val="1325"/>
          <w:marRight w:val="0"/>
          <w:marTop w:val="0"/>
          <w:marBottom w:val="0"/>
          <w:divBdr>
            <w:top w:val="none" w:sz="0" w:space="0" w:color="auto"/>
            <w:left w:val="none" w:sz="0" w:space="0" w:color="auto"/>
            <w:bottom w:val="none" w:sz="0" w:space="0" w:color="auto"/>
            <w:right w:val="none" w:sz="0" w:space="0" w:color="auto"/>
          </w:divBdr>
        </w:div>
        <w:div w:id="561064313">
          <w:marLeft w:val="864"/>
          <w:marRight w:val="0"/>
          <w:marTop w:val="0"/>
          <w:marBottom w:val="0"/>
          <w:divBdr>
            <w:top w:val="none" w:sz="0" w:space="0" w:color="auto"/>
            <w:left w:val="none" w:sz="0" w:space="0" w:color="auto"/>
            <w:bottom w:val="none" w:sz="0" w:space="0" w:color="auto"/>
            <w:right w:val="none" w:sz="0" w:space="0" w:color="auto"/>
          </w:divBdr>
        </w:div>
        <w:div w:id="721826931">
          <w:marLeft w:val="1325"/>
          <w:marRight w:val="0"/>
          <w:marTop w:val="0"/>
          <w:marBottom w:val="0"/>
          <w:divBdr>
            <w:top w:val="none" w:sz="0" w:space="0" w:color="auto"/>
            <w:left w:val="none" w:sz="0" w:space="0" w:color="auto"/>
            <w:bottom w:val="none" w:sz="0" w:space="0" w:color="auto"/>
            <w:right w:val="none" w:sz="0" w:space="0" w:color="auto"/>
          </w:divBdr>
        </w:div>
        <w:div w:id="1009795777">
          <w:marLeft w:val="864"/>
          <w:marRight w:val="0"/>
          <w:marTop w:val="0"/>
          <w:marBottom w:val="0"/>
          <w:divBdr>
            <w:top w:val="none" w:sz="0" w:space="0" w:color="auto"/>
            <w:left w:val="none" w:sz="0" w:space="0" w:color="auto"/>
            <w:bottom w:val="none" w:sz="0" w:space="0" w:color="auto"/>
            <w:right w:val="none" w:sz="0" w:space="0" w:color="auto"/>
          </w:divBdr>
        </w:div>
        <w:div w:id="1737123349">
          <w:marLeft w:val="864"/>
          <w:marRight w:val="0"/>
          <w:marTop w:val="0"/>
          <w:marBottom w:val="0"/>
          <w:divBdr>
            <w:top w:val="none" w:sz="0" w:space="0" w:color="auto"/>
            <w:left w:val="none" w:sz="0" w:space="0" w:color="auto"/>
            <w:bottom w:val="none" w:sz="0" w:space="0" w:color="auto"/>
            <w:right w:val="none" w:sz="0" w:space="0" w:color="auto"/>
          </w:divBdr>
        </w:div>
      </w:divsChild>
    </w:div>
    <w:div w:id="892232199">
      <w:bodyDiv w:val="1"/>
      <w:marLeft w:val="0"/>
      <w:marRight w:val="0"/>
      <w:marTop w:val="0"/>
      <w:marBottom w:val="0"/>
      <w:divBdr>
        <w:top w:val="none" w:sz="0" w:space="0" w:color="auto"/>
        <w:left w:val="none" w:sz="0" w:space="0" w:color="auto"/>
        <w:bottom w:val="none" w:sz="0" w:space="0" w:color="auto"/>
        <w:right w:val="none" w:sz="0" w:space="0" w:color="auto"/>
      </w:divBdr>
      <w:divsChild>
        <w:div w:id="577134043">
          <w:marLeft w:val="864"/>
          <w:marRight w:val="0"/>
          <w:marTop w:val="0"/>
          <w:marBottom w:val="0"/>
          <w:divBdr>
            <w:top w:val="none" w:sz="0" w:space="0" w:color="auto"/>
            <w:left w:val="none" w:sz="0" w:space="0" w:color="auto"/>
            <w:bottom w:val="none" w:sz="0" w:space="0" w:color="auto"/>
            <w:right w:val="none" w:sz="0" w:space="0" w:color="auto"/>
          </w:divBdr>
        </w:div>
        <w:div w:id="859202399">
          <w:marLeft w:val="864"/>
          <w:marRight w:val="0"/>
          <w:marTop w:val="0"/>
          <w:marBottom w:val="0"/>
          <w:divBdr>
            <w:top w:val="none" w:sz="0" w:space="0" w:color="auto"/>
            <w:left w:val="none" w:sz="0" w:space="0" w:color="auto"/>
            <w:bottom w:val="none" w:sz="0" w:space="0" w:color="auto"/>
            <w:right w:val="none" w:sz="0" w:space="0" w:color="auto"/>
          </w:divBdr>
        </w:div>
        <w:div w:id="1378354226">
          <w:marLeft w:val="1325"/>
          <w:marRight w:val="0"/>
          <w:marTop w:val="0"/>
          <w:marBottom w:val="0"/>
          <w:divBdr>
            <w:top w:val="none" w:sz="0" w:space="0" w:color="auto"/>
            <w:left w:val="none" w:sz="0" w:space="0" w:color="auto"/>
            <w:bottom w:val="none" w:sz="0" w:space="0" w:color="auto"/>
            <w:right w:val="none" w:sz="0" w:space="0" w:color="auto"/>
          </w:divBdr>
        </w:div>
        <w:div w:id="2034451121">
          <w:marLeft w:val="1325"/>
          <w:marRight w:val="0"/>
          <w:marTop w:val="0"/>
          <w:marBottom w:val="0"/>
          <w:divBdr>
            <w:top w:val="none" w:sz="0" w:space="0" w:color="auto"/>
            <w:left w:val="none" w:sz="0" w:space="0" w:color="auto"/>
            <w:bottom w:val="none" w:sz="0" w:space="0" w:color="auto"/>
            <w:right w:val="none" w:sz="0" w:space="0" w:color="auto"/>
          </w:divBdr>
        </w:div>
      </w:divsChild>
    </w:div>
    <w:div w:id="928781017">
      <w:bodyDiv w:val="1"/>
      <w:marLeft w:val="0"/>
      <w:marRight w:val="0"/>
      <w:marTop w:val="0"/>
      <w:marBottom w:val="0"/>
      <w:divBdr>
        <w:top w:val="none" w:sz="0" w:space="0" w:color="auto"/>
        <w:left w:val="none" w:sz="0" w:space="0" w:color="auto"/>
        <w:bottom w:val="none" w:sz="0" w:space="0" w:color="auto"/>
        <w:right w:val="none" w:sz="0" w:space="0" w:color="auto"/>
      </w:divBdr>
      <w:divsChild>
        <w:div w:id="538279809">
          <w:marLeft w:val="2405"/>
          <w:marRight w:val="0"/>
          <w:marTop w:val="86"/>
          <w:marBottom w:val="0"/>
          <w:divBdr>
            <w:top w:val="none" w:sz="0" w:space="0" w:color="auto"/>
            <w:left w:val="none" w:sz="0" w:space="0" w:color="auto"/>
            <w:bottom w:val="none" w:sz="0" w:space="0" w:color="auto"/>
            <w:right w:val="none" w:sz="0" w:space="0" w:color="auto"/>
          </w:divBdr>
        </w:div>
        <w:div w:id="1214541748">
          <w:marLeft w:val="2405"/>
          <w:marRight w:val="0"/>
          <w:marTop w:val="86"/>
          <w:marBottom w:val="0"/>
          <w:divBdr>
            <w:top w:val="none" w:sz="0" w:space="0" w:color="auto"/>
            <w:left w:val="none" w:sz="0" w:space="0" w:color="auto"/>
            <w:bottom w:val="none" w:sz="0" w:space="0" w:color="auto"/>
            <w:right w:val="none" w:sz="0" w:space="0" w:color="auto"/>
          </w:divBdr>
        </w:div>
        <w:div w:id="1549146244">
          <w:marLeft w:val="2405"/>
          <w:marRight w:val="0"/>
          <w:marTop w:val="86"/>
          <w:marBottom w:val="0"/>
          <w:divBdr>
            <w:top w:val="none" w:sz="0" w:space="0" w:color="auto"/>
            <w:left w:val="none" w:sz="0" w:space="0" w:color="auto"/>
            <w:bottom w:val="none" w:sz="0" w:space="0" w:color="auto"/>
            <w:right w:val="none" w:sz="0" w:space="0" w:color="auto"/>
          </w:divBdr>
        </w:div>
        <w:div w:id="1892495690">
          <w:marLeft w:val="2405"/>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1000745">
      <w:bodyDiv w:val="1"/>
      <w:marLeft w:val="0"/>
      <w:marRight w:val="0"/>
      <w:marTop w:val="0"/>
      <w:marBottom w:val="0"/>
      <w:divBdr>
        <w:top w:val="none" w:sz="0" w:space="0" w:color="auto"/>
        <w:left w:val="none" w:sz="0" w:space="0" w:color="auto"/>
        <w:bottom w:val="none" w:sz="0" w:space="0" w:color="auto"/>
        <w:right w:val="none" w:sz="0" w:space="0" w:color="auto"/>
      </w:divBdr>
      <w:divsChild>
        <w:div w:id="194512992">
          <w:marLeft w:val="1915"/>
          <w:marRight w:val="0"/>
          <w:marTop w:val="0"/>
          <w:marBottom w:val="0"/>
          <w:divBdr>
            <w:top w:val="none" w:sz="0" w:space="0" w:color="auto"/>
            <w:left w:val="none" w:sz="0" w:space="0" w:color="auto"/>
            <w:bottom w:val="none" w:sz="0" w:space="0" w:color="auto"/>
            <w:right w:val="none" w:sz="0" w:space="0" w:color="auto"/>
          </w:divBdr>
        </w:div>
        <w:div w:id="980230465">
          <w:marLeft w:val="1915"/>
          <w:marRight w:val="0"/>
          <w:marTop w:val="0"/>
          <w:marBottom w:val="0"/>
          <w:divBdr>
            <w:top w:val="none" w:sz="0" w:space="0" w:color="auto"/>
            <w:left w:val="none" w:sz="0" w:space="0" w:color="auto"/>
            <w:bottom w:val="none" w:sz="0" w:space="0" w:color="auto"/>
            <w:right w:val="none" w:sz="0" w:space="0" w:color="auto"/>
          </w:divBdr>
        </w:div>
        <w:div w:id="1063796942">
          <w:marLeft w:val="1166"/>
          <w:marRight w:val="0"/>
          <w:marTop w:val="0"/>
          <w:marBottom w:val="0"/>
          <w:divBdr>
            <w:top w:val="none" w:sz="0" w:space="0" w:color="auto"/>
            <w:left w:val="none" w:sz="0" w:space="0" w:color="auto"/>
            <w:bottom w:val="none" w:sz="0" w:space="0" w:color="auto"/>
            <w:right w:val="none" w:sz="0" w:space="0" w:color="auto"/>
          </w:divBdr>
        </w:div>
        <w:div w:id="1211840148">
          <w:marLeft w:val="1166"/>
          <w:marRight w:val="0"/>
          <w:marTop w:val="0"/>
          <w:marBottom w:val="0"/>
          <w:divBdr>
            <w:top w:val="none" w:sz="0" w:space="0" w:color="auto"/>
            <w:left w:val="none" w:sz="0" w:space="0" w:color="auto"/>
            <w:bottom w:val="none" w:sz="0" w:space="0" w:color="auto"/>
            <w:right w:val="none" w:sz="0" w:space="0" w:color="auto"/>
          </w:divBdr>
        </w:div>
        <w:div w:id="1368725739">
          <w:marLeft w:val="1915"/>
          <w:marRight w:val="0"/>
          <w:marTop w:val="0"/>
          <w:marBottom w:val="0"/>
          <w:divBdr>
            <w:top w:val="none" w:sz="0" w:space="0" w:color="auto"/>
            <w:left w:val="none" w:sz="0" w:space="0" w:color="auto"/>
            <w:bottom w:val="none" w:sz="0" w:space="0" w:color="auto"/>
            <w:right w:val="none" w:sz="0" w:space="0" w:color="auto"/>
          </w:divBdr>
        </w:div>
        <w:div w:id="1611038456">
          <w:marLeft w:val="1166"/>
          <w:marRight w:val="0"/>
          <w:marTop w:val="0"/>
          <w:marBottom w:val="0"/>
          <w:divBdr>
            <w:top w:val="none" w:sz="0" w:space="0" w:color="auto"/>
            <w:left w:val="none" w:sz="0" w:space="0" w:color="auto"/>
            <w:bottom w:val="none" w:sz="0" w:space="0" w:color="auto"/>
            <w:right w:val="none" w:sz="0" w:space="0" w:color="auto"/>
          </w:divBdr>
        </w:div>
      </w:divsChild>
    </w:div>
    <w:div w:id="1290208088">
      <w:bodyDiv w:val="1"/>
      <w:marLeft w:val="0"/>
      <w:marRight w:val="0"/>
      <w:marTop w:val="0"/>
      <w:marBottom w:val="0"/>
      <w:divBdr>
        <w:top w:val="none" w:sz="0" w:space="0" w:color="auto"/>
        <w:left w:val="none" w:sz="0" w:space="0" w:color="auto"/>
        <w:bottom w:val="none" w:sz="0" w:space="0" w:color="auto"/>
        <w:right w:val="none" w:sz="0" w:space="0" w:color="auto"/>
      </w:divBdr>
      <w:divsChild>
        <w:div w:id="188880949">
          <w:marLeft w:val="1555"/>
          <w:marRight w:val="0"/>
          <w:marTop w:val="91"/>
          <w:marBottom w:val="0"/>
          <w:divBdr>
            <w:top w:val="none" w:sz="0" w:space="0" w:color="auto"/>
            <w:left w:val="none" w:sz="0" w:space="0" w:color="auto"/>
            <w:bottom w:val="none" w:sz="0" w:space="0" w:color="auto"/>
            <w:right w:val="none" w:sz="0" w:space="0" w:color="auto"/>
          </w:divBdr>
        </w:div>
        <w:div w:id="549876939">
          <w:marLeft w:val="1555"/>
          <w:marRight w:val="0"/>
          <w:marTop w:val="91"/>
          <w:marBottom w:val="0"/>
          <w:divBdr>
            <w:top w:val="none" w:sz="0" w:space="0" w:color="auto"/>
            <w:left w:val="none" w:sz="0" w:space="0" w:color="auto"/>
            <w:bottom w:val="none" w:sz="0" w:space="0" w:color="auto"/>
            <w:right w:val="none" w:sz="0" w:space="0" w:color="auto"/>
          </w:divBdr>
        </w:div>
        <w:div w:id="1450776651">
          <w:marLeft w:val="1555"/>
          <w:marRight w:val="0"/>
          <w:marTop w:val="91"/>
          <w:marBottom w:val="0"/>
          <w:divBdr>
            <w:top w:val="none" w:sz="0" w:space="0" w:color="auto"/>
            <w:left w:val="none" w:sz="0" w:space="0" w:color="auto"/>
            <w:bottom w:val="none" w:sz="0" w:space="0" w:color="auto"/>
            <w:right w:val="none" w:sz="0" w:space="0" w:color="auto"/>
          </w:divBdr>
        </w:div>
      </w:divsChild>
    </w:div>
    <w:div w:id="1338074387">
      <w:bodyDiv w:val="1"/>
      <w:marLeft w:val="0"/>
      <w:marRight w:val="0"/>
      <w:marTop w:val="0"/>
      <w:marBottom w:val="0"/>
      <w:divBdr>
        <w:top w:val="none" w:sz="0" w:space="0" w:color="auto"/>
        <w:left w:val="none" w:sz="0" w:space="0" w:color="auto"/>
        <w:bottom w:val="none" w:sz="0" w:space="0" w:color="auto"/>
        <w:right w:val="none" w:sz="0" w:space="0" w:color="auto"/>
      </w:divBdr>
      <w:divsChild>
        <w:div w:id="2062241893">
          <w:marLeft w:val="403"/>
          <w:marRight w:val="0"/>
          <w:marTop w:val="0"/>
          <w:marBottom w:val="0"/>
          <w:divBdr>
            <w:top w:val="none" w:sz="0" w:space="0" w:color="auto"/>
            <w:left w:val="none" w:sz="0" w:space="0" w:color="auto"/>
            <w:bottom w:val="none" w:sz="0" w:space="0" w:color="auto"/>
            <w:right w:val="none" w:sz="0" w:space="0" w:color="auto"/>
          </w:divBdr>
        </w:div>
      </w:divsChild>
    </w:div>
    <w:div w:id="1342586674">
      <w:bodyDiv w:val="1"/>
      <w:marLeft w:val="0"/>
      <w:marRight w:val="0"/>
      <w:marTop w:val="0"/>
      <w:marBottom w:val="0"/>
      <w:divBdr>
        <w:top w:val="none" w:sz="0" w:space="0" w:color="auto"/>
        <w:left w:val="none" w:sz="0" w:space="0" w:color="auto"/>
        <w:bottom w:val="none" w:sz="0" w:space="0" w:color="auto"/>
        <w:right w:val="none" w:sz="0" w:space="0" w:color="auto"/>
      </w:divBdr>
      <w:divsChild>
        <w:div w:id="1228569344">
          <w:marLeft w:val="878"/>
          <w:marRight w:val="0"/>
          <w:marTop w:val="67"/>
          <w:marBottom w:val="0"/>
          <w:divBdr>
            <w:top w:val="none" w:sz="0" w:space="0" w:color="auto"/>
            <w:left w:val="none" w:sz="0" w:space="0" w:color="auto"/>
            <w:bottom w:val="none" w:sz="0" w:space="0" w:color="auto"/>
            <w:right w:val="none" w:sz="0" w:space="0" w:color="auto"/>
          </w:divBdr>
        </w:div>
        <w:div w:id="1342005214">
          <w:marLeft w:val="878"/>
          <w:marRight w:val="0"/>
          <w:marTop w:val="67"/>
          <w:marBottom w:val="0"/>
          <w:divBdr>
            <w:top w:val="none" w:sz="0" w:space="0" w:color="auto"/>
            <w:left w:val="none" w:sz="0" w:space="0" w:color="auto"/>
            <w:bottom w:val="none" w:sz="0" w:space="0" w:color="auto"/>
            <w:right w:val="none" w:sz="0" w:space="0" w:color="auto"/>
          </w:divBdr>
        </w:div>
      </w:divsChild>
    </w:div>
    <w:div w:id="1462846268">
      <w:bodyDiv w:val="1"/>
      <w:marLeft w:val="0"/>
      <w:marRight w:val="0"/>
      <w:marTop w:val="0"/>
      <w:marBottom w:val="0"/>
      <w:divBdr>
        <w:top w:val="none" w:sz="0" w:space="0" w:color="auto"/>
        <w:left w:val="none" w:sz="0" w:space="0" w:color="auto"/>
        <w:bottom w:val="none" w:sz="0" w:space="0" w:color="auto"/>
        <w:right w:val="none" w:sz="0" w:space="0" w:color="auto"/>
      </w:divBdr>
      <w:divsChild>
        <w:div w:id="207448871">
          <w:marLeft w:val="2462"/>
          <w:marRight w:val="0"/>
          <w:marTop w:val="72"/>
          <w:marBottom w:val="0"/>
          <w:divBdr>
            <w:top w:val="none" w:sz="0" w:space="0" w:color="auto"/>
            <w:left w:val="none" w:sz="0" w:space="0" w:color="auto"/>
            <w:bottom w:val="none" w:sz="0" w:space="0" w:color="auto"/>
            <w:right w:val="none" w:sz="0" w:space="0" w:color="auto"/>
          </w:divBdr>
        </w:div>
        <w:div w:id="845364374">
          <w:marLeft w:val="1498"/>
          <w:marRight w:val="0"/>
          <w:marTop w:val="96"/>
          <w:marBottom w:val="0"/>
          <w:divBdr>
            <w:top w:val="none" w:sz="0" w:space="0" w:color="auto"/>
            <w:left w:val="none" w:sz="0" w:space="0" w:color="auto"/>
            <w:bottom w:val="none" w:sz="0" w:space="0" w:color="auto"/>
            <w:right w:val="none" w:sz="0" w:space="0" w:color="auto"/>
          </w:divBdr>
        </w:div>
        <w:div w:id="1336034221">
          <w:marLeft w:val="1498"/>
          <w:marRight w:val="0"/>
          <w:marTop w:val="96"/>
          <w:marBottom w:val="0"/>
          <w:divBdr>
            <w:top w:val="none" w:sz="0" w:space="0" w:color="auto"/>
            <w:left w:val="none" w:sz="0" w:space="0" w:color="auto"/>
            <w:bottom w:val="none" w:sz="0" w:space="0" w:color="auto"/>
            <w:right w:val="none" w:sz="0" w:space="0" w:color="auto"/>
          </w:divBdr>
        </w:div>
        <w:div w:id="1750614225">
          <w:marLeft w:val="2462"/>
          <w:marRight w:val="0"/>
          <w:marTop w:val="72"/>
          <w:marBottom w:val="0"/>
          <w:divBdr>
            <w:top w:val="none" w:sz="0" w:space="0" w:color="auto"/>
            <w:left w:val="none" w:sz="0" w:space="0" w:color="auto"/>
            <w:bottom w:val="none" w:sz="0" w:space="0" w:color="auto"/>
            <w:right w:val="none" w:sz="0" w:space="0" w:color="auto"/>
          </w:divBdr>
        </w:div>
      </w:divsChild>
    </w:div>
    <w:div w:id="1538422730">
      <w:bodyDiv w:val="1"/>
      <w:marLeft w:val="0"/>
      <w:marRight w:val="0"/>
      <w:marTop w:val="0"/>
      <w:marBottom w:val="0"/>
      <w:divBdr>
        <w:top w:val="none" w:sz="0" w:space="0" w:color="auto"/>
        <w:left w:val="none" w:sz="0" w:space="0" w:color="auto"/>
        <w:bottom w:val="none" w:sz="0" w:space="0" w:color="auto"/>
        <w:right w:val="none" w:sz="0" w:space="0" w:color="auto"/>
      </w:divBdr>
      <w:divsChild>
        <w:div w:id="1506508638">
          <w:marLeft w:val="403"/>
          <w:marRight w:val="0"/>
          <w:marTop w:val="0"/>
          <w:marBottom w:val="0"/>
          <w:divBdr>
            <w:top w:val="none" w:sz="0" w:space="0" w:color="auto"/>
            <w:left w:val="none" w:sz="0" w:space="0" w:color="auto"/>
            <w:bottom w:val="none" w:sz="0" w:space="0" w:color="auto"/>
            <w:right w:val="none" w:sz="0" w:space="0" w:color="auto"/>
          </w:divBdr>
        </w:div>
      </w:divsChild>
    </w:div>
    <w:div w:id="1585069657">
      <w:bodyDiv w:val="1"/>
      <w:marLeft w:val="0"/>
      <w:marRight w:val="0"/>
      <w:marTop w:val="0"/>
      <w:marBottom w:val="0"/>
      <w:divBdr>
        <w:top w:val="none" w:sz="0" w:space="0" w:color="auto"/>
        <w:left w:val="none" w:sz="0" w:space="0" w:color="auto"/>
        <w:bottom w:val="none" w:sz="0" w:space="0" w:color="auto"/>
        <w:right w:val="none" w:sz="0" w:space="0" w:color="auto"/>
      </w:divBdr>
      <w:divsChild>
        <w:div w:id="426313394">
          <w:marLeft w:val="864"/>
          <w:marRight w:val="0"/>
          <w:marTop w:val="0"/>
          <w:marBottom w:val="0"/>
          <w:divBdr>
            <w:top w:val="none" w:sz="0" w:space="0" w:color="auto"/>
            <w:left w:val="none" w:sz="0" w:space="0" w:color="auto"/>
            <w:bottom w:val="none" w:sz="0" w:space="0" w:color="auto"/>
            <w:right w:val="none" w:sz="0" w:space="0" w:color="auto"/>
          </w:divBdr>
        </w:div>
      </w:divsChild>
    </w:div>
    <w:div w:id="1616979944">
      <w:bodyDiv w:val="1"/>
      <w:marLeft w:val="0"/>
      <w:marRight w:val="0"/>
      <w:marTop w:val="0"/>
      <w:marBottom w:val="0"/>
      <w:divBdr>
        <w:top w:val="none" w:sz="0" w:space="0" w:color="auto"/>
        <w:left w:val="none" w:sz="0" w:space="0" w:color="auto"/>
        <w:bottom w:val="none" w:sz="0" w:space="0" w:color="auto"/>
        <w:right w:val="none" w:sz="0" w:space="0" w:color="auto"/>
      </w:divBdr>
      <w:divsChild>
        <w:div w:id="951476890">
          <w:marLeft w:val="403"/>
          <w:marRight w:val="0"/>
          <w:marTop w:val="0"/>
          <w:marBottom w:val="0"/>
          <w:divBdr>
            <w:top w:val="none" w:sz="0" w:space="0" w:color="auto"/>
            <w:left w:val="none" w:sz="0" w:space="0" w:color="auto"/>
            <w:bottom w:val="none" w:sz="0" w:space="0" w:color="auto"/>
            <w:right w:val="none" w:sz="0" w:space="0" w:color="auto"/>
          </w:divBdr>
        </w:div>
      </w:divsChild>
    </w:div>
    <w:div w:id="16801588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96148">
      <w:bodyDiv w:val="1"/>
      <w:marLeft w:val="0"/>
      <w:marRight w:val="0"/>
      <w:marTop w:val="0"/>
      <w:marBottom w:val="0"/>
      <w:divBdr>
        <w:top w:val="none" w:sz="0" w:space="0" w:color="auto"/>
        <w:left w:val="none" w:sz="0" w:space="0" w:color="auto"/>
        <w:bottom w:val="none" w:sz="0" w:space="0" w:color="auto"/>
        <w:right w:val="none" w:sz="0" w:space="0" w:color="auto"/>
      </w:divBdr>
      <w:divsChild>
        <w:div w:id="1240752017">
          <w:marLeft w:val="403"/>
          <w:marRight w:val="0"/>
          <w:marTop w:val="0"/>
          <w:marBottom w:val="0"/>
          <w:divBdr>
            <w:top w:val="none" w:sz="0" w:space="0" w:color="auto"/>
            <w:left w:val="none" w:sz="0" w:space="0" w:color="auto"/>
            <w:bottom w:val="none" w:sz="0" w:space="0" w:color="auto"/>
            <w:right w:val="none" w:sz="0" w:space="0" w:color="auto"/>
          </w:divBdr>
        </w:div>
        <w:div w:id="1623341289">
          <w:marLeft w:val="403"/>
          <w:marRight w:val="0"/>
          <w:marTop w:val="0"/>
          <w:marBottom w:val="0"/>
          <w:divBdr>
            <w:top w:val="none" w:sz="0" w:space="0" w:color="auto"/>
            <w:left w:val="none" w:sz="0" w:space="0" w:color="auto"/>
            <w:bottom w:val="none" w:sz="0" w:space="0" w:color="auto"/>
            <w:right w:val="none" w:sz="0" w:space="0" w:color="auto"/>
          </w:divBdr>
        </w:div>
      </w:divsChild>
    </w:div>
    <w:div w:id="1813015744">
      <w:bodyDiv w:val="1"/>
      <w:marLeft w:val="0"/>
      <w:marRight w:val="0"/>
      <w:marTop w:val="0"/>
      <w:marBottom w:val="0"/>
      <w:divBdr>
        <w:top w:val="none" w:sz="0" w:space="0" w:color="auto"/>
        <w:left w:val="none" w:sz="0" w:space="0" w:color="auto"/>
        <w:bottom w:val="none" w:sz="0" w:space="0" w:color="auto"/>
        <w:right w:val="none" w:sz="0" w:space="0" w:color="auto"/>
      </w:divBdr>
      <w:divsChild>
        <w:div w:id="584150523">
          <w:marLeft w:val="2462"/>
          <w:marRight w:val="0"/>
          <w:marTop w:val="0"/>
          <w:marBottom w:val="0"/>
          <w:divBdr>
            <w:top w:val="none" w:sz="0" w:space="0" w:color="auto"/>
            <w:left w:val="none" w:sz="0" w:space="0" w:color="auto"/>
            <w:bottom w:val="none" w:sz="0" w:space="0" w:color="auto"/>
            <w:right w:val="none" w:sz="0" w:space="0" w:color="auto"/>
          </w:divBdr>
        </w:div>
        <w:div w:id="677999833">
          <w:marLeft w:val="1498"/>
          <w:marRight w:val="0"/>
          <w:marTop w:val="0"/>
          <w:marBottom w:val="0"/>
          <w:divBdr>
            <w:top w:val="none" w:sz="0" w:space="0" w:color="auto"/>
            <w:left w:val="none" w:sz="0" w:space="0" w:color="auto"/>
            <w:bottom w:val="none" w:sz="0" w:space="0" w:color="auto"/>
            <w:right w:val="none" w:sz="0" w:space="0" w:color="auto"/>
          </w:divBdr>
        </w:div>
        <w:div w:id="679817494">
          <w:marLeft w:val="1498"/>
          <w:marRight w:val="0"/>
          <w:marTop w:val="0"/>
          <w:marBottom w:val="0"/>
          <w:divBdr>
            <w:top w:val="none" w:sz="0" w:space="0" w:color="auto"/>
            <w:left w:val="none" w:sz="0" w:space="0" w:color="auto"/>
            <w:bottom w:val="none" w:sz="0" w:space="0" w:color="auto"/>
            <w:right w:val="none" w:sz="0" w:space="0" w:color="auto"/>
          </w:divBdr>
        </w:div>
        <w:div w:id="1226794864">
          <w:marLeft w:val="2462"/>
          <w:marRight w:val="0"/>
          <w:marTop w:val="0"/>
          <w:marBottom w:val="0"/>
          <w:divBdr>
            <w:top w:val="none" w:sz="0" w:space="0" w:color="auto"/>
            <w:left w:val="none" w:sz="0" w:space="0" w:color="auto"/>
            <w:bottom w:val="none" w:sz="0" w:space="0" w:color="auto"/>
            <w:right w:val="none" w:sz="0" w:space="0" w:color="auto"/>
          </w:divBdr>
        </w:div>
        <w:div w:id="1258487957">
          <w:marLeft w:val="1498"/>
          <w:marRight w:val="0"/>
          <w:marTop w:val="0"/>
          <w:marBottom w:val="0"/>
          <w:divBdr>
            <w:top w:val="none" w:sz="0" w:space="0" w:color="auto"/>
            <w:left w:val="none" w:sz="0" w:space="0" w:color="auto"/>
            <w:bottom w:val="none" w:sz="0" w:space="0" w:color="auto"/>
            <w:right w:val="none" w:sz="0" w:space="0" w:color="auto"/>
          </w:divBdr>
        </w:div>
        <w:div w:id="2041933671">
          <w:marLeft w:val="2462"/>
          <w:marRight w:val="0"/>
          <w:marTop w:val="0"/>
          <w:marBottom w:val="0"/>
          <w:divBdr>
            <w:top w:val="none" w:sz="0" w:space="0" w:color="auto"/>
            <w:left w:val="none" w:sz="0" w:space="0" w:color="auto"/>
            <w:bottom w:val="none" w:sz="0" w:space="0" w:color="auto"/>
            <w:right w:val="none" w:sz="0" w:space="0" w:color="auto"/>
          </w:divBdr>
        </w:div>
      </w:divsChild>
    </w:div>
    <w:div w:id="1852639476">
      <w:bodyDiv w:val="1"/>
      <w:marLeft w:val="0"/>
      <w:marRight w:val="0"/>
      <w:marTop w:val="0"/>
      <w:marBottom w:val="0"/>
      <w:divBdr>
        <w:top w:val="none" w:sz="0" w:space="0" w:color="auto"/>
        <w:left w:val="none" w:sz="0" w:space="0" w:color="auto"/>
        <w:bottom w:val="none" w:sz="0" w:space="0" w:color="auto"/>
        <w:right w:val="none" w:sz="0" w:space="0" w:color="auto"/>
      </w:divBdr>
      <w:divsChild>
        <w:div w:id="591472879">
          <w:marLeft w:val="3240"/>
          <w:marRight w:val="0"/>
          <w:marTop w:val="100"/>
          <w:marBottom w:val="0"/>
          <w:divBdr>
            <w:top w:val="none" w:sz="0" w:space="0" w:color="auto"/>
            <w:left w:val="none" w:sz="0" w:space="0" w:color="auto"/>
            <w:bottom w:val="none" w:sz="0" w:space="0" w:color="auto"/>
            <w:right w:val="none" w:sz="0" w:space="0" w:color="auto"/>
          </w:divBdr>
        </w:div>
        <w:div w:id="783888114">
          <w:marLeft w:val="2520"/>
          <w:marRight w:val="0"/>
          <w:marTop w:val="100"/>
          <w:marBottom w:val="0"/>
          <w:divBdr>
            <w:top w:val="none" w:sz="0" w:space="0" w:color="auto"/>
            <w:left w:val="none" w:sz="0" w:space="0" w:color="auto"/>
            <w:bottom w:val="none" w:sz="0" w:space="0" w:color="auto"/>
            <w:right w:val="none" w:sz="0" w:space="0" w:color="auto"/>
          </w:divBdr>
        </w:div>
        <w:div w:id="809371892">
          <w:marLeft w:val="2520"/>
          <w:marRight w:val="0"/>
          <w:marTop w:val="100"/>
          <w:marBottom w:val="0"/>
          <w:divBdr>
            <w:top w:val="none" w:sz="0" w:space="0" w:color="auto"/>
            <w:left w:val="none" w:sz="0" w:space="0" w:color="auto"/>
            <w:bottom w:val="none" w:sz="0" w:space="0" w:color="auto"/>
            <w:right w:val="none" w:sz="0" w:space="0" w:color="auto"/>
          </w:divBdr>
        </w:div>
        <w:div w:id="1795906181">
          <w:marLeft w:val="3240"/>
          <w:marRight w:val="0"/>
          <w:marTop w:val="100"/>
          <w:marBottom w:val="0"/>
          <w:divBdr>
            <w:top w:val="none" w:sz="0" w:space="0" w:color="auto"/>
            <w:left w:val="none" w:sz="0" w:space="0" w:color="auto"/>
            <w:bottom w:val="none" w:sz="0" w:space="0" w:color="auto"/>
            <w:right w:val="none" w:sz="0" w:space="0" w:color="auto"/>
          </w:divBdr>
        </w:div>
      </w:divsChild>
    </w:div>
    <w:div w:id="1895923020">
      <w:bodyDiv w:val="1"/>
      <w:marLeft w:val="0"/>
      <w:marRight w:val="0"/>
      <w:marTop w:val="0"/>
      <w:marBottom w:val="0"/>
      <w:divBdr>
        <w:top w:val="none" w:sz="0" w:space="0" w:color="auto"/>
        <w:left w:val="none" w:sz="0" w:space="0" w:color="auto"/>
        <w:bottom w:val="none" w:sz="0" w:space="0" w:color="auto"/>
        <w:right w:val="none" w:sz="0" w:space="0" w:color="auto"/>
      </w:divBdr>
      <w:divsChild>
        <w:div w:id="1000473699">
          <w:marLeft w:val="1166"/>
          <w:marRight w:val="0"/>
          <w:marTop w:val="0"/>
          <w:marBottom w:val="0"/>
          <w:divBdr>
            <w:top w:val="none" w:sz="0" w:space="0" w:color="auto"/>
            <w:left w:val="none" w:sz="0" w:space="0" w:color="auto"/>
            <w:bottom w:val="none" w:sz="0" w:space="0" w:color="auto"/>
            <w:right w:val="none" w:sz="0" w:space="0" w:color="auto"/>
          </w:divBdr>
        </w:div>
        <w:div w:id="1934968156">
          <w:marLeft w:val="1915"/>
          <w:marRight w:val="0"/>
          <w:marTop w:val="0"/>
          <w:marBottom w:val="0"/>
          <w:divBdr>
            <w:top w:val="none" w:sz="0" w:space="0" w:color="auto"/>
            <w:left w:val="none" w:sz="0" w:space="0" w:color="auto"/>
            <w:bottom w:val="none" w:sz="0" w:space="0" w:color="auto"/>
            <w:right w:val="none" w:sz="0" w:space="0" w:color="auto"/>
          </w:divBdr>
        </w:div>
        <w:div w:id="1969318483">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5103136">
      <w:bodyDiv w:val="1"/>
      <w:marLeft w:val="0"/>
      <w:marRight w:val="0"/>
      <w:marTop w:val="0"/>
      <w:marBottom w:val="0"/>
      <w:divBdr>
        <w:top w:val="none" w:sz="0" w:space="0" w:color="auto"/>
        <w:left w:val="none" w:sz="0" w:space="0" w:color="auto"/>
        <w:bottom w:val="none" w:sz="0" w:space="0" w:color="auto"/>
        <w:right w:val="none" w:sz="0" w:space="0" w:color="auto"/>
      </w:divBdr>
      <w:divsChild>
        <w:div w:id="84957030">
          <w:marLeft w:val="547"/>
          <w:marRight w:val="0"/>
          <w:marTop w:val="115"/>
          <w:marBottom w:val="0"/>
          <w:divBdr>
            <w:top w:val="none" w:sz="0" w:space="0" w:color="auto"/>
            <w:left w:val="none" w:sz="0" w:space="0" w:color="auto"/>
            <w:bottom w:val="none" w:sz="0" w:space="0" w:color="auto"/>
            <w:right w:val="none" w:sz="0" w:space="0" w:color="auto"/>
          </w:divBdr>
        </w:div>
      </w:divsChild>
    </w:div>
    <w:div w:id="2117749622">
      <w:bodyDiv w:val="1"/>
      <w:marLeft w:val="0"/>
      <w:marRight w:val="0"/>
      <w:marTop w:val="0"/>
      <w:marBottom w:val="0"/>
      <w:divBdr>
        <w:top w:val="none" w:sz="0" w:space="0" w:color="auto"/>
        <w:left w:val="none" w:sz="0" w:space="0" w:color="auto"/>
        <w:bottom w:val="none" w:sz="0" w:space="0" w:color="auto"/>
        <w:right w:val="none" w:sz="0" w:space="0" w:color="auto"/>
      </w:divBdr>
      <w:divsChild>
        <w:div w:id="76828304">
          <w:marLeft w:val="2520"/>
          <w:marRight w:val="0"/>
          <w:marTop w:val="100"/>
          <w:marBottom w:val="0"/>
          <w:divBdr>
            <w:top w:val="none" w:sz="0" w:space="0" w:color="auto"/>
            <w:left w:val="none" w:sz="0" w:space="0" w:color="auto"/>
            <w:bottom w:val="none" w:sz="0" w:space="0" w:color="auto"/>
            <w:right w:val="none" w:sz="0" w:space="0" w:color="auto"/>
          </w:divBdr>
        </w:div>
        <w:div w:id="1318726839">
          <w:marLeft w:val="3240"/>
          <w:marRight w:val="0"/>
          <w:marTop w:val="100"/>
          <w:marBottom w:val="0"/>
          <w:divBdr>
            <w:top w:val="none" w:sz="0" w:space="0" w:color="auto"/>
            <w:left w:val="none" w:sz="0" w:space="0" w:color="auto"/>
            <w:bottom w:val="none" w:sz="0" w:space="0" w:color="auto"/>
            <w:right w:val="none" w:sz="0" w:space="0" w:color="auto"/>
          </w:divBdr>
        </w:div>
        <w:div w:id="1521237940">
          <w:marLeft w:val="2520"/>
          <w:marRight w:val="0"/>
          <w:marTop w:val="100"/>
          <w:marBottom w:val="0"/>
          <w:divBdr>
            <w:top w:val="none" w:sz="0" w:space="0" w:color="auto"/>
            <w:left w:val="none" w:sz="0" w:space="0" w:color="auto"/>
            <w:bottom w:val="none" w:sz="0" w:space="0" w:color="auto"/>
            <w:right w:val="none" w:sz="0" w:space="0" w:color="auto"/>
          </w:divBdr>
        </w:div>
        <w:div w:id="2079983510">
          <w:marLeft w:val="3240"/>
          <w:marRight w:val="0"/>
          <w:marTop w:val="100"/>
          <w:marBottom w:val="0"/>
          <w:divBdr>
            <w:top w:val="none" w:sz="0" w:space="0" w:color="auto"/>
            <w:left w:val="none" w:sz="0" w:space="0" w:color="auto"/>
            <w:bottom w:val="none" w:sz="0" w:space="0" w:color="auto"/>
            <w:right w:val="none" w:sz="0" w:space="0" w:color="auto"/>
          </w:divBdr>
        </w:div>
      </w:divsChild>
    </w:div>
    <w:div w:id="2141606542">
      <w:bodyDiv w:val="1"/>
      <w:marLeft w:val="0"/>
      <w:marRight w:val="0"/>
      <w:marTop w:val="0"/>
      <w:marBottom w:val="0"/>
      <w:divBdr>
        <w:top w:val="none" w:sz="0" w:space="0" w:color="auto"/>
        <w:left w:val="none" w:sz="0" w:space="0" w:color="auto"/>
        <w:bottom w:val="none" w:sz="0" w:space="0" w:color="auto"/>
        <w:right w:val="none" w:sz="0" w:space="0" w:color="auto"/>
      </w:divBdr>
      <w:divsChild>
        <w:div w:id="1907496858">
          <w:marLeft w:val="40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B7A37-D117-41A9-B775-1AAB129C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4938</Words>
  <Characters>28148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Zhangjiayin</cp:lastModifiedBy>
  <cp:revision>5</cp:revision>
  <cp:lastPrinted>2007-06-18T15:08:00Z</cp:lastPrinted>
  <dcterms:created xsi:type="dcterms:W3CDTF">2018-11-02T16:14:00Z</dcterms:created>
  <dcterms:modified xsi:type="dcterms:W3CDTF">2018-11-02T22:03:00Z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(3)0IZreZ0GS64W6RTRxIYuo2Adi9t9USaozo/Az62f+SBv03Te97jNLy2FBXS4DObclr71/8Py
I4VbgUrzgAlYBxBmsuvoQrmQCPsw7qIGQqw06fPxUpybgKsLiBJpY206MWScr72rnvEbLcok
SpuLcwX5YL+5bAkpgwTu1D4bnV8yrFDJwSpdrrz9ECpC824ptEickVUjBjz3Rl9ZagwL28CK
JwnXzRwcaLng4c7Gm3</vt:lpwstr>
  </property>
  <property fmtid="{D5CDD505-2E9C-101B-9397-08002B2CF9AE}" pid="13" name="_2015_ms_pID_725343_00">
    <vt:lpwstr>_2015_ms_pID_725343</vt:lpwstr>
  </property>
  <property fmtid="{D5CDD505-2E9C-101B-9397-08002B2CF9AE}" pid="14" name="_2015_ms_pID_7253431">
    <vt:lpwstr>URGYm8ya+Qtgy0jE4yZCsKGrj30ZxO5ZcbXG3EADeU4ZnGHWjtm8pO
qdzxn9ndHq0m6SaINrqTyJ9r/MFZCirHGVbM2D0cT9Lq2Wmoys/AtkJB5bNywjbcv2eFwI1V
t52usbwu5np3zesAWLsbXRIyZEXlDcAZxKvPVtvxb9EeO2OVtKHWjRInL2kdJv5yvI3omRtG
d7Q91PSKVkHddtMvInjzyjZn0MF+cUKVPfQY</vt:lpwstr>
  </property>
  <property fmtid="{D5CDD505-2E9C-101B-9397-08002B2CF9AE}" pid="15" name="_2015_ms_pID_7253431_00">
    <vt:lpwstr>_2015_ms_pID_7253431</vt:lpwstr>
  </property>
  <property fmtid="{D5CDD505-2E9C-101B-9397-08002B2CF9AE}" pid="16" name="_2015_ms_pID_7253432">
    <vt:lpwstr>zbuXVjr0GnsISLto9lZhcGU88tt3hjqxdhiS
B498iXmxRzAhTfFF2a53Ws+rAYz0K7IgxMscT/JMYBvCnSyeZ68=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1541196184</vt:lpwstr>
  </property>
</Properties>
</file>