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A648A" w14:textId="77777777" w:rsidR="00C34D0C" w:rsidRPr="001E0E46" w:rsidRDefault="00C34D0C" w:rsidP="00C34D0C">
      <w:pPr>
        <w:pStyle w:val="CRCoverPage"/>
        <w:tabs>
          <w:tab w:val="left" w:pos="1980"/>
        </w:tabs>
        <w:rPr>
          <w:rFonts w:ascii="Times New Roman" w:eastAsia="SimSun" w:hAnsi="Times New Roman"/>
          <w:b/>
          <w:sz w:val="24"/>
          <w:lang w:val="en-US" w:eastAsia="zh-CN"/>
        </w:rPr>
      </w:pPr>
      <w:bookmarkStart w:id="0" w:name="_GoBack"/>
      <w:bookmarkEnd w:id="0"/>
      <w:r w:rsidRPr="001E0E46">
        <w:rPr>
          <w:rFonts w:ascii="Times New Roman" w:eastAsia="SimSun" w:hAnsi="Times New Roman"/>
          <w:b/>
          <w:sz w:val="24"/>
          <w:lang w:val="en-US" w:eastAsia="zh-CN"/>
        </w:rPr>
        <w:t>3GPP TSG R</w:t>
      </w:r>
      <w:r>
        <w:rPr>
          <w:rFonts w:ascii="Times New Roman" w:eastAsia="SimSun" w:hAnsi="Times New Roman"/>
          <w:b/>
          <w:sz w:val="24"/>
          <w:lang w:val="en-US" w:eastAsia="zh-CN"/>
        </w:rPr>
        <w:t>AN WG1 Meeting #94bis</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Pr="001E0E46">
        <w:rPr>
          <w:rFonts w:ascii="Times New Roman" w:eastAsia="SimSun" w:hAnsi="Times New Roman"/>
          <w:b/>
          <w:sz w:val="24"/>
          <w:lang w:val="en-US" w:eastAsia="zh-CN"/>
        </w:rPr>
        <w:t xml:space="preserve"> R1-</w:t>
      </w:r>
      <w:r>
        <w:rPr>
          <w:rFonts w:ascii="Times New Roman" w:eastAsia="SimSun" w:hAnsi="Times New Roman"/>
          <w:b/>
          <w:sz w:val="24"/>
          <w:lang w:val="en-US" w:eastAsia="zh-CN"/>
        </w:rPr>
        <w:t>1811214</w:t>
      </w:r>
    </w:p>
    <w:p w14:paraId="0B1FC56C" w14:textId="77777777" w:rsidR="00C34D0C" w:rsidRPr="0094525A" w:rsidRDefault="00C34D0C" w:rsidP="00C34D0C">
      <w:pPr>
        <w:pStyle w:val="CRCoverPage"/>
        <w:tabs>
          <w:tab w:val="left" w:pos="1980"/>
        </w:tabs>
        <w:rPr>
          <w:rFonts w:ascii="Times New Roman" w:eastAsia="SimSun" w:hAnsi="Times New Roman"/>
          <w:b/>
          <w:sz w:val="24"/>
          <w:lang w:val="en-US" w:eastAsia="zh-CN"/>
        </w:rPr>
      </w:pPr>
      <w:r w:rsidRPr="0094525A">
        <w:rPr>
          <w:rFonts w:ascii="Times New Roman" w:eastAsia="SimSun" w:hAnsi="Times New Roman"/>
          <w:b/>
          <w:sz w:val="24"/>
          <w:lang w:val="en-US" w:eastAsia="zh-CN"/>
        </w:rPr>
        <w:t xml:space="preserve">Chengdu, China, October 8th – 12th, 2018 </w:t>
      </w:r>
    </w:p>
    <w:p w14:paraId="5CE5780E" w14:textId="77777777" w:rsidR="00C34D0C" w:rsidRPr="00252C00" w:rsidRDefault="00C34D0C" w:rsidP="00C34D0C">
      <w:pPr>
        <w:pStyle w:val="CRCoverPage"/>
        <w:tabs>
          <w:tab w:val="left" w:pos="1980"/>
        </w:tabs>
        <w:rPr>
          <w:rFonts w:ascii="Times New Roman" w:hAnsi="Times New Roman"/>
          <w:b/>
          <w:bCs/>
          <w:sz w:val="24"/>
          <w:lang w:val="en-US"/>
        </w:rPr>
      </w:pPr>
    </w:p>
    <w:p w14:paraId="6A3B9749" w14:textId="77777777" w:rsidR="00C34D0C" w:rsidRPr="00252C00" w:rsidRDefault="00C34D0C" w:rsidP="00C34D0C">
      <w:pPr>
        <w:pStyle w:val="CRCoverPage"/>
        <w:tabs>
          <w:tab w:val="left" w:pos="1980"/>
        </w:tabs>
        <w:jc w:val="both"/>
        <w:rPr>
          <w:rFonts w:ascii="Times New Roman" w:hAnsi="Times New Roman"/>
          <w:b/>
          <w:bCs/>
          <w:sz w:val="24"/>
          <w:lang w:val="en-US" w:eastAsia="ja-JP"/>
        </w:rPr>
      </w:pPr>
      <w:r w:rsidRPr="00252C00">
        <w:rPr>
          <w:rFonts w:ascii="Times New Roman" w:hAnsi="Times New Roman"/>
          <w:b/>
          <w:bCs/>
          <w:sz w:val="24"/>
          <w:lang w:val="en-US"/>
        </w:rPr>
        <w:t>Agenda Item:</w:t>
      </w:r>
      <w:r w:rsidRPr="00252C00">
        <w:rPr>
          <w:rFonts w:ascii="Times New Roman" w:hAnsi="Times New Roman"/>
          <w:b/>
          <w:bCs/>
          <w:sz w:val="24"/>
          <w:lang w:val="en-US"/>
        </w:rPr>
        <w:tab/>
      </w:r>
      <w:r>
        <w:rPr>
          <w:rFonts w:ascii="Times New Roman" w:hAnsi="Times New Roman"/>
          <w:b/>
          <w:bCs/>
          <w:sz w:val="24"/>
          <w:lang w:val="en-US"/>
        </w:rPr>
        <w:t>7.2.4.1.3</w:t>
      </w:r>
    </w:p>
    <w:p w14:paraId="0B27C26F" w14:textId="77777777" w:rsidR="00C34D0C" w:rsidRPr="00252C00" w:rsidRDefault="00C34D0C" w:rsidP="00C34D0C">
      <w:pPr>
        <w:tabs>
          <w:tab w:val="left" w:pos="1985"/>
        </w:tabs>
        <w:rPr>
          <w:b/>
          <w:bCs/>
          <w:sz w:val="24"/>
        </w:rPr>
      </w:pPr>
      <w:r w:rsidRPr="00252C00">
        <w:rPr>
          <w:b/>
          <w:bCs/>
          <w:sz w:val="24"/>
        </w:rPr>
        <w:t>Source:</w:t>
      </w:r>
      <w:r w:rsidRPr="00252C00">
        <w:rPr>
          <w:b/>
          <w:bCs/>
          <w:sz w:val="24"/>
        </w:rPr>
        <w:tab/>
        <w:t>InterDigital Inc.</w:t>
      </w:r>
    </w:p>
    <w:p w14:paraId="0F5AD9EB" w14:textId="1C8B7640" w:rsidR="00C34D0C" w:rsidRPr="00252C00" w:rsidRDefault="00C34D0C" w:rsidP="00C34D0C">
      <w:pPr>
        <w:ind w:left="1985" w:hanging="1985"/>
        <w:rPr>
          <w:b/>
          <w:bCs/>
        </w:rPr>
      </w:pPr>
      <w:r w:rsidRPr="00252C00">
        <w:rPr>
          <w:b/>
          <w:bCs/>
          <w:sz w:val="24"/>
        </w:rPr>
        <w:t>Title:</w:t>
      </w:r>
      <w:r w:rsidRPr="00252C00">
        <w:rPr>
          <w:b/>
          <w:bCs/>
          <w:sz w:val="24"/>
        </w:rPr>
        <w:tab/>
        <w:t xml:space="preserve">On </w:t>
      </w:r>
      <w:r>
        <w:rPr>
          <w:b/>
          <w:bCs/>
          <w:sz w:val="24"/>
        </w:rPr>
        <w:t xml:space="preserve">Sidelink </w:t>
      </w:r>
      <w:r w:rsidR="001F2FC5">
        <w:rPr>
          <w:b/>
          <w:bCs/>
          <w:sz w:val="24"/>
        </w:rPr>
        <w:t>Synchronization for</w:t>
      </w:r>
      <w:r w:rsidRPr="00252C00">
        <w:rPr>
          <w:b/>
          <w:bCs/>
          <w:sz w:val="24"/>
        </w:rPr>
        <w:t xml:space="preserve"> NR</w:t>
      </w:r>
      <w:r w:rsidR="001F2FC5">
        <w:rPr>
          <w:b/>
          <w:bCs/>
          <w:sz w:val="24"/>
        </w:rPr>
        <w:t xml:space="preserve"> V2X</w:t>
      </w:r>
    </w:p>
    <w:p w14:paraId="2B66CBB0" w14:textId="77777777" w:rsidR="00C34D0C" w:rsidRPr="00252C00" w:rsidRDefault="00C34D0C" w:rsidP="00C34D0C">
      <w:pPr>
        <w:ind w:left="1985" w:hanging="1985"/>
        <w:rPr>
          <w:b/>
          <w:bCs/>
          <w:sz w:val="24"/>
        </w:rPr>
      </w:pPr>
      <w:r w:rsidRPr="00252C00">
        <w:rPr>
          <w:b/>
          <w:bCs/>
          <w:sz w:val="24"/>
        </w:rPr>
        <w:t>Document for:</w:t>
      </w:r>
      <w:r w:rsidRPr="00252C00">
        <w:rPr>
          <w:b/>
          <w:bCs/>
          <w:sz w:val="24"/>
        </w:rPr>
        <w:tab/>
        <w:t xml:space="preserve">Discussion and Decision </w:t>
      </w:r>
    </w:p>
    <w:p w14:paraId="21A0E513" w14:textId="77777777" w:rsidR="00C34D0C" w:rsidRDefault="00C34D0C" w:rsidP="00C34D0C">
      <w:pPr>
        <w:pStyle w:val="Heading1"/>
        <w:rPr>
          <w:sz w:val="32"/>
          <w:szCs w:val="32"/>
          <w:lang w:val="en-US"/>
        </w:rPr>
      </w:pPr>
      <w:r w:rsidRPr="00BD114B">
        <w:rPr>
          <w:sz w:val="32"/>
          <w:szCs w:val="32"/>
          <w:lang w:val="en-US"/>
        </w:rPr>
        <w:t>Introduction</w:t>
      </w:r>
    </w:p>
    <w:p w14:paraId="22530A8B" w14:textId="77777777" w:rsidR="009934D2" w:rsidRDefault="009934D2" w:rsidP="009934D2">
      <w:pPr>
        <w:spacing w:before="120"/>
        <w:rPr>
          <w:sz w:val="20"/>
          <w:lang w:eastAsia="ko-KR"/>
        </w:rPr>
      </w:pPr>
      <w:r>
        <w:t xml:space="preserve">To expand the 3GPP platform to the automotive industry, the initial standard </w:t>
      </w:r>
      <w:r>
        <w:rPr>
          <w:lang w:eastAsia="ko-KR"/>
        </w:rPr>
        <w:t xml:space="preserve">on support </w:t>
      </w:r>
      <w:r>
        <w:t>of</w:t>
      </w:r>
      <w:r>
        <w:rPr>
          <w:lang w:eastAsia="ko-KR"/>
        </w:rPr>
        <w:t xml:space="preserve"> V2V services</w:t>
      </w:r>
      <w:r>
        <w:t xml:space="preserve"> was completed in September 2016. </w:t>
      </w:r>
      <w:r>
        <w:rPr>
          <w:lang w:eastAsia="ko-KR"/>
        </w:rPr>
        <w:t>E</w:t>
      </w:r>
      <w:r>
        <w:t xml:space="preserve">nhancements that focusing on additional V2X operation scenarios leveraging the cellular infrastructure, </w:t>
      </w:r>
      <w:r>
        <w:rPr>
          <w:lang w:eastAsia="ko-KR"/>
        </w:rPr>
        <w:t xml:space="preserve">were completed </w:t>
      </w:r>
      <w:r>
        <w:t>in March 2017</w:t>
      </w:r>
      <w:r>
        <w:rPr>
          <w:lang w:eastAsia="ko-KR"/>
        </w:rPr>
        <w:t xml:space="preserve"> as 3GPP V2X phase 1 </w:t>
      </w:r>
      <w:r>
        <w:t>for inclusion in Release 14</w:t>
      </w:r>
      <w:r>
        <w:rPr>
          <w:lang w:eastAsia="ko-KR"/>
        </w:rPr>
        <w:t xml:space="preserve"> LTE</w:t>
      </w:r>
      <w:r>
        <w:t>.</w:t>
      </w:r>
      <w:r>
        <w:rPr>
          <w:lang w:eastAsia="ko-KR"/>
        </w:rPr>
        <w:t xml:space="preserve"> </w:t>
      </w:r>
      <w:r>
        <w:t>An initial set of requirements for V2X service was considered sufficient for basic road safety service. Vehicles (i.e., UEs supporting V2X applications) can exchange their own status information through sidelink, such as position, speed and heading, with other nearby vehicles, infrastructure nodes and/or pedestrians. 3GPP V2X phase 2 in Rel-15 introduced a number of new features in sidelink, including: carrier aggregation, high order modulation, latency reduction, and feasibility studies of both transmission diversity and short TTI in sidelink.  These features in 3GPP V2X phase 2 were primarily based on LTE and required co-existence with Rel-14 UE in the same resource pool.</w:t>
      </w:r>
    </w:p>
    <w:p w14:paraId="66C84492" w14:textId="088A7BA2" w:rsidR="009934D2" w:rsidRPr="00191AC1" w:rsidRDefault="009934D2" w:rsidP="009934D2">
      <w:r>
        <w:t xml:space="preserve">NR V2X is considered as 3GPP V2X phase 3 and would support advanced V2X services beyond those supported in LTE Rel-15 V2X. SA has considered the following principle as the basis for the design of NR-V2X. </w:t>
      </w:r>
    </w:p>
    <w:p w14:paraId="3D4C2A29" w14:textId="3F6414D3" w:rsidR="00C34D0C" w:rsidRPr="00B86155" w:rsidRDefault="009934D2" w:rsidP="00C34D0C">
      <w:pPr>
        <w:rPr>
          <w:i/>
          <w:lang w:val="nl-NL"/>
        </w:rPr>
      </w:pPr>
      <w:r>
        <w:rPr>
          <w:i/>
          <w:lang w:val="nl-NL"/>
        </w:rPr>
        <w:t>Principle</w:t>
      </w:r>
      <w:r w:rsidR="00C34D0C" w:rsidRPr="00B86155">
        <w:rPr>
          <w:i/>
          <w:lang w:val="nl-NL"/>
        </w:rPr>
        <w:t>: “Advanced V2X services (SA1’s 25 use cases categorized into four</w:t>
      </w:r>
      <w:r>
        <w:rPr>
          <w:i/>
          <w:lang w:val="nl-NL"/>
        </w:rPr>
        <w:t xml:space="preserve"> groups - </w:t>
      </w:r>
      <w:r w:rsidR="00C34D0C" w:rsidRPr="00B86155">
        <w:rPr>
          <w:i/>
          <w:lang w:val="nl-NL"/>
        </w:rPr>
        <w:t>Vehicle platooning, Extended sensors, Advanced driving, and Remote driving) ar</w:t>
      </w:r>
      <w:r w:rsidR="00C34D0C">
        <w:rPr>
          <w:i/>
          <w:lang w:val="nl-NL"/>
        </w:rPr>
        <w:t xml:space="preserve">e the focus of the Study Item. </w:t>
      </w:r>
      <w:r w:rsidR="00C34D0C" w:rsidRPr="00B86155">
        <w:rPr>
          <w:i/>
          <w:lang w:val="nl-NL"/>
        </w:rPr>
        <w:t xml:space="preserve">Technical requirements of these use cases would drive the technical study/design.” </w:t>
      </w:r>
    </w:p>
    <w:p w14:paraId="05AA3C67" w14:textId="77777777" w:rsidR="009934D2" w:rsidRDefault="009934D2" w:rsidP="009934D2">
      <w:r>
        <w:t xml:space="preserve">NR V2X would require new a NR sidelink to meet these stringent requirements.  An NR V2X system is expected have a flexible design in support of services with low latency and high reliability requirements like NR. Higher system capacity and better coverage are also expected. Hence the NR sidelink design should be flexible and allow for easy extension of the NR system to support future development of further advanced V2X services and other services. </w:t>
      </w:r>
    </w:p>
    <w:p w14:paraId="1FBE9B0F" w14:textId="69C4F9D7" w:rsidR="00C34D0C" w:rsidRDefault="00C34D0C" w:rsidP="00C34D0C">
      <w:r w:rsidRPr="00F83D72">
        <w:t>There were severeal agreements for NR-</w:t>
      </w:r>
      <w:r w:rsidR="00F3760D">
        <w:t>V2X in RAN1#</w:t>
      </w:r>
      <w:r>
        <w:t>94</w:t>
      </w:r>
      <w:r w:rsidRPr="00F83D72">
        <w:t xml:space="preserve"> which may impa</w:t>
      </w:r>
      <w:r w:rsidR="00F3760D">
        <w:t>c</w:t>
      </w:r>
      <w:r w:rsidRPr="00F83D72">
        <w:t xml:space="preserve">t </w:t>
      </w:r>
      <w:r>
        <w:t>synchronization design</w:t>
      </w:r>
      <w:r w:rsidR="00F3760D">
        <w:t>s</w:t>
      </w:r>
      <w:r>
        <w:t xml:space="preserve"> and mechanisms</w:t>
      </w:r>
      <w:r w:rsidR="00F3760D">
        <w:t xml:space="preserve"> </w:t>
      </w:r>
      <w:r w:rsidR="00F3760D">
        <w:fldChar w:fldCharType="begin"/>
      </w:r>
      <w:r w:rsidR="00F3760D">
        <w:instrText xml:space="preserve"> REF _Ref525922457 \r \h </w:instrText>
      </w:r>
      <w:r w:rsidR="00F3760D">
        <w:fldChar w:fldCharType="separate"/>
      </w:r>
      <w:r w:rsidR="00CE37E6">
        <w:t>[1]</w:t>
      </w:r>
      <w:r w:rsidR="00F3760D">
        <w:fldChar w:fldCharType="end"/>
      </w:r>
      <w:r w:rsidRPr="00F83D72">
        <w:t>:</w:t>
      </w:r>
    </w:p>
    <w:p w14:paraId="6E4F581A" w14:textId="77777777" w:rsidR="00C34D0C" w:rsidRPr="00EF3022" w:rsidRDefault="00C34D0C" w:rsidP="00C34D0C">
      <w:pPr>
        <w:rPr>
          <w:rFonts w:eastAsia="Batang"/>
          <w:b/>
          <w:i/>
          <w:sz w:val="32"/>
          <w:szCs w:val="24"/>
          <w:lang w:eastAsia="x-none"/>
        </w:rPr>
      </w:pPr>
      <w:r w:rsidRPr="00EF3022">
        <w:rPr>
          <w:i/>
          <w:highlight w:val="green"/>
          <w:lang w:eastAsia="x-none"/>
        </w:rPr>
        <w:t>Agreements</w:t>
      </w:r>
      <w:r w:rsidRPr="00EF3022">
        <w:rPr>
          <w:i/>
          <w:lang w:eastAsia="x-none"/>
        </w:rPr>
        <w:t>:</w:t>
      </w:r>
    </w:p>
    <w:p w14:paraId="74F3CC7C" w14:textId="77777777" w:rsidR="00C34D0C" w:rsidRPr="00EF3022" w:rsidRDefault="00C34D0C" w:rsidP="00C34D0C">
      <w:pPr>
        <w:numPr>
          <w:ilvl w:val="0"/>
          <w:numId w:val="41"/>
        </w:numPr>
        <w:overflowPunct/>
        <w:autoSpaceDE/>
        <w:autoSpaceDN/>
        <w:adjustRightInd/>
        <w:spacing w:after="0"/>
        <w:jc w:val="left"/>
        <w:textAlignment w:val="auto"/>
        <w:rPr>
          <w:i/>
        </w:rPr>
      </w:pPr>
      <w:r w:rsidRPr="00EF3022">
        <w:rPr>
          <w:i/>
        </w:rPr>
        <w:t>NR V2X Sidelink Synchronization includes at least the following</w:t>
      </w:r>
    </w:p>
    <w:p w14:paraId="47F8B8BE" w14:textId="77777777" w:rsidR="00C34D0C" w:rsidRPr="00EF3022" w:rsidRDefault="00C34D0C" w:rsidP="00C34D0C">
      <w:pPr>
        <w:numPr>
          <w:ilvl w:val="1"/>
          <w:numId w:val="41"/>
        </w:numPr>
        <w:overflowPunct/>
        <w:autoSpaceDE/>
        <w:autoSpaceDN/>
        <w:adjustRightInd/>
        <w:spacing w:after="0"/>
        <w:jc w:val="left"/>
        <w:textAlignment w:val="auto"/>
        <w:rPr>
          <w:i/>
        </w:rPr>
      </w:pPr>
      <w:r w:rsidRPr="00EF3022">
        <w:rPr>
          <w:i/>
        </w:rPr>
        <w:t>Sidelink synchronization signal(s)</w:t>
      </w:r>
    </w:p>
    <w:p w14:paraId="2BD42911" w14:textId="77777777" w:rsidR="00C34D0C" w:rsidRPr="00EF3022" w:rsidRDefault="00C34D0C" w:rsidP="00C34D0C">
      <w:pPr>
        <w:numPr>
          <w:ilvl w:val="1"/>
          <w:numId w:val="41"/>
        </w:numPr>
        <w:overflowPunct/>
        <w:autoSpaceDE/>
        <w:autoSpaceDN/>
        <w:adjustRightInd/>
        <w:spacing w:after="0"/>
        <w:jc w:val="left"/>
        <w:textAlignment w:val="auto"/>
        <w:rPr>
          <w:i/>
        </w:rPr>
      </w:pPr>
      <w:r w:rsidRPr="00EF3022">
        <w:rPr>
          <w:i/>
        </w:rPr>
        <w:t>PSBCH</w:t>
      </w:r>
    </w:p>
    <w:p w14:paraId="05383511" w14:textId="77777777" w:rsidR="00C34D0C" w:rsidRPr="00EF3022" w:rsidRDefault="00C34D0C" w:rsidP="00C34D0C">
      <w:pPr>
        <w:numPr>
          <w:ilvl w:val="1"/>
          <w:numId w:val="41"/>
        </w:numPr>
        <w:overflowPunct/>
        <w:autoSpaceDE/>
        <w:autoSpaceDN/>
        <w:adjustRightInd/>
        <w:spacing w:after="0"/>
        <w:jc w:val="left"/>
        <w:textAlignment w:val="auto"/>
        <w:rPr>
          <w:i/>
        </w:rPr>
      </w:pPr>
      <w:r w:rsidRPr="00EF3022">
        <w:rPr>
          <w:i/>
        </w:rPr>
        <w:t>Sidelink synchronization sources and procedure(s)</w:t>
      </w:r>
    </w:p>
    <w:p w14:paraId="58587004" w14:textId="77777777" w:rsidR="00C34D0C" w:rsidRPr="00EF3022" w:rsidRDefault="00C34D0C" w:rsidP="00C34D0C">
      <w:pPr>
        <w:numPr>
          <w:ilvl w:val="2"/>
          <w:numId w:val="41"/>
        </w:numPr>
        <w:overflowPunct/>
        <w:autoSpaceDE/>
        <w:autoSpaceDN/>
        <w:adjustRightInd/>
        <w:spacing w:after="0"/>
        <w:jc w:val="left"/>
        <w:textAlignment w:val="auto"/>
        <w:rPr>
          <w:i/>
        </w:rPr>
      </w:pPr>
      <w:r w:rsidRPr="00EF3022">
        <w:rPr>
          <w:i/>
        </w:rPr>
        <w:t>Study potential synchronization sources –GNSS, gNB, eNB, UE, LTE UE</w:t>
      </w:r>
    </w:p>
    <w:p w14:paraId="53CE350D" w14:textId="77777777" w:rsidR="00C34D0C" w:rsidRPr="00EF3022" w:rsidRDefault="00C34D0C" w:rsidP="00C34D0C">
      <w:pPr>
        <w:numPr>
          <w:ilvl w:val="3"/>
          <w:numId w:val="41"/>
        </w:numPr>
        <w:overflowPunct/>
        <w:autoSpaceDE/>
        <w:autoSpaceDN/>
        <w:adjustRightInd/>
        <w:spacing w:after="0"/>
        <w:jc w:val="left"/>
        <w:textAlignment w:val="auto"/>
        <w:rPr>
          <w:i/>
        </w:rPr>
      </w:pPr>
      <w:r w:rsidRPr="00EF3022">
        <w:rPr>
          <w:i/>
        </w:rPr>
        <w:t>Note: this doesn’t mean all of them are to be supported</w:t>
      </w:r>
    </w:p>
    <w:p w14:paraId="28D60745" w14:textId="77777777" w:rsidR="00C34D0C" w:rsidRPr="00EF3022" w:rsidRDefault="00C34D0C" w:rsidP="00C34D0C">
      <w:pPr>
        <w:rPr>
          <w:rFonts w:eastAsia="Batang"/>
          <w:b/>
          <w:i/>
          <w:sz w:val="32"/>
          <w:szCs w:val="24"/>
          <w:lang w:eastAsia="x-none"/>
        </w:rPr>
      </w:pPr>
      <w:r w:rsidRPr="00EF3022">
        <w:rPr>
          <w:i/>
          <w:highlight w:val="green"/>
          <w:lang w:eastAsia="x-none"/>
        </w:rPr>
        <w:t>Agreements</w:t>
      </w:r>
      <w:r w:rsidRPr="00EF3022">
        <w:rPr>
          <w:i/>
          <w:lang w:eastAsia="x-none"/>
        </w:rPr>
        <w:t>:</w:t>
      </w:r>
    </w:p>
    <w:p w14:paraId="35E1A9D9" w14:textId="77777777" w:rsidR="00C34D0C" w:rsidRPr="00F31AF5" w:rsidRDefault="00C34D0C" w:rsidP="00C34D0C">
      <w:pPr>
        <w:numPr>
          <w:ilvl w:val="0"/>
          <w:numId w:val="42"/>
        </w:numPr>
        <w:overflowPunct/>
        <w:autoSpaceDE/>
        <w:autoSpaceDN/>
        <w:adjustRightInd/>
        <w:spacing w:after="0"/>
        <w:jc w:val="left"/>
        <w:textAlignment w:val="auto"/>
        <w:rPr>
          <w:b/>
          <w:i/>
          <w:sz w:val="20"/>
          <w:lang w:eastAsia="x-none"/>
        </w:rPr>
      </w:pPr>
      <w:r w:rsidRPr="00F31AF5">
        <w:rPr>
          <w:rFonts w:eastAsia="Malgun Gothic"/>
          <w:i/>
          <w:lang w:eastAsia="ko-KR"/>
        </w:rPr>
        <w:t>RAN1 to continue study on the physical channel considering at least the following aspects:</w:t>
      </w:r>
    </w:p>
    <w:p w14:paraId="2D3DC41F" w14:textId="77777777" w:rsidR="00C34D0C" w:rsidRPr="00F31AF5" w:rsidRDefault="00C34D0C" w:rsidP="00C34D0C">
      <w:pPr>
        <w:pStyle w:val="ListParagraph"/>
        <w:numPr>
          <w:ilvl w:val="0"/>
          <w:numId w:val="43"/>
        </w:numPr>
        <w:spacing w:line="276" w:lineRule="auto"/>
        <w:contextualSpacing/>
        <w:jc w:val="both"/>
        <w:rPr>
          <w:rFonts w:ascii="Times New Roman" w:eastAsia="Malgun Gothic" w:hAnsi="Times New Roman"/>
          <w:i/>
          <w:lang w:eastAsia="ko-KR"/>
        </w:rPr>
      </w:pPr>
      <w:r w:rsidRPr="00F31AF5">
        <w:rPr>
          <w:rFonts w:ascii="Times New Roman" w:eastAsia="Malgun Gothic" w:hAnsi="Times New Roman"/>
          <w:i/>
          <w:lang w:eastAsia="ko-KR"/>
        </w:rPr>
        <w:t>Subcarrier spacing</w:t>
      </w:r>
    </w:p>
    <w:p w14:paraId="3599AE62" w14:textId="77777777" w:rsidR="00C34D0C" w:rsidRPr="00F31AF5" w:rsidRDefault="00C34D0C" w:rsidP="00C34D0C">
      <w:pPr>
        <w:pStyle w:val="ListParagraph"/>
        <w:numPr>
          <w:ilvl w:val="1"/>
          <w:numId w:val="43"/>
        </w:numPr>
        <w:spacing w:line="276" w:lineRule="auto"/>
        <w:contextualSpacing/>
        <w:jc w:val="both"/>
        <w:rPr>
          <w:rFonts w:ascii="Times New Roman" w:eastAsia="Malgun Gothic" w:hAnsi="Times New Roman"/>
          <w:i/>
          <w:lang w:eastAsia="ko-KR"/>
        </w:rPr>
      </w:pPr>
      <w:r w:rsidRPr="00F31AF5">
        <w:rPr>
          <w:rFonts w:ascii="Times New Roman" w:eastAsia="Malgun Gothic" w:hAnsi="Times New Roman"/>
          <w:i/>
          <w:lang w:eastAsia="ko-KR"/>
        </w:rPr>
        <w:t xml:space="preserve">Candidates for further study are: </w:t>
      </w:r>
    </w:p>
    <w:p w14:paraId="63C3A643" w14:textId="77777777" w:rsidR="00C34D0C" w:rsidRPr="00F31AF5" w:rsidRDefault="00C34D0C" w:rsidP="00C34D0C">
      <w:pPr>
        <w:pStyle w:val="ListParagraph"/>
        <w:numPr>
          <w:ilvl w:val="2"/>
          <w:numId w:val="43"/>
        </w:numPr>
        <w:spacing w:line="276" w:lineRule="auto"/>
        <w:contextualSpacing/>
        <w:jc w:val="both"/>
        <w:rPr>
          <w:rFonts w:ascii="Times New Roman" w:eastAsia="Malgun Gothic" w:hAnsi="Times New Roman"/>
          <w:i/>
          <w:lang w:eastAsia="ko-KR"/>
        </w:rPr>
      </w:pPr>
      <w:r w:rsidRPr="00F31AF5">
        <w:rPr>
          <w:rFonts w:ascii="Times New Roman" w:eastAsia="Malgun Gothic" w:hAnsi="Times New Roman"/>
          <w:i/>
          <w:lang w:eastAsia="ko-KR"/>
        </w:rPr>
        <w:t xml:space="preserve">FR1: 15 kHz, 30 kHz, 60 kHz, 120 kHz </w:t>
      </w:r>
    </w:p>
    <w:p w14:paraId="63CE4F2D" w14:textId="77777777" w:rsidR="00C34D0C" w:rsidRPr="00F31AF5" w:rsidRDefault="00C34D0C" w:rsidP="00C34D0C">
      <w:pPr>
        <w:pStyle w:val="ListParagraph"/>
        <w:numPr>
          <w:ilvl w:val="2"/>
          <w:numId w:val="43"/>
        </w:numPr>
        <w:spacing w:line="276" w:lineRule="auto"/>
        <w:contextualSpacing/>
        <w:jc w:val="both"/>
        <w:rPr>
          <w:rFonts w:ascii="Times New Roman" w:eastAsia="Malgun Gothic" w:hAnsi="Times New Roman"/>
          <w:i/>
          <w:lang w:eastAsia="ko-KR"/>
        </w:rPr>
      </w:pPr>
      <w:r w:rsidRPr="00F31AF5">
        <w:rPr>
          <w:rFonts w:ascii="Times New Roman" w:eastAsia="Malgun Gothic" w:hAnsi="Times New Roman"/>
          <w:i/>
          <w:lang w:eastAsia="ko-KR"/>
        </w:rPr>
        <w:t>FR2: 30 kHz, 60 kHz, 120 kHz, 240 kHz</w:t>
      </w:r>
    </w:p>
    <w:p w14:paraId="7CC04E55" w14:textId="77777777" w:rsidR="00C34D0C" w:rsidRPr="00F31AF5" w:rsidRDefault="00C34D0C" w:rsidP="00C34D0C">
      <w:pPr>
        <w:pStyle w:val="ListParagraph"/>
        <w:numPr>
          <w:ilvl w:val="1"/>
          <w:numId w:val="43"/>
        </w:numPr>
        <w:spacing w:line="276" w:lineRule="auto"/>
        <w:contextualSpacing/>
        <w:jc w:val="both"/>
        <w:rPr>
          <w:rFonts w:ascii="Times New Roman" w:eastAsia="Malgun Gothic" w:hAnsi="Times New Roman"/>
          <w:i/>
          <w:lang w:eastAsia="ko-KR"/>
        </w:rPr>
      </w:pPr>
      <w:r w:rsidRPr="00F31AF5">
        <w:rPr>
          <w:rFonts w:ascii="Times New Roman" w:eastAsia="Malgun Gothic" w:hAnsi="Times New Roman"/>
          <w:i/>
          <w:lang w:eastAsia="ko-KR"/>
        </w:rPr>
        <w:t>Companies are encouraged to consider the potential issues and benefit of introducing new subcarrier spacing.</w:t>
      </w:r>
    </w:p>
    <w:p w14:paraId="7889FCAD" w14:textId="77777777" w:rsidR="00C34D0C" w:rsidRDefault="00C34D0C" w:rsidP="00C34D0C"/>
    <w:p w14:paraId="39D9C9EA" w14:textId="243BF7BC" w:rsidR="009934D2" w:rsidRDefault="009934D2" w:rsidP="009934D2">
      <w:pPr>
        <w:rPr>
          <w:lang w:val="nl-NL"/>
        </w:rPr>
      </w:pPr>
      <w:r w:rsidRPr="00BB3EA2">
        <w:t xml:space="preserve">In this contribution, we discuss </w:t>
      </w:r>
      <w:r>
        <w:t>the aspects related to synchronization for NR-V2X</w:t>
      </w:r>
      <w:r w:rsidR="00F31AF5">
        <w:t xml:space="preserve"> and considerthe new use cases for NR V2X sidelink</w:t>
      </w:r>
      <w:r>
        <w:t xml:space="preserve">. </w:t>
      </w:r>
    </w:p>
    <w:p w14:paraId="43C15C21" w14:textId="77777777" w:rsidR="00C34D0C" w:rsidRDefault="00C34D0C" w:rsidP="00C34D0C"/>
    <w:p w14:paraId="6BF83640" w14:textId="77777777" w:rsidR="00C34D0C" w:rsidRDefault="00C34D0C" w:rsidP="00C34D0C">
      <w:pPr>
        <w:pStyle w:val="Heading1"/>
        <w:rPr>
          <w:sz w:val="32"/>
          <w:szCs w:val="32"/>
          <w:lang w:val="en-US"/>
        </w:rPr>
      </w:pPr>
      <w:r>
        <w:rPr>
          <w:sz w:val="32"/>
          <w:szCs w:val="32"/>
          <w:lang w:val="en-US"/>
        </w:rPr>
        <w:t xml:space="preserve">NR-V2X SLSS    </w:t>
      </w:r>
    </w:p>
    <w:p w14:paraId="2C463468" w14:textId="77777777" w:rsidR="00C34D0C" w:rsidRPr="00283C4D" w:rsidRDefault="00C34D0C" w:rsidP="00C34D0C">
      <w:r>
        <w:t xml:space="preserve">Synchronization for R14 </w:t>
      </w:r>
      <w:r w:rsidRPr="003B7CDF">
        <w:t xml:space="preserve">LTE-V2X </w:t>
      </w:r>
      <w:r>
        <w:t>relies on Side Link Synchronization Signals</w:t>
      </w:r>
      <w:r w:rsidRPr="003B7CDF">
        <w:t xml:space="preserve"> </w:t>
      </w:r>
      <w:r>
        <w:t xml:space="preserve">(SLSS). These </w:t>
      </w:r>
      <w:r w:rsidRPr="003B7CDF">
        <w:t>SLSS consist of multiple</w:t>
      </w:r>
      <w:r>
        <w:t xml:space="preserve"> OFDM symbols for PSSS, SSSS,</w:t>
      </w:r>
      <w:r w:rsidRPr="003B7CDF">
        <w:t xml:space="preserve"> PSBCH and DMRS. It also includes a guard OFDM symbol. </w:t>
      </w:r>
      <w:r>
        <w:t>They occupy the entire 1ms subframe in time and</w:t>
      </w:r>
      <w:r w:rsidRPr="00283C4D">
        <w:t xml:space="preserve"> 6 PRBs </w:t>
      </w:r>
      <w:r>
        <w:t xml:space="preserve">in frequency </w:t>
      </w:r>
      <w:r w:rsidRPr="00283C4D">
        <w:t xml:space="preserve">for </w:t>
      </w:r>
      <w:r>
        <w:t xml:space="preserve">the </w:t>
      </w:r>
      <w:r w:rsidRPr="00283C4D">
        <w:t xml:space="preserve">15kHz SCS case and </w:t>
      </w:r>
      <w:r>
        <w:t>are</w:t>
      </w:r>
      <w:r w:rsidRPr="00283C4D">
        <w:t xml:space="preserve"> designed to b</w:t>
      </w:r>
      <w:r>
        <w:t>e transmitted omnidirectionally. For timing indication, PSBCH carries the Direct Frame Number (DFN) and the Direct sub-frame number,</w:t>
      </w:r>
      <w:r w:rsidRPr="00CC7909">
        <w:rPr>
          <w:lang w:eastAsia="ko-KR"/>
        </w:rPr>
        <w:t xml:space="preserve"> </w:t>
      </w:r>
      <w:r>
        <w:rPr>
          <w:lang w:eastAsia="ko-KR"/>
        </w:rPr>
        <w:t>which i</w:t>
      </w:r>
      <w:r w:rsidRPr="00CC7909">
        <w:rPr>
          <w:lang w:eastAsia="ko-KR"/>
        </w:rPr>
        <w:t>ndicate the frame number</w:t>
      </w:r>
      <w:r>
        <w:rPr>
          <w:lang w:eastAsia="ko-KR"/>
        </w:rPr>
        <w:t xml:space="preserve">, and corresponding </w:t>
      </w:r>
      <w:r w:rsidRPr="00CC7909">
        <w:rPr>
          <w:lang w:eastAsia="ko-KR"/>
        </w:rPr>
        <w:t>subframe</w:t>
      </w:r>
      <w:r>
        <w:rPr>
          <w:lang w:eastAsia="ko-KR"/>
        </w:rPr>
        <w:t xml:space="preserve"> number</w:t>
      </w:r>
      <w:r w:rsidRPr="00CC7909">
        <w:rPr>
          <w:lang w:eastAsia="ko-KR"/>
        </w:rPr>
        <w:t xml:space="preserve"> in which SLSS and SL-BCH </w:t>
      </w:r>
      <w:r w:rsidRPr="00CC7909">
        <w:t xml:space="preserve">for V2X sidelink communication </w:t>
      </w:r>
      <w:r w:rsidRPr="00CC7909">
        <w:rPr>
          <w:lang w:eastAsia="ko-KR"/>
        </w:rPr>
        <w:t>are transmitted</w:t>
      </w:r>
      <w:r>
        <w:t xml:space="preserve">. </w:t>
      </w:r>
    </w:p>
    <w:p w14:paraId="1C5536B3" w14:textId="4FB015D0" w:rsidR="00C34D0C" w:rsidRPr="00E314CB" w:rsidRDefault="00C34D0C" w:rsidP="00C34D0C">
      <w:r w:rsidRPr="003B7CDF">
        <w:t xml:space="preserve">In NR, beam-centric designs are adopted for </w:t>
      </w:r>
      <w:r>
        <w:t xml:space="preserve">the </w:t>
      </w:r>
      <w:r w:rsidRPr="003B7CDF">
        <w:t>synchronization signal (SS) for both high and low frequency. For example, in FR1 L=4 or 8 SS/PBCH blocks may be used for synchronization while in FR2 L=64 SS/PBCH blocks may be used.</w:t>
      </w:r>
      <w:r>
        <w:t xml:space="preserve"> The NR-</w:t>
      </w:r>
      <w:r w:rsidRPr="00283C4D">
        <w:t xml:space="preserve">SS/PBCH </w:t>
      </w:r>
      <w:r>
        <w:t xml:space="preserve">block </w:t>
      </w:r>
      <w:r w:rsidRPr="00283C4D">
        <w:t>is designed to occupy only 4 OFDM symbol</w:t>
      </w:r>
      <w:r>
        <w:t>s</w:t>
      </w:r>
      <w:r w:rsidRPr="00283C4D">
        <w:t xml:space="preserve"> </w:t>
      </w:r>
      <w:r>
        <w:t>and</w:t>
      </w:r>
      <w:r w:rsidRPr="00283C4D">
        <w:t xml:space="preserve"> 20</w:t>
      </w:r>
      <w:r>
        <w:t xml:space="preserve"> </w:t>
      </w:r>
      <w:r w:rsidRPr="00283C4D">
        <w:t>PRB in frequency. It occupies 0.28ms for 15 kHz SCS in FR1</w:t>
      </w:r>
      <w:r>
        <w:t>,</w:t>
      </w:r>
      <w:r w:rsidRPr="00283C4D">
        <w:t xml:space="preserve"> down to 71.43u</w:t>
      </w:r>
      <w:r>
        <w:t>s</w:t>
      </w:r>
      <w:r w:rsidRPr="00283C4D">
        <w:t xml:space="preserve"> for 240kHz in FR2</w:t>
      </w:r>
      <w:r>
        <w:t>,</w:t>
      </w:r>
      <w:r w:rsidRPr="00283C4D">
        <w:t xml:space="preserve"> which reduces the beam sweeping duration. A concept for synchronization burst is also introduce</w:t>
      </w:r>
      <w:r>
        <w:t>d</w:t>
      </w:r>
      <w:r w:rsidRPr="00283C4D">
        <w:t xml:space="preserve"> </w:t>
      </w:r>
      <w:r>
        <w:t xml:space="preserve">to enhance beam-sweeping without creating ambiguity in timing. Unlike LTE, timing </w:t>
      </w:r>
      <w:r w:rsidRPr="00283C4D">
        <w:t xml:space="preserve">indication is done </w:t>
      </w:r>
      <w:r w:rsidRPr="00E314CB">
        <w:t xml:space="preserve">jointly by NR-PBCH and DMRS </w:t>
      </w:r>
      <w:r w:rsidR="004276CA">
        <w:t xml:space="preserve">in </w:t>
      </w:r>
      <w:r w:rsidRPr="00E314CB">
        <w:t xml:space="preserve">NR-PBCH. </w:t>
      </w:r>
    </w:p>
    <w:p w14:paraId="4C04EDEB" w14:textId="77777777" w:rsidR="00C34D0C" w:rsidRDefault="00C34D0C" w:rsidP="00C34D0C">
      <w:pPr>
        <w:rPr>
          <w:sz w:val="20"/>
        </w:rPr>
      </w:pPr>
      <w:r>
        <w:t>B</w:t>
      </w:r>
      <w:r w:rsidRPr="00283C4D">
        <w:t xml:space="preserve">eam-centric designs, similar to NR, may be applied </w:t>
      </w:r>
      <w:r>
        <w:t>for</w:t>
      </w:r>
      <w:r w:rsidRPr="00283C4D">
        <w:t xml:space="preserve"> V2X in NR. For the sidelink synchronization signal (SLSS) considered for NR-V2X, NR SS/PBCH block based approach may be used. The concept for synchronization bursts</w:t>
      </w:r>
      <w:r>
        <w:t xml:space="preserve"> may also be used. </w:t>
      </w:r>
      <w:r w:rsidRPr="00283C4D">
        <w:t xml:space="preserve">However, considering </w:t>
      </w:r>
      <w:r>
        <w:t xml:space="preserve">the </w:t>
      </w:r>
      <w:r w:rsidRPr="00283C4D">
        <w:t xml:space="preserve">different/new use cases </w:t>
      </w:r>
      <w:r>
        <w:t>for</w:t>
      </w:r>
      <w:r w:rsidRPr="00283C4D">
        <w:t xml:space="preserve"> NR V2X, some modification or enhancement for SS/PBCH block and timing indication may be </w:t>
      </w:r>
      <w:r>
        <w:t xml:space="preserve">explored. </w:t>
      </w:r>
      <w:r w:rsidRPr="00283C4D">
        <w:t>Fast synchronization may be needed</w:t>
      </w:r>
      <w:r>
        <w:t>,</w:t>
      </w:r>
      <w:r w:rsidRPr="00283C4D">
        <w:t xml:space="preserve"> and SS/PBCH block acquisition to support that</w:t>
      </w:r>
      <w:r>
        <w:t>,</w:t>
      </w:r>
      <w:r w:rsidRPr="00283C4D">
        <w:t xml:space="preserve"> may be explor</w:t>
      </w:r>
      <w:r>
        <w:t xml:space="preserve">ed for low latency applications. </w:t>
      </w:r>
      <w:r w:rsidRPr="00283C4D">
        <w:t>In addition, high overhead may arise from beam sweeping. Overhead redu</w:t>
      </w:r>
      <w:r>
        <w:t xml:space="preserve">ction may be considered for V2X. </w:t>
      </w:r>
    </w:p>
    <w:p w14:paraId="7428276F" w14:textId="77777777" w:rsidR="00C34D0C" w:rsidRPr="006C4D8D" w:rsidRDefault="00C34D0C" w:rsidP="00C34D0C">
      <w:r w:rsidRPr="006C4D8D">
        <w:t>NR V2X SLSS should use the NR SS/PBCH block designs as a starting point. Unified synchronization structure and procedure to support beam-centric design for FR1 and FR2 should be considered for NR V2X Sidelink Synchronization</w:t>
      </w:r>
      <w:r>
        <w:t>.</w:t>
      </w:r>
    </w:p>
    <w:p w14:paraId="437DD013" w14:textId="77777777" w:rsidR="00C34D0C" w:rsidRDefault="00C34D0C" w:rsidP="00C34D0C">
      <w:pPr>
        <w:rPr>
          <w:i/>
        </w:rPr>
      </w:pPr>
      <w:bookmarkStart w:id="1" w:name="_Ref521073172"/>
      <w:bookmarkStart w:id="2" w:name="_Toc521074174"/>
      <w:r w:rsidRPr="000549D8">
        <w:rPr>
          <w:b/>
          <w:i/>
          <w:u w:val="single"/>
        </w:rPr>
        <w:t>Proposal 1</w:t>
      </w:r>
      <w:r w:rsidRPr="00283C4D">
        <w:rPr>
          <w:b/>
          <w:i/>
        </w:rPr>
        <w:t xml:space="preserve">: </w:t>
      </w:r>
      <w:r w:rsidRPr="00283C4D">
        <w:rPr>
          <w:i/>
        </w:rPr>
        <w:t>Unified synchronization struct</w:t>
      </w:r>
      <w:r>
        <w:rPr>
          <w:i/>
        </w:rPr>
        <w:t>u</w:t>
      </w:r>
      <w:r w:rsidRPr="00283C4D">
        <w:rPr>
          <w:i/>
        </w:rPr>
        <w:t>re</w:t>
      </w:r>
      <w:r>
        <w:rPr>
          <w:i/>
        </w:rPr>
        <w:t xml:space="preserve"> and procedure</w:t>
      </w:r>
      <w:r w:rsidRPr="00283C4D">
        <w:rPr>
          <w:i/>
        </w:rPr>
        <w:t xml:space="preserve"> to support beam-centric design for FR1 and FR2 should be </w:t>
      </w:r>
      <w:r>
        <w:rPr>
          <w:i/>
        </w:rPr>
        <w:t>considered for NR V2X Sidelink Synchronization</w:t>
      </w:r>
      <w:r w:rsidRPr="00283C4D">
        <w:rPr>
          <w:i/>
        </w:rPr>
        <w:t xml:space="preserve">. </w:t>
      </w:r>
    </w:p>
    <w:p w14:paraId="4CA44164" w14:textId="77777777" w:rsidR="00C34D0C" w:rsidRPr="00283C4D" w:rsidRDefault="00C34D0C" w:rsidP="00C34D0C">
      <w:pPr>
        <w:rPr>
          <w:i/>
        </w:rPr>
      </w:pPr>
      <w:r w:rsidRPr="000549D8">
        <w:rPr>
          <w:b/>
          <w:i/>
          <w:u w:val="single"/>
        </w:rPr>
        <w:t>Proposal 2</w:t>
      </w:r>
      <w:r w:rsidRPr="00283C4D">
        <w:rPr>
          <w:b/>
          <w:i/>
        </w:rPr>
        <w:t xml:space="preserve">: </w:t>
      </w:r>
      <w:r w:rsidRPr="00283C4D">
        <w:rPr>
          <w:i/>
        </w:rPr>
        <w:t>NR V2X SLSS should use NR SS/PBCH block as a starting point.</w:t>
      </w:r>
    </w:p>
    <w:bookmarkEnd w:id="1"/>
    <w:bookmarkEnd w:id="2"/>
    <w:p w14:paraId="08E1C806" w14:textId="3A8FDDA6" w:rsidR="00C34D0C" w:rsidRDefault="00C34D0C" w:rsidP="00C34D0C">
      <w:pPr>
        <w:rPr>
          <w:i/>
        </w:rPr>
      </w:pPr>
    </w:p>
    <w:p w14:paraId="58C355A9" w14:textId="77777777" w:rsidR="00C34D0C" w:rsidRPr="002B1746" w:rsidRDefault="00C34D0C" w:rsidP="00C34D0C">
      <w:pPr>
        <w:pStyle w:val="Heading1"/>
        <w:rPr>
          <w:sz w:val="32"/>
          <w:szCs w:val="32"/>
          <w:lang w:val="en-US"/>
        </w:rPr>
      </w:pPr>
      <w:r>
        <w:rPr>
          <w:sz w:val="32"/>
          <w:szCs w:val="32"/>
          <w:lang w:val="en-US"/>
        </w:rPr>
        <w:t>Synchronization Reference Selection</w:t>
      </w:r>
    </w:p>
    <w:p w14:paraId="58BA192C" w14:textId="77777777" w:rsidR="00C34D0C" w:rsidRDefault="00C34D0C" w:rsidP="00C34D0C">
      <w:r w:rsidRPr="00283C4D">
        <w:t>SyncRef UE selection is a p</w:t>
      </w:r>
      <w:r>
        <w:t>rocedure to select the proper UE</w:t>
      </w:r>
      <w:r w:rsidRPr="00283C4D">
        <w:t xml:space="preserve"> as a timing reference for sidelink transmission (note: SyncRef UE is SYNChronization REFerence UE)</w:t>
      </w:r>
      <w:r>
        <w:t xml:space="preserve">. </w:t>
      </w:r>
      <w:r w:rsidRPr="001E52C7">
        <w:t>In LTE V2X</w:t>
      </w:r>
      <w:r>
        <w:t>,</w:t>
      </w:r>
      <w:r w:rsidRPr="001E52C7">
        <w:t xml:space="preserve"> </w:t>
      </w:r>
      <w:r>
        <w:t xml:space="preserve">various sources are used for SyncRef, e.g. </w:t>
      </w:r>
      <w:r w:rsidRPr="001E52C7">
        <w:t xml:space="preserve">GNSS , LTE-eNB, </w:t>
      </w:r>
      <w:r>
        <w:t xml:space="preserve">UEs transmitting SLSS with an external source (UEs, which receive their SynchRef from LTE-eNB, GNSS), </w:t>
      </w:r>
      <w:r w:rsidRPr="001E52C7">
        <w:t>UE</w:t>
      </w:r>
      <w:r>
        <w:t xml:space="preserve"> transmitting SLSS without a source of their own.</w:t>
      </w:r>
      <w:r w:rsidRPr="001E52C7">
        <w:t xml:space="preserve"> </w:t>
      </w:r>
      <w:r w:rsidRPr="00283C4D">
        <w:t>In NR</w:t>
      </w:r>
      <w:r>
        <w:t>, as</w:t>
      </w:r>
      <w:r w:rsidRPr="00283C4D">
        <w:t xml:space="preserve"> more new use cases</w:t>
      </w:r>
      <w:r>
        <w:t xml:space="preserve"> are considered and </w:t>
      </w:r>
      <w:r w:rsidRPr="00283C4D">
        <w:t>new synchronization sources are introduced, current SyncRef UE selection may not be sufficient. For example,</w:t>
      </w:r>
      <w:r>
        <w:t xml:space="preserve"> NR-gNB may be a SyncRef.</w:t>
      </w:r>
      <w:r w:rsidRPr="00283C4D">
        <w:t xml:space="preserve"> </w:t>
      </w:r>
      <w:r>
        <w:t>I</w:t>
      </w:r>
      <w:r w:rsidRPr="00283C4D">
        <w:t xml:space="preserve">n </w:t>
      </w:r>
      <w:r>
        <w:t xml:space="preserve">the </w:t>
      </w:r>
      <w:r w:rsidRPr="00283C4D">
        <w:rPr>
          <w:i/>
        </w:rPr>
        <w:t>V</w:t>
      </w:r>
      <w:r w:rsidRPr="00283C4D">
        <w:rPr>
          <w:i/>
          <w:lang w:val="nl-NL"/>
        </w:rPr>
        <w:t>ehicles Platooning</w:t>
      </w:r>
      <w:r>
        <w:rPr>
          <w:lang w:val="nl-NL"/>
        </w:rPr>
        <w:t xml:space="preserve"> use case</w:t>
      </w:r>
      <w:r w:rsidRPr="00283C4D">
        <w:t>, the platoon leader</w:t>
      </w:r>
      <w:r>
        <w:t>, or a platoon follower,</w:t>
      </w:r>
      <w:r w:rsidRPr="00283C4D">
        <w:t xml:space="preserve"> may become a</w:t>
      </w:r>
      <w:r>
        <w:t xml:space="preserve"> (direct or indirect source of)</w:t>
      </w:r>
      <w:r w:rsidRPr="00283C4D">
        <w:t xml:space="preserve"> SyncRef UE. Different procedures and priorities of timing reference selection for sidelink transmission should be considered.</w:t>
      </w:r>
      <w:r>
        <w:t xml:space="preserve"> </w:t>
      </w:r>
      <w:r w:rsidRPr="00283C4D">
        <w:t>Therefore, SyncRef UE selection should be studied by considering new use cases for NR V2X</w:t>
      </w:r>
      <w:r>
        <w:t>. Different priorities may be considered for SyncRef selection. As an example, f</w:t>
      </w:r>
      <w:r w:rsidRPr="00C77059">
        <w:t xml:space="preserve">or </w:t>
      </w:r>
      <w:r>
        <w:t>s</w:t>
      </w:r>
      <w:r w:rsidRPr="00C77059">
        <w:t>ynchronization</w:t>
      </w:r>
      <w:r>
        <w:t xml:space="preserve"> or SyncRef selection</w:t>
      </w:r>
      <w:r w:rsidRPr="00C77059">
        <w:t xml:space="preserve">, </w:t>
      </w:r>
      <w:r>
        <w:t>the p</w:t>
      </w:r>
      <w:r w:rsidRPr="00C77059">
        <w:t xml:space="preserve">latoon leader may have higher priority </w:t>
      </w:r>
      <w:r>
        <w:t>than</w:t>
      </w:r>
      <w:r w:rsidRPr="00C77059">
        <w:t xml:space="preserve"> other members of </w:t>
      </w:r>
      <w:r>
        <w:t xml:space="preserve">the </w:t>
      </w:r>
      <w:r w:rsidRPr="00C77059">
        <w:t>platoon</w:t>
      </w:r>
      <w:r>
        <w:t>. M</w:t>
      </w:r>
      <w:r w:rsidRPr="00C77059">
        <w:t xml:space="preserve">embers of </w:t>
      </w:r>
      <w:r>
        <w:t xml:space="preserve">a </w:t>
      </w:r>
      <w:r w:rsidRPr="00C77059">
        <w:t xml:space="preserve">platoon may have higher priority </w:t>
      </w:r>
      <w:r>
        <w:t>than</w:t>
      </w:r>
      <w:r w:rsidRPr="00C77059">
        <w:t xml:space="preserve"> other UEs </w:t>
      </w:r>
      <w:r>
        <w:t xml:space="preserve">who are </w:t>
      </w:r>
      <w:r w:rsidRPr="00C77059">
        <w:t xml:space="preserve">not part of </w:t>
      </w:r>
      <w:r>
        <w:t xml:space="preserve">the </w:t>
      </w:r>
      <w:r w:rsidRPr="00C77059">
        <w:t xml:space="preserve">platoon. </w:t>
      </w:r>
      <w:r>
        <w:t>Considering the sources mentioned above, r</w:t>
      </w:r>
      <w:r w:rsidRPr="00C77059">
        <w:t>ules of priority</w:t>
      </w:r>
      <w:r>
        <w:t xml:space="preserve"> for SyncRef selection</w:t>
      </w:r>
      <w:r w:rsidRPr="00C77059">
        <w:t xml:space="preserve"> may need to be </w:t>
      </w:r>
      <w:r>
        <w:t>defined</w:t>
      </w:r>
      <w:r w:rsidRPr="00C77059">
        <w:t xml:space="preserve"> in NR</w:t>
      </w:r>
      <w:r>
        <w:t xml:space="preserve"> V2X</w:t>
      </w:r>
      <w:r w:rsidRPr="00C77059">
        <w:t xml:space="preserve">. </w:t>
      </w:r>
    </w:p>
    <w:p w14:paraId="0B586A06" w14:textId="5330284B" w:rsidR="00C34D0C" w:rsidRPr="00C97872" w:rsidRDefault="007959DF" w:rsidP="00C34D0C">
      <w:r>
        <w:t>C</w:t>
      </w:r>
      <w:r w:rsidR="00C34D0C" w:rsidRPr="00C97872">
        <w:t xml:space="preserve">onsider a priority level P0, a priority for cellular coverage. It may include various conditions of UE in cellular coverage e.g. InCoverage-LTE, InCoverage-NR or both. InCoverage for LTE may imply that RSRP in LTE </w:t>
      </w:r>
      <w:r w:rsidR="00C34D0C" w:rsidRPr="00C97872">
        <w:lastRenderedPageBreak/>
        <w:t xml:space="preserve">are above configured threshold for LTE (e.g., syncTxThreshIC, in SIB-21 if LTE Uu) for this purpose. Similarly, another threshold (syncTxThreshIC-NR) may be configured for NR. For example, the SyncRef with higher RSRP between gNB and eNB (normalized for reference power) may be selected. Priority may be assigned or predetermined between LTE and NR. For example, LTE may be assigned or predetermined with higher priority than NR. In the case when the UE is in both coverage of LTE-eNB and NR-gNB, LTE-eNB may be selected as the source as long as RSRP is above a certain threshold. In this case, SyncRef selection may be based on priority assigned to LTE and NR but not depend purely on the best RSRP. For example, LTE-V2X may contain the basic safety messages, which may have higher priority than other messages in NR. If RSRP is within a certain range, LTE may be selected. If RSRP is out of the range, NR may be selected. For another example, if difference of RSRP between LTE and NR is within a certain range, LTE may be selected. If difference of RSRP between LTE and NR is not within a certain range, NR may be selected. </w:t>
      </w:r>
    </w:p>
    <w:p w14:paraId="59E82073" w14:textId="56EB4CA8" w:rsidR="00C34D0C" w:rsidRDefault="00C34D0C" w:rsidP="00C34D0C">
      <w:pPr>
        <w:rPr>
          <w:i/>
        </w:rPr>
      </w:pPr>
      <w:r w:rsidRPr="000549D8">
        <w:rPr>
          <w:b/>
          <w:i/>
          <w:u w:val="single"/>
        </w:rPr>
        <w:t xml:space="preserve">Proposal </w:t>
      </w:r>
      <w:r w:rsidR="000335F3" w:rsidRPr="000549D8">
        <w:rPr>
          <w:b/>
          <w:i/>
          <w:u w:val="single"/>
        </w:rPr>
        <w:t>3</w:t>
      </w:r>
      <w:r w:rsidRPr="00283C4D">
        <w:rPr>
          <w:b/>
          <w:i/>
        </w:rPr>
        <w:t xml:space="preserve">: </w:t>
      </w:r>
      <w:r>
        <w:rPr>
          <w:i/>
        </w:rPr>
        <w:t>SyncRef selection</w:t>
      </w:r>
      <w:r w:rsidRPr="00283C4D">
        <w:rPr>
          <w:i/>
        </w:rPr>
        <w:t xml:space="preserve"> methods </w:t>
      </w:r>
      <w:r>
        <w:rPr>
          <w:i/>
        </w:rPr>
        <w:t xml:space="preserve">and procedures </w:t>
      </w:r>
      <w:r w:rsidRPr="00283C4D">
        <w:rPr>
          <w:i/>
        </w:rPr>
        <w:t xml:space="preserve">should be studied for NR V2X. </w:t>
      </w:r>
    </w:p>
    <w:p w14:paraId="3931C56D" w14:textId="77777777" w:rsidR="00C34D0C" w:rsidRDefault="00C34D0C" w:rsidP="00C34D0C">
      <w:pPr>
        <w:rPr>
          <w:lang w:val="nl-NL"/>
        </w:rPr>
      </w:pPr>
    </w:p>
    <w:p w14:paraId="456FC4C8" w14:textId="77777777" w:rsidR="00C34D0C" w:rsidRPr="002B1746" w:rsidRDefault="00C34D0C" w:rsidP="00C34D0C">
      <w:pPr>
        <w:pStyle w:val="Heading1"/>
        <w:rPr>
          <w:sz w:val="32"/>
          <w:szCs w:val="32"/>
          <w:lang w:val="en-US"/>
        </w:rPr>
      </w:pPr>
      <w:r>
        <w:rPr>
          <w:sz w:val="32"/>
          <w:szCs w:val="32"/>
          <w:lang w:val="en-US"/>
        </w:rPr>
        <w:t xml:space="preserve">Priority and Measurement for Sidelink Synchronization </w:t>
      </w:r>
    </w:p>
    <w:p w14:paraId="6BDD12DB" w14:textId="77777777" w:rsidR="00C34D0C" w:rsidRDefault="00C34D0C" w:rsidP="00C34D0C">
      <w:r>
        <w:t xml:space="preserve">UE may synchronize with one of synchronization sources in vehicle platoon. UE may want to synchronize with platoon leader first. UE may fail to synchronize with platoon leader. The UE may want to synchronize with one of platoon followers if it fails to synchronize with platoon leader. One solution may be to use measurement to decide the source that UE may synchronize with. If a measurement is above a threshold, a UE may synchronize with the synchronization source. Otherwise, UE may try other synchronization sources. When multiple synchronization sources whose measurements are above the threshold, UE may select the synchronization source with the highest measurement. For example, UE may measure sidelink RSRP (S-RSRP) using sidelink synchronization signal block (SL-SSB) for synchronization sources. UE may also measure sidelink RSRP (S-RSRP) using CSI-RS. This may be performed independently from SL-SSB or in conjunction or in combination with SL-SSB. If S-RSRP is above a threshold, a UE may synchronize with the synchronization source. Otherwise UE may try other synchronization sources. When multiple S-RSRPs or correlations are above the threshold, UE may select the synchronization source with the highest S-RSRP. </w:t>
      </w:r>
    </w:p>
    <w:p w14:paraId="1B295279" w14:textId="77777777" w:rsidR="00C34D0C" w:rsidRDefault="00C34D0C" w:rsidP="00C34D0C">
      <w:r>
        <w:t>S-RSRP-based synchronization source selection may not be optimal. For example, if a UE is closer to a platoon follower than a platoon leader, then S-RSRP from platoon follower may be higher than S-RSRP from platoon leader. If S-RSRP is the only criteria for synchronization source selection, then the UE may select platoon follower instead of platoon leader. Therefore, synchronization source type may also be considered as part of selection criteria for synchronization. For example, platoon leader may have higher priority than platoon followers. Therefore, when S-RSRP from platoon leader and followers are above the threshold, even if S-RSRP of platoon follower is higher than platoon leader, the UE may select platoon leader rather than platoon follower. Therefore, synchronization source selection may depend on synchronization source type and measurements or measurement types (e.g., S-RSRP) and may be based on priorities between synchronization source type and their measurements or measurement types.</w:t>
      </w:r>
    </w:p>
    <w:p w14:paraId="1B4DA9A0" w14:textId="02AD3D17" w:rsidR="00C34D0C" w:rsidRDefault="00C34D0C" w:rsidP="00C34D0C">
      <w:pPr>
        <w:rPr>
          <w:b/>
        </w:rPr>
      </w:pPr>
      <w:r w:rsidRPr="005D2A8F">
        <w:t xml:space="preserve">UE </w:t>
      </w:r>
      <w:r>
        <w:t>may receive</w:t>
      </w:r>
      <w:r w:rsidRPr="005D2A8F">
        <w:t xml:space="preserve"> configuration for sidelink </w:t>
      </w:r>
      <w:r>
        <w:t xml:space="preserve">including sidelink measurement </w:t>
      </w:r>
      <w:r w:rsidRPr="005D2A8F">
        <w:t xml:space="preserve">threshold. UE </w:t>
      </w:r>
      <w:r>
        <w:t>may search</w:t>
      </w:r>
      <w:r w:rsidRPr="005D2A8F">
        <w:t xml:space="preserve"> through sync</w:t>
      </w:r>
      <w:r>
        <w:t>hronization</w:t>
      </w:r>
      <w:r w:rsidR="007A7DC5">
        <w:t xml:space="preserve"> sources and</w:t>
      </w:r>
      <w:r>
        <w:t xml:space="preserve"> perform</w:t>
      </w:r>
      <w:r w:rsidRPr="005D2A8F">
        <w:t xml:space="preserve"> measurement (e.g., </w:t>
      </w:r>
      <w:r>
        <w:t>S-RSRP</w:t>
      </w:r>
      <w:r w:rsidRPr="005D2A8F">
        <w:t>) for sync</w:t>
      </w:r>
      <w:r>
        <w:t>hronization</w:t>
      </w:r>
      <w:r w:rsidRPr="005D2A8F">
        <w:t xml:space="preserve"> sources. UE </w:t>
      </w:r>
      <w:r>
        <w:t>may compile</w:t>
      </w:r>
      <w:r w:rsidRPr="005D2A8F">
        <w:t xml:space="preserve"> a list of sync</w:t>
      </w:r>
      <w:r>
        <w:t>hronization</w:t>
      </w:r>
      <w:r w:rsidRPr="005D2A8F">
        <w:t xml:space="preserve"> sources with </w:t>
      </w:r>
      <w:r>
        <w:t>measured S-RSRP greater than a</w:t>
      </w:r>
      <w:r w:rsidRPr="005D2A8F">
        <w:t xml:space="preserve"> threshold. </w:t>
      </w:r>
      <w:r>
        <w:t xml:space="preserve">UE may check the type of </w:t>
      </w:r>
      <w:r w:rsidRPr="005D2A8F">
        <w:t>sync</w:t>
      </w:r>
      <w:r>
        <w:t xml:space="preserve">hronization source. </w:t>
      </w:r>
      <w:r w:rsidRPr="005D2A8F">
        <w:t>If sync</w:t>
      </w:r>
      <w:r>
        <w:t xml:space="preserve">hronization source type </w:t>
      </w:r>
      <w:r w:rsidRPr="005D2A8F">
        <w:t>is platoon leade</w:t>
      </w:r>
      <w:r>
        <w:t>r type,</w:t>
      </w:r>
      <w:r w:rsidRPr="005D2A8F">
        <w:t xml:space="preserve"> </w:t>
      </w:r>
      <w:r>
        <w:t>then UE may s</w:t>
      </w:r>
      <w:r w:rsidRPr="005D2A8F">
        <w:t>elect platoon leader as sync</w:t>
      </w:r>
      <w:r>
        <w:t>hronization source</w:t>
      </w:r>
      <w:r w:rsidRPr="005D2A8F">
        <w:t xml:space="preserve">. UE </w:t>
      </w:r>
      <w:r>
        <w:t>may establish</w:t>
      </w:r>
      <w:r w:rsidRPr="005D2A8F">
        <w:t xml:space="preserve"> a </w:t>
      </w:r>
      <w:r>
        <w:t xml:space="preserve">communication </w:t>
      </w:r>
      <w:r w:rsidRPr="005D2A8F">
        <w:t xml:space="preserve">link with platoon leader. </w:t>
      </w:r>
      <w:r>
        <w:t>Otherwise</w:t>
      </w:r>
      <w:r w:rsidR="007A7DC5">
        <w:t>,</w:t>
      </w:r>
      <w:r>
        <w:t xml:space="preserve"> i</w:t>
      </w:r>
      <w:r w:rsidRPr="005D2A8F">
        <w:t>f sync</w:t>
      </w:r>
      <w:r>
        <w:t xml:space="preserve">hronization source type </w:t>
      </w:r>
      <w:r w:rsidRPr="005D2A8F">
        <w:t xml:space="preserve">is </w:t>
      </w:r>
      <w:r>
        <w:t xml:space="preserve">not </w:t>
      </w:r>
      <w:r w:rsidRPr="005D2A8F">
        <w:t>platoon leade</w:t>
      </w:r>
      <w:r>
        <w:t>r type, e.g., platoon follower, then UE may s</w:t>
      </w:r>
      <w:r w:rsidRPr="005D2A8F">
        <w:t>elect sync</w:t>
      </w:r>
      <w:r>
        <w:t>hronization source</w:t>
      </w:r>
      <w:r w:rsidRPr="005D2A8F">
        <w:t xml:space="preserve"> having the highest </w:t>
      </w:r>
      <w:r w:rsidR="007A7DC5">
        <w:t>S-</w:t>
      </w:r>
      <w:r w:rsidRPr="005D2A8F">
        <w:t xml:space="preserve">RSRP. UE </w:t>
      </w:r>
      <w:r>
        <w:t>may establish</w:t>
      </w:r>
      <w:r w:rsidRPr="005D2A8F">
        <w:t xml:space="preserve"> a </w:t>
      </w:r>
      <w:r>
        <w:t xml:space="preserve">communication </w:t>
      </w:r>
      <w:r w:rsidRPr="005D2A8F">
        <w:t>link with platoon follower.</w:t>
      </w:r>
    </w:p>
    <w:p w14:paraId="0D712569" w14:textId="59618C41" w:rsidR="00C34D0C" w:rsidRDefault="00C34D0C" w:rsidP="00C34D0C">
      <w:pPr>
        <w:rPr>
          <w:i/>
        </w:rPr>
      </w:pPr>
      <w:r w:rsidRPr="000549D8">
        <w:rPr>
          <w:b/>
          <w:i/>
          <w:u w:val="single"/>
        </w:rPr>
        <w:t xml:space="preserve">Proposal </w:t>
      </w:r>
      <w:r w:rsidR="000335F3" w:rsidRPr="000549D8">
        <w:rPr>
          <w:b/>
          <w:i/>
          <w:u w:val="single"/>
        </w:rPr>
        <w:t>4</w:t>
      </w:r>
      <w:r w:rsidRPr="00283C4D">
        <w:rPr>
          <w:b/>
          <w:i/>
        </w:rPr>
        <w:t xml:space="preserve">: </w:t>
      </w:r>
      <w:r>
        <w:rPr>
          <w:i/>
        </w:rPr>
        <w:t>Priority</w:t>
      </w:r>
      <w:r w:rsidRPr="00283C4D">
        <w:rPr>
          <w:i/>
        </w:rPr>
        <w:t xml:space="preserve"> </w:t>
      </w:r>
      <w:r>
        <w:rPr>
          <w:i/>
        </w:rPr>
        <w:t xml:space="preserve">and measurement </w:t>
      </w:r>
      <w:r w:rsidR="006907D3">
        <w:rPr>
          <w:i/>
        </w:rPr>
        <w:t>can</w:t>
      </w:r>
      <w:r w:rsidRPr="00283C4D">
        <w:rPr>
          <w:i/>
        </w:rPr>
        <w:t xml:space="preserve"> be </w:t>
      </w:r>
      <w:r w:rsidR="007A7DC5">
        <w:rPr>
          <w:i/>
        </w:rPr>
        <w:t xml:space="preserve">jointly </w:t>
      </w:r>
      <w:r>
        <w:rPr>
          <w:i/>
        </w:rPr>
        <w:t>considered</w:t>
      </w:r>
      <w:r w:rsidRPr="00283C4D">
        <w:rPr>
          <w:i/>
        </w:rPr>
        <w:t xml:space="preserve"> </w:t>
      </w:r>
      <w:r w:rsidR="000335F3">
        <w:rPr>
          <w:i/>
        </w:rPr>
        <w:t>for</w:t>
      </w:r>
      <w:r w:rsidRPr="00283C4D">
        <w:rPr>
          <w:i/>
        </w:rPr>
        <w:t xml:space="preserve"> </w:t>
      </w:r>
      <w:r w:rsidR="000335F3">
        <w:rPr>
          <w:i/>
        </w:rPr>
        <w:t xml:space="preserve">platoon sidelink </w:t>
      </w:r>
      <w:r>
        <w:rPr>
          <w:i/>
        </w:rPr>
        <w:t xml:space="preserve">synchronization in </w:t>
      </w:r>
      <w:r w:rsidRPr="00283C4D">
        <w:rPr>
          <w:i/>
        </w:rPr>
        <w:t xml:space="preserve">NR V2X. </w:t>
      </w:r>
    </w:p>
    <w:p w14:paraId="48B4EF28" w14:textId="77777777" w:rsidR="00C34D0C" w:rsidRPr="00EF3022" w:rsidRDefault="00C34D0C" w:rsidP="00C34D0C">
      <w:pPr>
        <w:rPr>
          <w:lang w:val="nl-NL"/>
        </w:rPr>
      </w:pPr>
    </w:p>
    <w:p w14:paraId="6047AC58" w14:textId="2C4EB7D7" w:rsidR="00C34D0C" w:rsidRDefault="00821E3E" w:rsidP="00C34D0C">
      <w:pPr>
        <w:pStyle w:val="Heading1"/>
        <w:rPr>
          <w:sz w:val="32"/>
          <w:szCs w:val="32"/>
          <w:lang w:val="en-US"/>
        </w:rPr>
      </w:pPr>
      <w:r>
        <w:rPr>
          <w:sz w:val="32"/>
          <w:szCs w:val="32"/>
          <w:lang w:val="en-US"/>
        </w:rPr>
        <w:lastRenderedPageBreak/>
        <w:t xml:space="preserve">Considerations for </w:t>
      </w:r>
      <w:r w:rsidR="00C34D0C">
        <w:rPr>
          <w:sz w:val="32"/>
          <w:szCs w:val="32"/>
          <w:lang w:val="en-US"/>
        </w:rPr>
        <w:t xml:space="preserve">SL Synchronization </w:t>
      </w:r>
      <w:r>
        <w:rPr>
          <w:sz w:val="32"/>
          <w:szCs w:val="32"/>
          <w:lang w:val="en-US"/>
        </w:rPr>
        <w:t xml:space="preserve">Latency and Complexity </w:t>
      </w:r>
    </w:p>
    <w:p w14:paraId="28139E0B" w14:textId="4808E67D" w:rsidR="00C34D0C" w:rsidRDefault="00C34D0C" w:rsidP="00A602D6">
      <w:r>
        <w:rPr>
          <w:rFonts w:hint="eastAsia"/>
        </w:rPr>
        <w:t xml:space="preserve">NR </w:t>
      </w:r>
      <w:r>
        <w:t xml:space="preserve">includes concepts like </w:t>
      </w:r>
      <w:r w:rsidRPr="00012AD2">
        <w:rPr>
          <w:rFonts w:hint="eastAsia"/>
        </w:rPr>
        <w:t xml:space="preserve">multiple numerology, different frame </w:t>
      </w:r>
      <w:r>
        <w:rPr>
          <w:rFonts w:hint="eastAsia"/>
        </w:rPr>
        <w:t xml:space="preserve">structure and beam transmission, which are not present in LTE. </w:t>
      </w:r>
      <w:r>
        <w:t>T</w:t>
      </w:r>
      <w:r w:rsidRPr="00012AD2">
        <w:rPr>
          <w:rFonts w:hint="eastAsia"/>
        </w:rPr>
        <w:t>he sidelink synchronization</w:t>
      </w:r>
      <w:r>
        <w:rPr>
          <w:rFonts w:hint="eastAsia"/>
        </w:rPr>
        <w:t xml:space="preserve"> mechanism and frame structure</w:t>
      </w:r>
      <w:r w:rsidRPr="00012AD2">
        <w:rPr>
          <w:rFonts w:hint="eastAsia"/>
        </w:rPr>
        <w:t xml:space="preserve"> </w:t>
      </w:r>
      <w:r>
        <w:t xml:space="preserve">in </w:t>
      </w:r>
      <w:r w:rsidRPr="00012AD2">
        <w:rPr>
          <w:rFonts w:hint="eastAsia"/>
        </w:rPr>
        <w:t xml:space="preserve">LTE V2X </w:t>
      </w:r>
      <w:r w:rsidRPr="00012AD2">
        <w:t>cannot</w:t>
      </w:r>
      <w:r w:rsidRPr="00012AD2">
        <w:rPr>
          <w:rFonts w:hint="eastAsia"/>
        </w:rPr>
        <w:t xml:space="preserve"> </w:t>
      </w:r>
      <w:r w:rsidRPr="00012AD2">
        <w:t xml:space="preserve">be </w:t>
      </w:r>
      <w:r>
        <w:t>directly</w:t>
      </w:r>
      <w:r>
        <w:rPr>
          <w:rFonts w:hint="eastAsia"/>
        </w:rPr>
        <w:t xml:space="preserve"> reused in NR-</w:t>
      </w:r>
      <w:r w:rsidRPr="00012AD2">
        <w:rPr>
          <w:rFonts w:hint="eastAsia"/>
        </w:rPr>
        <w:t>V2X.</w:t>
      </w:r>
      <w:r w:rsidR="005F3E90">
        <w:t xml:space="preserve"> In RAN1#</w:t>
      </w:r>
      <w:r>
        <w:t xml:space="preserve">93 </w:t>
      </w:r>
      <w:r w:rsidR="005F3E90">
        <w:t xml:space="preserve">meeting </w:t>
      </w:r>
      <w:r>
        <w:t xml:space="preserve">it was agreed to consider </w:t>
      </w:r>
      <w:r w:rsidRPr="00C3357D">
        <w:t>potential issues and benefit of intr</w:t>
      </w:r>
      <w:r w:rsidR="005F3E90">
        <w:t>oducing new subcarrier spacing, for example,</w:t>
      </w:r>
      <w:r w:rsidRPr="00C3357D">
        <w:t xml:space="preserve"> FR1: 1</w:t>
      </w:r>
      <w:r>
        <w:t xml:space="preserve">5 kHz, 30 kHz, 60 kHz, 120 kHz </w:t>
      </w:r>
      <w:r w:rsidRPr="00C3357D">
        <w:t>and FR2: 30 kHz, 60 kHz, 120 kHz, 240 kHz. Considering 8 SSB</w:t>
      </w:r>
      <w:r w:rsidR="005F3E90">
        <w:t>s</w:t>
      </w:r>
      <w:r>
        <w:t xml:space="preserve"> for NR-V2X in FR1, the sweep duration is 2mS for 30kHz SCS. With introduction of 60kHz or 120kHz SCS for synchronization signal for FR1 SL, the sweep overhead can be reduced to 1mS or 0.5mS. In FR2, </w:t>
      </w:r>
      <w:r w:rsidR="005F3E90">
        <w:t xml:space="preserve">up to </w:t>
      </w:r>
      <w:r>
        <w:t xml:space="preserve">64 </w:t>
      </w:r>
      <w:r w:rsidR="005F3E90">
        <w:t>SSBs</w:t>
      </w:r>
      <w:r>
        <w:t xml:space="preserve"> are supported. Reduction of beams to 32 and higher SCS like 240kHz SCS may reduce the sweep overhe</w:t>
      </w:r>
      <w:r w:rsidR="005F3E90">
        <w:t>ad to 1mS in FR2</w:t>
      </w:r>
      <w:r>
        <w:t xml:space="preserve">.  </w:t>
      </w:r>
    </w:p>
    <w:p w14:paraId="6A55600D" w14:textId="2A5D6C97" w:rsidR="00C34D0C" w:rsidRPr="00E81749" w:rsidRDefault="00C34D0C" w:rsidP="00C34D0C">
      <w:r w:rsidRPr="00E81749">
        <w:t>In NR, SS/PBCH blocks and data were FDM transmitted with mixed numerologies</w:t>
      </w:r>
      <w:r w:rsidRPr="00E81749">
        <w:rPr>
          <w:rFonts w:hint="eastAsia"/>
        </w:rPr>
        <w:t xml:space="preserve">. </w:t>
      </w:r>
      <w:r w:rsidRPr="00E81749">
        <w:t xml:space="preserve">For SL transmissions, mixed numerology structure like this may </w:t>
      </w:r>
      <w:r w:rsidRPr="00E81749">
        <w:rPr>
          <w:rFonts w:hint="eastAsia"/>
        </w:rPr>
        <w:t xml:space="preserve">lead to restrictions on the transmission </w:t>
      </w:r>
      <w:r w:rsidRPr="00E81749">
        <w:t xml:space="preserve">of </w:t>
      </w:r>
      <w:r w:rsidRPr="00265628">
        <w:t xml:space="preserve">SLSS/PSBCH </w:t>
      </w:r>
      <w:r w:rsidRPr="00E81749">
        <w:t>with</w:t>
      </w:r>
      <w:r w:rsidRPr="00E81749">
        <w:rPr>
          <w:rFonts w:hint="eastAsia"/>
        </w:rPr>
        <w:t xml:space="preserve"> </w:t>
      </w:r>
      <w:r w:rsidRPr="00E81749">
        <w:t>different</w:t>
      </w:r>
      <w:r w:rsidRPr="00E81749">
        <w:rPr>
          <w:rFonts w:hint="eastAsia"/>
        </w:rPr>
        <w:t xml:space="preserve"> SCS</w:t>
      </w:r>
      <w:r w:rsidRPr="00E81749">
        <w:t>, different SS/PBCH blocks,</w:t>
      </w:r>
      <w:r w:rsidRPr="00E81749">
        <w:rPr>
          <w:rFonts w:hint="eastAsia"/>
        </w:rPr>
        <w:t xml:space="preserve"> more symbols of </w:t>
      </w:r>
      <w:r w:rsidRPr="00265628">
        <w:t xml:space="preserve">SLSS/PSBCH </w:t>
      </w:r>
      <w:r>
        <w:t xml:space="preserve">blocks </w:t>
      </w:r>
      <w:r w:rsidR="007959DF">
        <w:t xml:space="preserve">because of different SCS </w:t>
      </w:r>
      <w:r w:rsidRPr="00E81749">
        <w:t>for different UEs.</w:t>
      </w:r>
      <w:r w:rsidRPr="00E81749">
        <w:rPr>
          <w:rFonts w:hint="eastAsia"/>
        </w:rPr>
        <w:t xml:space="preserve"> The frame structure of sidelink </w:t>
      </w:r>
      <w:r w:rsidR="007959DF">
        <w:t>may</w:t>
      </w:r>
      <w:r w:rsidRPr="00E81749">
        <w:t xml:space="preserve"> be further simplfied.</w:t>
      </w:r>
      <w:r w:rsidR="007959DF">
        <w:t xml:space="preserve"> Simplified numerology may be considered to reduce complexity.</w:t>
      </w:r>
      <w:r>
        <w:t xml:space="preserve"> </w:t>
      </w:r>
    </w:p>
    <w:p w14:paraId="6852C5BC" w14:textId="0D786E5F" w:rsidR="00C34D0C" w:rsidRPr="00283C4D" w:rsidRDefault="00C34D0C" w:rsidP="00C34D0C">
      <w:r w:rsidRPr="00283C4D">
        <w:t xml:space="preserve">A concept for synchronization burst </w:t>
      </w:r>
      <w:r>
        <w:t>was</w:t>
      </w:r>
      <w:r w:rsidRPr="00283C4D">
        <w:t xml:space="preserve"> also introduce </w:t>
      </w:r>
      <w:r>
        <w:t>to enhance beam-sweeping without creating ambiguity in timing. Unlike LTE, t</w:t>
      </w:r>
      <w:r w:rsidRPr="00283C4D">
        <w:t xml:space="preserve">iming indication is done in </w:t>
      </w:r>
      <w:r>
        <w:t xml:space="preserve">jointly by </w:t>
      </w:r>
      <w:r w:rsidRPr="00283C4D">
        <w:t xml:space="preserve">NR-PBCH </w:t>
      </w:r>
      <w:r>
        <w:t xml:space="preserve">and </w:t>
      </w:r>
      <w:r w:rsidRPr="00283C4D">
        <w:t>DMRS</w:t>
      </w:r>
      <w:r>
        <w:t xml:space="preserve">. </w:t>
      </w:r>
      <w:r w:rsidRPr="00283C4D">
        <w:t>For the sidelink synchronization signal (SLSS) considered for NR-V2X, NR SS/PBCH block based approach may be used. The concept for synchroniza</w:t>
      </w:r>
      <w:r w:rsidRPr="00DE2472">
        <w:t>tion bursts may also be used.</w:t>
      </w:r>
      <w:r w:rsidR="005F3E90">
        <w:t xml:space="preserve"> </w:t>
      </w:r>
      <w:r w:rsidRPr="00E81749">
        <w:t>The burst design like NR should be unified for FR1 and FR2</w:t>
      </w:r>
      <w:r w:rsidRPr="00DE2472">
        <w:t>. However</w:t>
      </w:r>
      <w:r w:rsidRPr="00283C4D">
        <w:t xml:space="preserve">, considering different/new use cases in NR V2X, some modification or enhancement for SS/PBCH block and timing indication may be </w:t>
      </w:r>
      <w:r>
        <w:t xml:space="preserve">explored. </w:t>
      </w:r>
      <w:r w:rsidRPr="00283C4D">
        <w:t>Fast synchronization may be needed and SS/PBCH block acquisition to support that may be explor</w:t>
      </w:r>
      <w:r>
        <w:t xml:space="preserve">ed for low latency applications. </w:t>
      </w:r>
      <w:r w:rsidR="007A58F1">
        <w:t xml:space="preserve">Different periodicities </w:t>
      </w:r>
      <w:r w:rsidR="003F5977">
        <w:t xml:space="preserve">(e.g., short or long periodicity) </w:t>
      </w:r>
      <w:r w:rsidR="005F3E90">
        <w:t>and</w:t>
      </w:r>
      <w:r w:rsidR="003F5977">
        <w:t>/or</w:t>
      </w:r>
      <w:r w:rsidR="005F3E90">
        <w:t xml:space="preserve"> time offsets </w:t>
      </w:r>
      <w:r w:rsidR="007A58F1">
        <w:t xml:space="preserve">can be configured for SLSS for sidelink </w:t>
      </w:r>
      <w:r w:rsidR="0095649A">
        <w:t>transmission and rec</w:t>
      </w:r>
      <w:r w:rsidR="005F3E90">
        <w:t>e</w:t>
      </w:r>
      <w:r w:rsidR="0095649A">
        <w:t xml:space="preserve">ption </w:t>
      </w:r>
      <w:r w:rsidR="00CD6986">
        <w:t xml:space="preserve">trade-off or </w:t>
      </w:r>
      <w:r w:rsidR="007A58F1">
        <w:t xml:space="preserve">optimization. </w:t>
      </w:r>
      <w:r w:rsidR="000335F3">
        <w:t>The</w:t>
      </w:r>
      <w:r w:rsidR="000335F3" w:rsidRPr="000335F3">
        <w:t xml:space="preserve"> reduction of latency and complexity arising from periodic beam sweeping overhead</w:t>
      </w:r>
      <w:r w:rsidR="000335F3">
        <w:t xml:space="preserve"> should be considered for NR V2X slidelink SS.</w:t>
      </w:r>
    </w:p>
    <w:p w14:paraId="13FF5534" w14:textId="3CEBA8E3" w:rsidR="00C34D0C" w:rsidRPr="000549D8" w:rsidRDefault="00C34D0C" w:rsidP="00C34D0C">
      <w:pPr>
        <w:pStyle w:val="BodyText"/>
        <w:rPr>
          <w:rFonts w:ascii="Times New Roman" w:hAnsi="Times New Roman"/>
          <w:i/>
        </w:rPr>
      </w:pPr>
      <w:r w:rsidRPr="000549D8">
        <w:rPr>
          <w:rFonts w:ascii="Times New Roman" w:hAnsi="Times New Roman"/>
          <w:b/>
          <w:i/>
          <w:u w:val="single"/>
        </w:rPr>
        <w:t>Propos</w:t>
      </w:r>
      <w:r w:rsidR="000335F3" w:rsidRPr="000549D8">
        <w:rPr>
          <w:rFonts w:ascii="Times New Roman" w:hAnsi="Times New Roman"/>
          <w:b/>
          <w:i/>
          <w:u w:val="single"/>
        </w:rPr>
        <w:t>al 5</w:t>
      </w:r>
      <w:r w:rsidRPr="000549D8">
        <w:rPr>
          <w:rFonts w:ascii="Times New Roman" w:hAnsi="Times New Roman"/>
          <w:b/>
          <w:i/>
        </w:rPr>
        <w:t xml:space="preserve">: </w:t>
      </w:r>
      <w:r w:rsidR="00A602D6" w:rsidRPr="000549D8">
        <w:rPr>
          <w:rFonts w:ascii="Times New Roman" w:hAnsi="Times New Roman"/>
          <w:i/>
        </w:rPr>
        <w:t>NR V2X SLSS should consider reduction of latency and complexity arising from periodic b</w:t>
      </w:r>
      <w:r w:rsidR="000335F3" w:rsidRPr="000549D8">
        <w:rPr>
          <w:rFonts w:ascii="Times New Roman" w:hAnsi="Times New Roman"/>
          <w:i/>
        </w:rPr>
        <w:t>eam sweeping overhead</w:t>
      </w:r>
      <w:r w:rsidR="000549D8" w:rsidRPr="000549D8">
        <w:rPr>
          <w:rFonts w:ascii="Times New Roman" w:hAnsi="Times New Roman"/>
          <w:i/>
        </w:rPr>
        <w:t>.</w:t>
      </w:r>
    </w:p>
    <w:p w14:paraId="22A39AF7" w14:textId="77777777" w:rsidR="00C34D0C" w:rsidRPr="002B2A73" w:rsidRDefault="00C34D0C" w:rsidP="00C34D0C">
      <w:pPr>
        <w:pStyle w:val="Heading1"/>
        <w:rPr>
          <w:sz w:val="32"/>
          <w:szCs w:val="32"/>
          <w:lang w:val="en-US"/>
        </w:rPr>
      </w:pPr>
      <w:r w:rsidRPr="002B2A73">
        <w:rPr>
          <w:sz w:val="32"/>
          <w:szCs w:val="32"/>
          <w:lang w:val="en-US"/>
        </w:rPr>
        <w:t>SL Synchronization Transmission</w:t>
      </w:r>
    </w:p>
    <w:p w14:paraId="797CB471" w14:textId="420C4086" w:rsidR="00C34D0C" w:rsidRDefault="00C34D0C" w:rsidP="00C34D0C">
      <w:r>
        <w:t xml:space="preserve">Like LTE V2X, Synchronous operation within carrier or bandwidth part is preferred. If UEs are not synchronized, the receiving UE may always synchronize to the transmission before communications. This would create additional delays and if the single shot detection fails, </w:t>
      </w:r>
      <w:r w:rsidR="006907D3">
        <w:t xml:space="preserve">it </w:t>
      </w:r>
      <w:r>
        <w:t xml:space="preserve">may result in increased latency of transmission. </w:t>
      </w:r>
    </w:p>
    <w:p w14:paraId="40235487" w14:textId="7252529D" w:rsidR="00C34D0C" w:rsidRDefault="007959DF" w:rsidP="00C34D0C">
      <w:r>
        <w:t>One option</w:t>
      </w:r>
      <w:r w:rsidR="00C34D0C">
        <w:t xml:space="preserve"> may be to transmit </w:t>
      </w:r>
      <w:r w:rsidR="00C34D0C" w:rsidRPr="00265628">
        <w:t xml:space="preserve">SLSS/PSBCH </w:t>
      </w:r>
      <w:r w:rsidR="00C34D0C">
        <w:t xml:space="preserve">depending on the measurement e.g., RSRP measurement. </w:t>
      </w:r>
      <w:r w:rsidR="00C34D0C" w:rsidRPr="00265628">
        <w:t xml:space="preserve">SLSS/PSBCH </w:t>
      </w:r>
      <w:r w:rsidR="00C34D0C">
        <w:t xml:space="preserve">transmission parameters e.g., periodicity, duration, </w:t>
      </w:r>
      <w:r>
        <w:t xml:space="preserve">offset, </w:t>
      </w:r>
      <w:r w:rsidR="00C34D0C">
        <w:t xml:space="preserve">etc may be configured or may be dependent on the vehicle or UE measurements. In addition, association for SL-SSB transmission and SL-SSB transmission threshold may be used. Multi-level thresholds triggered SL-SSB transmission may be considered. </w:t>
      </w:r>
      <w:r>
        <w:t>M</w:t>
      </w:r>
      <w:r w:rsidR="00C34D0C">
        <w:t>ulti-level thresholds may be used to trigger the SL-SSB transmission. SL-SSB transmission periodicity</w:t>
      </w:r>
      <w:r w:rsidR="006907D3">
        <w:t>, offset</w:t>
      </w:r>
      <w:r w:rsidR="00C34D0C">
        <w:t xml:space="preserve"> and/or duration may be associated with SL-SSB transmission thresholds. RSRP may be used for measurement. Different SL-SSB transmission parameters may be associated with different SL-SSB transmission thresholds. </w:t>
      </w:r>
      <w:r>
        <w:t>For example, d</w:t>
      </w:r>
      <w:r w:rsidR="00C34D0C">
        <w:t>ifferent SL-SSB periodicity/duration</w:t>
      </w:r>
      <w:r w:rsidR="006907D3">
        <w:t>/offset</w:t>
      </w:r>
      <w:r w:rsidR="00C34D0C">
        <w:t xml:space="preserve"> may be associated with different RSRP thresholds. SL-SSB periodicity/duration</w:t>
      </w:r>
      <w:r w:rsidR="006907D3">
        <w:t>/offset</w:t>
      </w:r>
      <w:r w:rsidR="00C34D0C">
        <w:t xml:space="preserve"> A may be associated with RSRP threshold 1, SL-SSB periodicity/duration</w:t>
      </w:r>
      <w:r w:rsidR="006907D3">
        <w:t>/offset</w:t>
      </w:r>
      <w:r w:rsidR="00C34D0C">
        <w:t xml:space="preserve"> B may be associated with RSRP threshold 2, and so on. UE may perf</w:t>
      </w:r>
      <w:r>
        <w:t>orm the measurement for</w:t>
      </w:r>
      <w:r w:rsidR="00C34D0C">
        <w:t xml:space="preserve"> RSRP. If RSRP is greater than one threshold, then UE may be triggered to transmit SL-SSB usin</w:t>
      </w:r>
      <w:r w:rsidR="006907D3">
        <w:t xml:space="preserve">g a transmission periodicity A1, </w:t>
      </w:r>
      <w:r w:rsidR="00C34D0C">
        <w:t>duration A2</w:t>
      </w:r>
      <w:r w:rsidR="006907D3">
        <w:t xml:space="preserve"> and offset A3</w:t>
      </w:r>
      <w:r w:rsidR="00C34D0C">
        <w:t>. If RSRP is greater than another threshold, then UE may be triggered to transmit SL-SSB using a tr</w:t>
      </w:r>
      <w:r w:rsidR="006907D3">
        <w:t>ansmission periodicity B1,</w:t>
      </w:r>
      <w:r w:rsidR="00C34D0C">
        <w:t xml:space="preserve"> duration B2, </w:t>
      </w:r>
      <w:r w:rsidR="006907D3">
        <w:t xml:space="preserve">offset B3, </w:t>
      </w:r>
      <w:r w:rsidR="00C34D0C">
        <w:t xml:space="preserve">and so on. </w:t>
      </w:r>
    </w:p>
    <w:p w14:paraId="128CF752" w14:textId="587CB427" w:rsidR="00C34D0C" w:rsidRDefault="006907D3" w:rsidP="00C34D0C">
      <w:r>
        <w:t>The</w:t>
      </w:r>
      <w:r w:rsidR="00C34D0C">
        <w:t xml:space="preserve"> measurement based transmission may create an environment, where if gNB or GNSS is not available, if out of coverage UE is near by</w:t>
      </w:r>
      <w:r>
        <w:t xml:space="preserve"> in coverage V2X capable UE, i</w:t>
      </w:r>
      <w:r w:rsidR="00C34D0C">
        <w:t xml:space="preserve">t will receive </w:t>
      </w:r>
      <w:r w:rsidR="00C34D0C" w:rsidRPr="00265628">
        <w:t>SLSS/PSBCH</w:t>
      </w:r>
      <w:r w:rsidR="00C34D0C">
        <w:t xml:space="preserve"> block before it needs to transmit or receive data.</w:t>
      </w:r>
      <w:r w:rsidRPr="006907D3">
        <w:t xml:space="preserve"> </w:t>
      </w:r>
      <w:r>
        <w:t xml:space="preserve">SL-SSB </w:t>
      </w:r>
      <w:r w:rsidR="002E7C4B">
        <w:t xml:space="preserve">transmission </w:t>
      </w:r>
      <w:r>
        <w:t xml:space="preserve">periodicity, duration, offset, etc may also be configured for different UEs by NW.  </w:t>
      </w:r>
      <w:r w:rsidR="00C34D0C">
        <w:t xml:space="preserve">   </w:t>
      </w:r>
    </w:p>
    <w:p w14:paraId="431816C2" w14:textId="77777777" w:rsidR="007959DF" w:rsidRPr="007959DF" w:rsidRDefault="007959DF" w:rsidP="00C34D0C"/>
    <w:p w14:paraId="45265C70" w14:textId="77777777" w:rsidR="00A602D6" w:rsidRPr="002B1746" w:rsidRDefault="00A602D6" w:rsidP="00A602D6">
      <w:pPr>
        <w:pStyle w:val="Heading1"/>
        <w:rPr>
          <w:sz w:val="32"/>
          <w:szCs w:val="32"/>
          <w:lang w:val="en-US"/>
        </w:rPr>
      </w:pPr>
      <w:r w:rsidRPr="002B1746">
        <w:rPr>
          <w:sz w:val="32"/>
          <w:szCs w:val="32"/>
          <w:lang w:val="en-US"/>
        </w:rPr>
        <w:t xml:space="preserve">Sidelink Capacity Enhancement </w:t>
      </w:r>
    </w:p>
    <w:p w14:paraId="6BB513B2" w14:textId="77777777" w:rsidR="00A602D6" w:rsidRPr="003B199B" w:rsidRDefault="00A602D6" w:rsidP="00A602D6">
      <w:r w:rsidRPr="003B199B">
        <w:t xml:space="preserve">The LTE V2X supports </w:t>
      </w:r>
      <w:r>
        <w:t>336</w:t>
      </w:r>
      <w:r w:rsidRPr="003B199B">
        <w:t xml:space="preserve"> Sidelink ID</w:t>
      </w:r>
      <w:r>
        <w:t>s</w:t>
      </w:r>
      <w:r w:rsidRPr="003B199B">
        <w:t xml:space="preserve"> (SLI)</w:t>
      </w:r>
      <w:r>
        <w:t>.</w:t>
      </w:r>
      <w:r w:rsidRPr="003B199B">
        <w:t xml:space="preserve"> </w:t>
      </w:r>
      <w:r>
        <w:t>Half</w:t>
      </w:r>
      <w:r w:rsidRPr="003B199B">
        <w:t xml:space="preserve"> of these ID</w:t>
      </w:r>
      <w:r>
        <w:t>s</w:t>
      </w:r>
      <w:r w:rsidRPr="003B199B">
        <w:t xml:space="preserve"> </w:t>
      </w:r>
      <w:r>
        <w:t>(168) represent InCoverage status</w:t>
      </w:r>
      <w:r w:rsidRPr="003B199B">
        <w:t xml:space="preserve"> and </w:t>
      </w:r>
      <w:r>
        <w:t>the other half represent OutO</w:t>
      </w:r>
      <w:r w:rsidRPr="003B199B">
        <w:t>f</w:t>
      </w:r>
      <w:r>
        <w:t xml:space="preserve">Coverage status. This coverage status is indicated using PSSS and the indexing for one of the 168 IDs is performed by SSSS. </w:t>
      </w:r>
      <w:r w:rsidRPr="003B199B">
        <w:t xml:space="preserve">NR V2X </w:t>
      </w:r>
      <w:r>
        <w:t>r</w:t>
      </w:r>
      <w:r w:rsidRPr="003B199B">
        <w:t xml:space="preserve">equirements are different from those of LTE V2X. To support higher bandwidth, reliability, flexibility and higher density of vehicles and users for NR V2X services, </w:t>
      </w:r>
      <w:r>
        <w:t xml:space="preserve">the </w:t>
      </w:r>
      <w:r w:rsidRPr="003B199B">
        <w:t xml:space="preserve">existing LTE SLSS may not be suitable. </w:t>
      </w:r>
      <w:r w:rsidRPr="00283C4D">
        <w:t>Sidelink capacity for NR-V2X may need to be incr</w:t>
      </w:r>
      <w:r>
        <w:t>e</w:t>
      </w:r>
      <w:r w:rsidRPr="00283C4D">
        <w:t xml:space="preserve">ased as compared to LTE V2X. </w:t>
      </w:r>
      <w:r>
        <w:t>The way the</w:t>
      </w:r>
      <w:r w:rsidRPr="00283C4D">
        <w:t xml:space="preserve"> number of Cell IDs </w:t>
      </w:r>
      <w:r>
        <w:t>wa</w:t>
      </w:r>
      <w:r w:rsidRPr="00283C4D">
        <w:t xml:space="preserve">s required to be increased in NR to support higher density of cells (e.g., doubled to 1008 in NR from 504 in LTE) when migrating to NR from LTE, </w:t>
      </w:r>
      <w:r>
        <w:t xml:space="preserve">the </w:t>
      </w:r>
      <w:r w:rsidRPr="00283C4D">
        <w:t xml:space="preserve">number of sidelink identities may also </w:t>
      </w:r>
      <w:r>
        <w:t>need</w:t>
      </w:r>
      <w:r w:rsidRPr="00283C4D">
        <w:t xml:space="preserve"> to be increased (e.g., increase</w:t>
      </w:r>
      <w:r>
        <w:t>d</w:t>
      </w:r>
      <w:r w:rsidRPr="00283C4D">
        <w:t xml:space="preserve"> from </w:t>
      </w:r>
      <w:r>
        <w:t xml:space="preserve">the </w:t>
      </w:r>
      <w:r w:rsidRPr="00283C4D">
        <w:t xml:space="preserve">current 336) </w:t>
      </w:r>
      <w:r>
        <w:t xml:space="preserve">for the support </w:t>
      </w:r>
      <w:r w:rsidRPr="00283C4D">
        <w:t>the higher density of vehicles and users for</w:t>
      </w:r>
      <w:r>
        <w:t xml:space="preserve"> NR V2X services and/or the potentially different coverage and indication status. </w:t>
      </w:r>
      <w:r w:rsidRPr="003B199B">
        <w:t>Therefore, sidelink capacity enhancement methods should be studied for NR V2X</w:t>
      </w:r>
      <w:r>
        <w:t>.</w:t>
      </w:r>
    </w:p>
    <w:p w14:paraId="07E6123D" w14:textId="77777777" w:rsidR="00C34D0C" w:rsidRPr="0056053E" w:rsidRDefault="00C34D0C" w:rsidP="00C34D0C"/>
    <w:p w14:paraId="20566A68" w14:textId="77777777" w:rsidR="00C34D0C" w:rsidRPr="00BD114B" w:rsidRDefault="00C34D0C" w:rsidP="00C34D0C">
      <w:pPr>
        <w:pStyle w:val="Heading1"/>
        <w:rPr>
          <w:sz w:val="32"/>
          <w:szCs w:val="32"/>
          <w:lang w:val="en-US"/>
        </w:rPr>
      </w:pPr>
      <w:r w:rsidRPr="00BD114B">
        <w:rPr>
          <w:sz w:val="32"/>
          <w:szCs w:val="32"/>
          <w:lang w:val="en-US"/>
        </w:rPr>
        <w:t>Conclusions</w:t>
      </w:r>
    </w:p>
    <w:p w14:paraId="2E3CCCC2" w14:textId="77777777" w:rsidR="00C34D0C" w:rsidRPr="004D6045" w:rsidRDefault="00C34D0C" w:rsidP="00C34D0C">
      <w:pPr>
        <w:rPr>
          <w:lang w:val="nl-NL"/>
        </w:rPr>
      </w:pPr>
      <w:r w:rsidRPr="00BB3EA2">
        <w:t xml:space="preserve">In this contribution, we </w:t>
      </w:r>
      <w:r>
        <w:t xml:space="preserve">considered the new use cases for NR V2X and </w:t>
      </w:r>
      <w:r w:rsidRPr="00BB3EA2">
        <w:t>discuss</w:t>
      </w:r>
      <w:r>
        <w:t>ed</w:t>
      </w:r>
      <w:r w:rsidRPr="00BB3EA2">
        <w:t xml:space="preserve"> </w:t>
      </w:r>
      <w:r>
        <w:t xml:space="preserve">the aspects related to synchronization for NR V2X. </w:t>
      </w:r>
      <w:r>
        <w:rPr>
          <w:lang w:val="nl-NL"/>
        </w:rPr>
        <w:t>W</w:t>
      </w:r>
      <w:r>
        <w:t>e have following proposals:</w:t>
      </w:r>
      <w:r w:rsidRPr="00283C4D">
        <w:t xml:space="preserve"> </w:t>
      </w:r>
    </w:p>
    <w:p w14:paraId="710144AB" w14:textId="77777777" w:rsidR="002F093C" w:rsidRDefault="002F093C" w:rsidP="002F093C">
      <w:pPr>
        <w:rPr>
          <w:i/>
        </w:rPr>
      </w:pPr>
      <w:r w:rsidRPr="000549D8">
        <w:rPr>
          <w:b/>
          <w:i/>
          <w:u w:val="single"/>
        </w:rPr>
        <w:t>Proposal 1</w:t>
      </w:r>
      <w:r w:rsidRPr="00283C4D">
        <w:rPr>
          <w:b/>
          <w:i/>
        </w:rPr>
        <w:t xml:space="preserve">: </w:t>
      </w:r>
      <w:r w:rsidRPr="00283C4D">
        <w:rPr>
          <w:i/>
        </w:rPr>
        <w:t>Unified synchronization struct</w:t>
      </w:r>
      <w:r>
        <w:rPr>
          <w:i/>
        </w:rPr>
        <w:t>u</w:t>
      </w:r>
      <w:r w:rsidRPr="00283C4D">
        <w:rPr>
          <w:i/>
        </w:rPr>
        <w:t>re</w:t>
      </w:r>
      <w:r>
        <w:rPr>
          <w:i/>
        </w:rPr>
        <w:t xml:space="preserve"> and procedure</w:t>
      </w:r>
      <w:r w:rsidRPr="00283C4D">
        <w:rPr>
          <w:i/>
        </w:rPr>
        <w:t xml:space="preserve"> to support beam-centric design for FR1 and FR2 should be </w:t>
      </w:r>
      <w:r>
        <w:rPr>
          <w:i/>
        </w:rPr>
        <w:t>considered for NR V2X Sidelink Synchronization</w:t>
      </w:r>
      <w:r w:rsidRPr="00283C4D">
        <w:rPr>
          <w:i/>
        </w:rPr>
        <w:t xml:space="preserve">. </w:t>
      </w:r>
    </w:p>
    <w:p w14:paraId="3AEE4D4F" w14:textId="77777777" w:rsidR="002F093C" w:rsidRPr="00283C4D" w:rsidRDefault="002F093C" w:rsidP="002F093C">
      <w:pPr>
        <w:rPr>
          <w:i/>
        </w:rPr>
      </w:pPr>
      <w:r w:rsidRPr="000549D8">
        <w:rPr>
          <w:b/>
          <w:i/>
          <w:u w:val="single"/>
        </w:rPr>
        <w:t>Proposal 2</w:t>
      </w:r>
      <w:r w:rsidRPr="00283C4D">
        <w:rPr>
          <w:b/>
          <w:i/>
        </w:rPr>
        <w:t xml:space="preserve">: </w:t>
      </w:r>
      <w:r w:rsidRPr="00283C4D">
        <w:rPr>
          <w:i/>
        </w:rPr>
        <w:t>NR V2X SLSS should use NR SS/PBCH block as a starting point.</w:t>
      </w:r>
    </w:p>
    <w:p w14:paraId="1A452CFE" w14:textId="77777777" w:rsidR="002F093C" w:rsidRDefault="002F093C" w:rsidP="002F093C">
      <w:pPr>
        <w:rPr>
          <w:i/>
        </w:rPr>
      </w:pPr>
      <w:r w:rsidRPr="000549D8">
        <w:rPr>
          <w:b/>
          <w:i/>
          <w:u w:val="single"/>
        </w:rPr>
        <w:t>Proposal 3</w:t>
      </w:r>
      <w:r w:rsidRPr="00283C4D">
        <w:rPr>
          <w:b/>
          <w:i/>
        </w:rPr>
        <w:t xml:space="preserve">: </w:t>
      </w:r>
      <w:r>
        <w:rPr>
          <w:i/>
        </w:rPr>
        <w:t>SyncRef selection</w:t>
      </w:r>
      <w:r w:rsidRPr="00283C4D">
        <w:rPr>
          <w:i/>
        </w:rPr>
        <w:t xml:space="preserve"> methods </w:t>
      </w:r>
      <w:r>
        <w:rPr>
          <w:i/>
        </w:rPr>
        <w:t xml:space="preserve">and procedures </w:t>
      </w:r>
      <w:r w:rsidRPr="00283C4D">
        <w:rPr>
          <w:i/>
        </w:rPr>
        <w:t xml:space="preserve">should be studied for NR V2X. </w:t>
      </w:r>
    </w:p>
    <w:p w14:paraId="32A8226A" w14:textId="77777777" w:rsidR="002F093C" w:rsidRDefault="002F093C" w:rsidP="002F093C">
      <w:pPr>
        <w:rPr>
          <w:i/>
        </w:rPr>
      </w:pPr>
      <w:r w:rsidRPr="000549D8">
        <w:rPr>
          <w:b/>
          <w:i/>
          <w:u w:val="single"/>
        </w:rPr>
        <w:t>Proposal 4</w:t>
      </w:r>
      <w:r w:rsidRPr="00283C4D">
        <w:rPr>
          <w:b/>
          <w:i/>
        </w:rPr>
        <w:t xml:space="preserve">: </w:t>
      </w:r>
      <w:r>
        <w:rPr>
          <w:i/>
        </w:rPr>
        <w:t>Priority</w:t>
      </w:r>
      <w:r w:rsidRPr="00283C4D">
        <w:rPr>
          <w:i/>
        </w:rPr>
        <w:t xml:space="preserve"> </w:t>
      </w:r>
      <w:r>
        <w:rPr>
          <w:i/>
        </w:rPr>
        <w:t>and measurement can</w:t>
      </w:r>
      <w:r w:rsidRPr="00283C4D">
        <w:rPr>
          <w:i/>
        </w:rPr>
        <w:t xml:space="preserve"> be </w:t>
      </w:r>
      <w:r>
        <w:rPr>
          <w:i/>
        </w:rPr>
        <w:t>jointly considered</w:t>
      </w:r>
      <w:r w:rsidRPr="00283C4D">
        <w:rPr>
          <w:i/>
        </w:rPr>
        <w:t xml:space="preserve"> </w:t>
      </w:r>
      <w:r>
        <w:rPr>
          <w:i/>
        </w:rPr>
        <w:t>for</w:t>
      </w:r>
      <w:r w:rsidRPr="00283C4D">
        <w:rPr>
          <w:i/>
        </w:rPr>
        <w:t xml:space="preserve"> </w:t>
      </w:r>
      <w:r>
        <w:rPr>
          <w:i/>
        </w:rPr>
        <w:t xml:space="preserve">platoon sidelink synchronization in </w:t>
      </w:r>
      <w:r w:rsidRPr="00283C4D">
        <w:rPr>
          <w:i/>
        </w:rPr>
        <w:t xml:space="preserve">NR V2X. </w:t>
      </w:r>
    </w:p>
    <w:p w14:paraId="4EBE9F1A" w14:textId="77777777" w:rsidR="002F093C" w:rsidRPr="000549D8" w:rsidRDefault="002F093C" w:rsidP="002F093C">
      <w:pPr>
        <w:pStyle w:val="BodyText"/>
        <w:rPr>
          <w:rFonts w:ascii="Times New Roman" w:hAnsi="Times New Roman"/>
          <w:i/>
        </w:rPr>
      </w:pPr>
      <w:r w:rsidRPr="000549D8">
        <w:rPr>
          <w:rFonts w:ascii="Times New Roman" w:hAnsi="Times New Roman"/>
          <w:b/>
          <w:i/>
          <w:u w:val="single"/>
        </w:rPr>
        <w:t>Proposal 5</w:t>
      </w:r>
      <w:r w:rsidRPr="000549D8">
        <w:rPr>
          <w:rFonts w:ascii="Times New Roman" w:hAnsi="Times New Roman"/>
          <w:b/>
          <w:i/>
        </w:rPr>
        <w:t xml:space="preserve">: </w:t>
      </w:r>
      <w:r w:rsidRPr="000549D8">
        <w:rPr>
          <w:rFonts w:ascii="Times New Roman" w:hAnsi="Times New Roman"/>
          <w:i/>
        </w:rPr>
        <w:t>NR V2X SLSS should consider reduction of latency and complexity arising from periodic beam sweeping overhead.</w:t>
      </w:r>
    </w:p>
    <w:p w14:paraId="24601A1C" w14:textId="77777777" w:rsidR="00C34D0C" w:rsidRDefault="00C34D0C" w:rsidP="00C34D0C">
      <w:pPr>
        <w:rPr>
          <w:i/>
        </w:rPr>
      </w:pPr>
    </w:p>
    <w:p w14:paraId="15D67865" w14:textId="77777777" w:rsidR="00C34D0C" w:rsidRPr="00C85D19" w:rsidRDefault="00C34D0C" w:rsidP="00C34D0C">
      <w:pPr>
        <w:pStyle w:val="Heading1"/>
        <w:numPr>
          <w:ilvl w:val="0"/>
          <w:numId w:val="0"/>
        </w:numPr>
        <w:ind w:left="432" w:hanging="432"/>
        <w:rPr>
          <w:sz w:val="32"/>
          <w:lang w:val="en-US"/>
        </w:rPr>
      </w:pPr>
      <w:r w:rsidRPr="00077CF3">
        <w:rPr>
          <w:sz w:val="32"/>
          <w:lang w:val="en-US"/>
        </w:rPr>
        <w:t>References</w:t>
      </w:r>
    </w:p>
    <w:p w14:paraId="5FD57476" w14:textId="31001D9D" w:rsidR="00C34D0C" w:rsidRPr="0083753A" w:rsidRDefault="0083753A" w:rsidP="00C34D0C">
      <w:pPr>
        <w:pStyle w:val="Header"/>
        <w:widowControl/>
        <w:numPr>
          <w:ilvl w:val="0"/>
          <w:numId w:val="40"/>
        </w:numPr>
        <w:suppressAutoHyphens/>
        <w:overflowPunct/>
        <w:autoSpaceDE/>
        <w:autoSpaceDN/>
        <w:adjustRightInd/>
        <w:spacing w:line="360" w:lineRule="auto"/>
        <w:textAlignment w:val="auto"/>
        <w:rPr>
          <w:rFonts w:ascii="Times New Roman" w:hAnsi="Times New Roman" w:cs="Times New Roman"/>
          <w:b w:val="0"/>
          <w:sz w:val="22"/>
          <w:szCs w:val="22"/>
        </w:rPr>
      </w:pPr>
      <w:bookmarkStart w:id="3" w:name="_Ref513201801"/>
      <w:bookmarkStart w:id="4" w:name="_Ref174151459"/>
      <w:bookmarkStart w:id="5" w:name="_Ref189809556"/>
      <w:bookmarkStart w:id="6" w:name="_Ref525922457"/>
      <w:bookmarkStart w:id="7" w:name="_Ref521074599"/>
      <w:bookmarkStart w:id="8" w:name="_Ref454463762"/>
      <w:r w:rsidRPr="0083753A">
        <w:rPr>
          <w:rFonts w:ascii="Times New Roman" w:hAnsi="Times New Roman" w:cs="Times New Roman"/>
          <w:b w:val="0"/>
          <w:sz w:val="22"/>
          <w:szCs w:val="22"/>
        </w:rPr>
        <w:t xml:space="preserve">Chairman’s notes, 3GPP TSG RAN WG1#94, </w:t>
      </w:r>
      <w:bookmarkEnd w:id="3"/>
      <w:bookmarkEnd w:id="4"/>
      <w:bookmarkEnd w:id="5"/>
      <w:r w:rsidRPr="0083753A">
        <w:rPr>
          <w:rFonts w:ascii="Times New Roman" w:hAnsi="Times New Roman" w:cs="Times New Roman"/>
          <w:b w:val="0"/>
          <w:sz w:val="22"/>
          <w:szCs w:val="22"/>
        </w:rPr>
        <w:t>Gothenburg, Sweden, August 20th – 24th, 2018</w:t>
      </w:r>
      <w:bookmarkEnd w:id="6"/>
    </w:p>
    <w:p w14:paraId="1AE1AE6F" w14:textId="77777777" w:rsidR="00C34D0C" w:rsidRPr="0083753A" w:rsidRDefault="00C34D0C" w:rsidP="00C34D0C">
      <w:pPr>
        <w:pStyle w:val="Header"/>
        <w:widowControl/>
        <w:numPr>
          <w:ilvl w:val="0"/>
          <w:numId w:val="40"/>
        </w:numPr>
        <w:suppressAutoHyphens/>
        <w:overflowPunct/>
        <w:autoSpaceDE/>
        <w:autoSpaceDN/>
        <w:adjustRightInd/>
        <w:spacing w:line="360" w:lineRule="auto"/>
        <w:textAlignment w:val="auto"/>
        <w:rPr>
          <w:rFonts w:ascii="Times New Roman" w:hAnsi="Times New Roman" w:cs="Times New Roman"/>
          <w:b w:val="0"/>
          <w:sz w:val="22"/>
          <w:szCs w:val="22"/>
        </w:rPr>
      </w:pPr>
      <w:r w:rsidRPr="0083753A">
        <w:rPr>
          <w:rFonts w:ascii="Times New Roman" w:hAnsi="Times New Roman" w:cs="Times New Roman"/>
          <w:b w:val="0"/>
          <w:sz w:val="22"/>
          <w:szCs w:val="22"/>
        </w:rPr>
        <w:t>RP-181480: New SID: Study on NR V2X</w:t>
      </w:r>
      <w:bookmarkEnd w:id="7"/>
      <w:r w:rsidRPr="0083753A">
        <w:rPr>
          <w:rFonts w:ascii="Times New Roman" w:hAnsi="Times New Roman" w:cs="Times New Roman"/>
          <w:b w:val="0"/>
          <w:sz w:val="22"/>
          <w:szCs w:val="22"/>
        </w:rPr>
        <w:t xml:space="preserve"> </w:t>
      </w:r>
    </w:p>
    <w:p w14:paraId="5EED8A73" w14:textId="77777777" w:rsidR="00C34D0C" w:rsidRPr="0083753A" w:rsidRDefault="00C34D0C" w:rsidP="00C34D0C">
      <w:pPr>
        <w:pStyle w:val="Header"/>
        <w:widowControl/>
        <w:numPr>
          <w:ilvl w:val="0"/>
          <w:numId w:val="40"/>
        </w:numPr>
        <w:suppressAutoHyphens/>
        <w:overflowPunct/>
        <w:autoSpaceDE/>
        <w:autoSpaceDN/>
        <w:adjustRightInd/>
        <w:spacing w:line="360" w:lineRule="auto"/>
        <w:textAlignment w:val="auto"/>
        <w:rPr>
          <w:rFonts w:ascii="Times New Roman" w:hAnsi="Times New Roman" w:cs="Times New Roman"/>
          <w:b w:val="0"/>
          <w:sz w:val="22"/>
          <w:szCs w:val="22"/>
        </w:rPr>
      </w:pPr>
      <w:bookmarkStart w:id="9" w:name="_Ref521074807"/>
      <w:r w:rsidRPr="0083753A">
        <w:rPr>
          <w:rFonts w:ascii="Times New Roman" w:hAnsi="Times New Roman" w:cs="Times New Roman"/>
          <w:b w:val="0"/>
          <w:sz w:val="22"/>
          <w:szCs w:val="22"/>
        </w:rPr>
        <w:t>3GPP TR 22.886 Study on enhancement of 3GPP Support for 5G V2X Services</w:t>
      </w:r>
      <w:bookmarkEnd w:id="9"/>
    </w:p>
    <w:p w14:paraId="59E54B79" w14:textId="77777777" w:rsidR="00C34D0C" w:rsidRPr="0083753A" w:rsidRDefault="00C34D0C" w:rsidP="00C34D0C">
      <w:pPr>
        <w:pStyle w:val="Header"/>
        <w:widowControl/>
        <w:numPr>
          <w:ilvl w:val="0"/>
          <w:numId w:val="40"/>
        </w:numPr>
        <w:suppressAutoHyphens/>
        <w:overflowPunct/>
        <w:autoSpaceDE/>
        <w:autoSpaceDN/>
        <w:adjustRightInd/>
        <w:spacing w:line="360" w:lineRule="auto"/>
        <w:textAlignment w:val="auto"/>
        <w:rPr>
          <w:rFonts w:ascii="Times New Roman" w:hAnsi="Times New Roman" w:cs="Times New Roman"/>
          <w:b w:val="0"/>
          <w:sz w:val="22"/>
          <w:szCs w:val="22"/>
        </w:rPr>
      </w:pPr>
      <w:bookmarkStart w:id="10" w:name="_Ref525828434"/>
      <w:r w:rsidRPr="0083753A">
        <w:rPr>
          <w:rFonts w:ascii="Times New Roman" w:hAnsi="Times New Roman" w:cs="Times New Roman"/>
          <w:b w:val="0"/>
          <w:sz w:val="22"/>
          <w:szCs w:val="22"/>
        </w:rPr>
        <w:t>R1-1809818, “Summary of Offline Discussion on Sidelink Synchronization in NR V2X”, CATT</w:t>
      </w:r>
      <w:bookmarkEnd w:id="10"/>
    </w:p>
    <w:bookmarkEnd w:id="8"/>
    <w:p w14:paraId="4C8D37CC" w14:textId="77777777" w:rsidR="00C34D0C" w:rsidRPr="0030109D" w:rsidRDefault="00C34D0C" w:rsidP="00C34D0C"/>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2DD31" w14:textId="77777777" w:rsidR="00C1737C" w:rsidRDefault="00C1737C">
      <w:r>
        <w:separator/>
      </w:r>
    </w:p>
  </w:endnote>
  <w:endnote w:type="continuationSeparator" w:id="0">
    <w:p w14:paraId="59839C3C" w14:textId="77777777" w:rsidR="00C1737C" w:rsidRDefault="00C1737C">
      <w:r>
        <w:continuationSeparator/>
      </w:r>
    </w:p>
  </w:endnote>
  <w:endnote w:type="continuationNotice" w:id="1">
    <w:p w14:paraId="0A9626D1" w14:textId="77777777" w:rsidR="00C1737C" w:rsidRDefault="00C173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74DA23CC"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E2F3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2F3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6B9E7" w14:textId="77777777" w:rsidR="00C1737C" w:rsidRDefault="00C1737C">
      <w:r>
        <w:separator/>
      </w:r>
    </w:p>
  </w:footnote>
  <w:footnote w:type="continuationSeparator" w:id="0">
    <w:p w14:paraId="0E55FC9A" w14:textId="77777777" w:rsidR="00C1737C" w:rsidRDefault="00C1737C">
      <w:r>
        <w:continuationSeparator/>
      </w:r>
    </w:p>
  </w:footnote>
  <w:footnote w:type="continuationNotice" w:id="1">
    <w:p w14:paraId="0AC73EC9" w14:textId="77777777" w:rsidR="00C1737C" w:rsidRDefault="00C173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392B0D"/>
    <w:multiLevelType w:val="multilevel"/>
    <w:tmpl w:val="A6E42C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9146B9"/>
    <w:multiLevelType w:val="hybridMultilevel"/>
    <w:tmpl w:val="F11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611A7"/>
    <w:multiLevelType w:val="hybridMultilevel"/>
    <w:tmpl w:val="F44A4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9F8273C"/>
    <w:multiLevelType w:val="hybridMultilevel"/>
    <w:tmpl w:val="A1B64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B84B8E"/>
    <w:multiLevelType w:val="multilevel"/>
    <w:tmpl w:val="5F4ECD7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431E1391"/>
    <w:multiLevelType w:val="hybridMultilevel"/>
    <w:tmpl w:val="C58AF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4" w15:restartNumberingAfterBreak="0">
    <w:nsid w:val="47084521"/>
    <w:multiLevelType w:val="hybridMultilevel"/>
    <w:tmpl w:val="A16A0142"/>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0E5CC6"/>
    <w:multiLevelType w:val="hybridMultilevel"/>
    <w:tmpl w:val="C4B04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177A9"/>
    <w:multiLevelType w:val="hybridMultilevel"/>
    <w:tmpl w:val="E0F6B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850DDC"/>
    <w:multiLevelType w:val="hybridMultilevel"/>
    <w:tmpl w:val="D35E3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A000C7"/>
    <w:multiLevelType w:val="hybridMultilevel"/>
    <w:tmpl w:val="165C1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9D7544"/>
    <w:multiLevelType w:val="hybridMultilevel"/>
    <w:tmpl w:val="2BB4E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25"/>
  </w:num>
  <w:num w:numId="3">
    <w:abstractNumId w:val="16"/>
  </w:num>
  <w:num w:numId="4">
    <w:abstractNumId w:val="17"/>
  </w:num>
  <w:num w:numId="5">
    <w:abstractNumId w:val="10"/>
  </w:num>
  <w:num w:numId="6">
    <w:abstractNumId w:val="21"/>
  </w:num>
  <w:num w:numId="7">
    <w:abstractNumId w:val="26"/>
  </w:num>
  <w:num w:numId="8">
    <w:abstractNumId w:val="11"/>
  </w:num>
  <w:num w:numId="9">
    <w:abstractNumId w:val="31"/>
  </w:num>
  <w:num w:numId="10">
    <w:abstractNumId w:val="13"/>
  </w:num>
  <w:num w:numId="11">
    <w:abstractNumId w:val="9"/>
  </w:num>
  <w:num w:numId="12">
    <w:abstractNumId w:val="3"/>
  </w:num>
  <w:num w:numId="13">
    <w:abstractNumId w:val="8"/>
  </w:num>
  <w:num w:numId="14">
    <w:abstractNumId w:val="23"/>
  </w:num>
  <w:num w:numId="15">
    <w:abstractNumId w:val="18"/>
  </w:num>
  <w:num w:numId="16">
    <w:abstractNumId w:val="22"/>
  </w:num>
  <w:num w:numId="17">
    <w:abstractNumId w:val="5"/>
  </w:num>
  <w:num w:numId="18">
    <w:abstractNumId w:val="19"/>
  </w:num>
  <w:num w:numId="19">
    <w:abstractNumId w:val="27"/>
  </w:num>
  <w:num w:numId="20">
    <w:abstractNumId w:val="14"/>
  </w:num>
  <w:num w:numId="21">
    <w:abstractNumId w:val="6"/>
  </w:num>
  <w:num w:numId="22">
    <w:abstractNumId w:val="30"/>
  </w:num>
  <w:num w:numId="23">
    <w:abstractNumId w:val="20"/>
  </w:num>
  <w:num w:numId="24">
    <w:abstractNumId w:val="4"/>
  </w:num>
  <w:num w:numId="25">
    <w:abstractNumId w:val="1"/>
  </w:num>
  <w:num w:numId="26">
    <w:abstractNumId w:val="0"/>
  </w:num>
  <w:num w:numId="27">
    <w:abstractNumId w:val="0"/>
  </w:num>
  <w:num w:numId="28">
    <w:abstractNumId w:val="0"/>
  </w:num>
  <w:num w:numId="29">
    <w:abstractNumId w:val="0"/>
  </w:num>
  <w:num w:numId="30">
    <w:abstractNumId w:val="0"/>
  </w:num>
  <w:num w:numId="31">
    <w:abstractNumId w:val="28"/>
  </w:num>
  <w:num w:numId="32">
    <w:abstractNumId w:val="15"/>
    <w:lvlOverride w:ilvl="0">
      <w:startOverride w:val="1"/>
    </w:lvlOverride>
  </w:num>
  <w:num w:numId="33">
    <w:abstractNumId w:val="24"/>
  </w:num>
  <w:num w:numId="34">
    <w:abstractNumId w:val="32"/>
  </w:num>
  <w:num w:numId="35">
    <w:abstractNumId w:val="0"/>
  </w:num>
  <w:num w:numId="36">
    <w:abstractNumId w:val="0"/>
  </w:num>
  <w:num w:numId="37">
    <w:abstractNumId w:val="0"/>
  </w:num>
  <w:num w:numId="38">
    <w:abstractNumId w:val="0"/>
  </w:num>
  <w:num w:numId="39">
    <w:abstractNumId w:val="0"/>
  </w:num>
  <w:num w:numId="40">
    <w:abstractNumId w:val="2"/>
  </w:num>
  <w:num w:numId="41">
    <w:abstractNumId w:val="12"/>
  </w:num>
  <w:num w:numId="42">
    <w:abstractNumId w:val="7"/>
  </w:num>
  <w:num w:numId="43">
    <w:abstractNumId w:val="33"/>
  </w:num>
  <w:num w:numId="44">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446"/>
    <w:rsid w:val="00006647"/>
    <w:rsid w:val="00006896"/>
    <w:rsid w:val="00006DDF"/>
    <w:rsid w:val="00007CDC"/>
    <w:rsid w:val="000104C6"/>
    <w:rsid w:val="000110C9"/>
    <w:rsid w:val="00011B28"/>
    <w:rsid w:val="00011EE8"/>
    <w:rsid w:val="000123D8"/>
    <w:rsid w:val="00012B9F"/>
    <w:rsid w:val="00012C16"/>
    <w:rsid w:val="00014D33"/>
    <w:rsid w:val="00015121"/>
    <w:rsid w:val="000153E9"/>
    <w:rsid w:val="00015D15"/>
    <w:rsid w:val="0001611C"/>
    <w:rsid w:val="0001694D"/>
    <w:rsid w:val="00016AFF"/>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3351"/>
    <w:rsid w:val="000335F3"/>
    <w:rsid w:val="0003410A"/>
    <w:rsid w:val="00034C15"/>
    <w:rsid w:val="00034C9C"/>
    <w:rsid w:val="00035EA8"/>
    <w:rsid w:val="00035F74"/>
    <w:rsid w:val="0003641A"/>
    <w:rsid w:val="00036BA1"/>
    <w:rsid w:val="000405A0"/>
    <w:rsid w:val="00040843"/>
    <w:rsid w:val="00040B78"/>
    <w:rsid w:val="0004149C"/>
    <w:rsid w:val="000422E2"/>
    <w:rsid w:val="00042BE0"/>
    <w:rsid w:val="00042F22"/>
    <w:rsid w:val="000437FA"/>
    <w:rsid w:val="00043DDF"/>
    <w:rsid w:val="00044278"/>
    <w:rsid w:val="000444EF"/>
    <w:rsid w:val="00044A9C"/>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9D8"/>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501B"/>
    <w:rsid w:val="000C50FA"/>
    <w:rsid w:val="000C5206"/>
    <w:rsid w:val="000C606F"/>
    <w:rsid w:val="000C64E6"/>
    <w:rsid w:val="000C6F0F"/>
    <w:rsid w:val="000C6F9D"/>
    <w:rsid w:val="000C7452"/>
    <w:rsid w:val="000D0D07"/>
    <w:rsid w:val="000D162D"/>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80D"/>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C49"/>
    <w:rsid w:val="001E1C78"/>
    <w:rsid w:val="001E217E"/>
    <w:rsid w:val="001E23E4"/>
    <w:rsid w:val="001E2AD7"/>
    <w:rsid w:val="001E2F34"/>
    <w:rsid w:val="001E3F06"/>
    <w:rsid w:val="001E58E2"/>
    <w:rsid w:val="001E5F35"/>
    <w:rsid w:val="001E7AED"/>
    <w:rsid w:val="001F0CCF"/>
    <w:rsid w:val="001F16BA"/>
    <w:rsid w:val="001F232A"/>
    <w:rsid w:val="001F2A63"/>
    <w:rsid w:val="001F2F31"/>
    <w:rsid w:val="001F2FC5"/>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6CE5"/>
    <w:rsid w:val="00207239"/>
    <w:rsid w:val="00207FA3"/>
    <w:rsid w:val="00210C3B"/>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4B"/>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5E"/>
    <w:rsid w:val="00255D36"/>
    <w:rsid w:val="00257543"/>
    <w:rsid w:val="002577E6"/>
    <w:rsid w:val="002602F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C33"/>
    <w:rsid w:val="002E0B37"/>
    <w:rsid w:val="002E0B70"/>
    <w:rsid w:val="002E0BEF"/>
    <w:rsid w:val="002E0F75"/>
    <w:rsid w:val="002E0FDE"/>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4B"/>
    <w:rsid w:val="002E7CAE"/>
    <w:rsid w:val="002E7F8F"/>
    <w:rsid w:val="002F00EE"/>
    <w:rsid w:val="002F07A4"/>
    <w:rsid w:val="002F093C"/>
    <w:rsid w:val="002F1A67"/>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5AF"/>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0D3"/>
    <w:rsid w:val="00361261"/>
    <w:rsid w:val="003616AD"/>
    <w:rsid w:val="0036191B"/>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4F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629"/>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267"/>
    <w:rsid w:val="003F56D3"/>
    <w:rsid w:val="003F5750"/>
    <w:rsid w:val="003F5977"/>
    <w:rsid w:val="003F5B82"/>
    <w:rsid w:val="003F5CA0"/>
    <w:rsid w:val="003F5DCE"/>
    <w:rsid w:val="003F6392"/>
    <w:rsid w:val="003F6B5C"/>
    <w:rsid w:val="003F6BBE"/>
    <w:rsid w:val="003F7152"/>
    <w:rsid w:val="003F77C3"/>
    <w:rsid w:val="003F7B0B"/>
    <w:rsid w:val="003F7E90"/>
    <w:rsid w:val="004000E8"/>
    <w:rsid w:val="004008B0"/>
    <w:rsid w:val="004018A4"/>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3DC"/>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BA5"/>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396"/>
    <w:rsid w:val="005167FF"/>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5D1"/>
    <w:rsid w:val="00554164"/>
    <w:rsid w:val="0055446D"/>
    <w:rsid w:val="00554D8B"/>
    <w:rsid w:val="00554E19"/>
    <w:rsid w:val="00555048"/>
    <w:rsid w:val="0055688F"/>
    <w:rsid w:val="005574AF"/>
    <w:rsid w:val="005577C0"/>
    <w:rsid w:val="00557AE3"/>
    <w:rsid w:val="00560C31"/>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499B"/>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3E90"/>
    <w:rsid w:val="005F40F1"/>
    <w:rsid w:val="005F4108"/>
    <w:rsid w:val="005F589E"/>
    <w:rsid w:val="005F5C6B"/>
    <w:rsid w:val="005F5F41"/>
    <w:rsid w:val="005F618C"/>
    <w:rsid w:val="005F68AB"/>
    <w:rsid w:val="005F70BD"/>
    <w:rsid w:val="005F783A"/>
    <w:rsid w:val="005F7924"/>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07D3"/>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188"/>
    <w:rsid w:val="006962FB"/>
    <w:rsid w:val="00696949"/>
    <w:rsid w:val="00696B8B"/>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7570"/>
    <w:rsid w:val="006A78F3"/>
    <w:rsid w:val="006A7AFF"/>
    <w:rsid w:val="006A7B1D"/>
    <w:rsid w:val="006B040B"/>
    <w:rsid w:val="006B077A"/>
    <w:rsid w:val="006B0EC6"/>
    <w:rsid w:val="006B1816"/>
    <w:rsid w:val="006B1EFE"/>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F40"/>
    <w:rsid w:val="006C03B8"/>
    <w:rsid w:val="006C0BD4"/>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D7"/>
    <w:rsid w:val="006D1544"/>
    <w:rsid w:val="006D305F"/>
    <w:rsid w:val="006D351A"/>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31E"/>
    <w:rsid w:val="007374F9"/>
    <w:rsid w:val="00737564"/>
    <w:rsid w:val="0074063A"/>
    <w:rsid w:val="00740E58"/>
    <w:rsid w:val="00741368"/>
    <w:rsid w:val="0074194F"/>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9DF"/>
    <w:rsid w:val="00795C92"/>
    <w:rsid w:val="00796726"/>
    <w:rsid w:val="00797AFF"/>
    <w:rsid w:val="00797D03"/>
    <w:rsid w:val="007A0313"/>
    <w:rsid w:val="007A0E6E"/>
    <w:rsid w:val="007A1CB3"/>
    <w:rsid w:val="007A23F2"/>
    <w:rsid w:val="007A2553"/>
    <w:rsid w:val="007A27AD"/>
    <w:rsid w:val="007A306F"/>
    <w:rsid w:val="007A43A6"/>
    <w:rsid w:val="007A58A6"/>
    <w:rsid w:val="007A58F1"/>
    <w:rsid w:val="007A5D94"/>
    <w:rsid w:val="007A5EED"/>
    <w:rsid w:val="007A61D2"/>
    <w:rsid w:val="007A6261"/>
    <w:rsid w:val="007A6495"/>
    <w:rsid w:val="007A6F2F"/>
    <w:rsid w:val="007A7053"/>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1E3E"/>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2F11"/>
    <w:rsid w:val="0083391C"/>
    <w:rsid w:val="00833F4B"/>
    <w:rsid w:val="00833FB3"/>
    <w:rsid w:val="00834C82"/>
    <w:rsid w:val="0083565C"/>
    <w:rsid w:val="00835837"/>
    <w:rsid w:val="0083753A"/>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56"/>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6E1"/>
    <w:rsid w:val="008F197A"/>
    <w:rsid w:val="008F19BC"/>
    <w:rsid w:val="008F1EAB"/>
    <w:rsid w:val="008F2C20"/>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533B"/>
    <w:rsid w:val="0092560F"/>
    <w:rsid w:val="00925878"/>
    <w:rsid w:val="00925CBD"/>
    <w:rsid w:val="00927AAE"/>
    <w:rsid w:val="0093085A"/>
    <w:rsid w:val="00931BD9"/>
    <w:rsid w:val="00931F32"/>
    <w:rsid w:val="00932130"/>
    <w:rsid w:val="00932952"/>
    <w:rsid w:val="00933367"/>
    <w:rsid w:val="00933B29"/>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4F9B"/>
    <w:rsid w:val="009559ED"/>
    <w:rsid w:val="0095649A"/>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62F"/>
    <w:rsid w:val="009817BF"/>
    <w:rsid w:val="009818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4D2"/>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98"/>
    <w:rsid w:val="009F64AB"/>
    <w:rsid w:val="009F753B"/>
    <w:rsid w:val="009F7811"/>
    <w:rsid w:val="009F7BDB"/>
    <w:rsid w:val="009F7C5C"/>
    <w:rsid w:val="009F7DAD"/>
    <w:rsid w:val="00A00254"/>
    <w:rsid w:val="00A0026D"/>
    <w:rsid w:val="00A0039D"/>
    <w:rsid w:val="00A021CA"/>
    <w:rsid w:val="00A02C1C"/>
    <w:rsid w:val="00A02D6D"/>
    <w:rsid w:val="00A03F94"/>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2C68"/>
    <w:rsid w:val="00A13DD6"/>
    <w:rsid w:val="00A13E54"/>
    <w:rsid w:val="00A1420D"/>
    <w:rsid w:val="00A144B1"/>
    <w:rsid w:val="00A147FB"/>
    <w:rsid w:val="00A149B8"/>
    <w:rsid w:val="00A15A07"/>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3F4C"/>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2D6"/>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830"/>
    <w:rsid w:val="00AA1D8A"/>
    <w:rsid w:val="00AA1ED6"/>
    <w:rsid w:val="00AA23DA"/>
    <w:rsid w:val="00AA2D9C"/>
    <w:rsid w:val="00AA3748"/>
    <w:rsid w:val="00AA3E87"/>
    <w:rsid w:val="00AA446F"/>
    <w:rsid w:val="00AA51D6"/>
    <w:rsid w:val="00AA5D17"/>
    <w:rsid w:val="00AA6144"/>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ABF"/>
    <w:rsid w:val="00AD7D2A"/>
    <w:rsid w:val="00AD7F4A"/>
    <w:rsid w:val="00AE0416"/>
    <w:rsid w:val="00AE0A60"/>
    <w:rsid w:val="00AE150B"/>
    <w:rsid w:val="00AE1722"/>
    <w:rsid w:val="00AE219C"/>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D81"/>
    <w:rsid w:val="00B02D93"/>
    <w:rsid w:val="00B02FA3"/>
    <w:rsid w:val="00B0308A"/>
    <w:rsid w:val="00B03281"/>
    <w:rsid w:val="00B05084"/>
    <w:rsid w:val="00B05B73"/>
    <w:rsid w:val="00B10737"/>
    <w:rsid w:val="00B10771"/>
    <w:rsid w:val="00B10EEB"/>
    <w:rsid w:val="00B11213"/>
    <w:rsid w:val="00B11379"/>
    <w:rsid w:val="00B1177A"/>
    <w:rsid w:val="00B11D83"/>
    <w:rsid w:val="00B12244"/>
    <w:rsid w:val="00B122E4"/>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588"/>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1E5E"/>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E5D"/>
    <w:rsid w:val="00BD48AC"/>
    <w:rsid w:val="00BD4AE4"/>
    <w:rsid w:val="00BD55BA"/>
    <w:rsid w:val="00BD5762"/>
    <w:rsid w:val="00BD5F1A"/>
    <w:rsid w:val="00BD60FD"/>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8F6"/>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1737C"/>
    <w:rsid w:val="00C226CD"/>
    <w:rsid w:val="00C23EAD"/>
    <w:rsid w:val="00C24AA4"/>
    <w:rsid w:val="00C24D21"/>
    <w:rsid w:val="00C26007"/>
    <w:rsid w:val="00C279B5"/>
    <w:rsid w:val="00C27C45"/>
    <w:rsid w:val="00C27D9F"/>
    <w:rsid w:val="00C27DE0"/>
    <w:rsid w:val="00C3137E"/>
    <w:rsid w:val="00C31BA5"/>
    <w:rsid w:val="00C31D66"/>
    <w:rsid w:val="00C31F74"/>
    <w:rsid w:val="00C32FA7"/>
    <w:rsid w:val="00C331F5"/>
    <w:rsid w:val="00C33200"/>
    <w:rsid w:val="00C3443D"/>
    <w:rsid w:val="00C34465"/>
    <w:rsid w:val="00C348D9"/>
    <w:rsid w:val="00C34D0C"/>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2FB"/>
    <w:rsid w:val="00C728F3"/>
    <w:rsid w:val="00C72EF4"/>
    <w:rsid w:val="00C7412A"/>
    <w:rsid w:val="00C754B3"/>
    <w:rsid w:val="00C754E8"/>
    <w:rsid w:val="00C755E3"/>
    <w:rsid w:val="00C75BC3"/>
    <w:rsid w:val="00C75D2F"/>
    <w:rsid w:val="00C76D90"/>
    <w:rsid w:val="00C76E3C"/>
    <w:rsid w:val="00C77624"/>
    <w:rsid w:val="00C8085D"/>
    <w:rsid w:val="00C810FB"/>
    <w:rsid w:val="00C81568"/>
    <w:rsid w:val="00C816DD"/>
    <w:rsid w:val="00C81F4E"/>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E1A"/>
    <w:rsid w:val="00CA59E2"/>
    <w:rsid w:val="00CA5D20"/>
    <w:rsid w:val="00CA64B8"/>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151"/>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986"/>
    <w:rsid w:val="00CD6B8F"/>
    <w:rsid w:val="00CD6CA5"/>
    <w:rsid w:val="00CD6FCC"/>
    <w:rsid w:val="00CD7B72"/>
    <w:rsid w:val="00CE0744"/>
    <w:rsid w:val="00CE0F52"/>
    <w:rsid w:val="00CE1237"/>
    <w:rsid w:val="00CE1A49"/>
    <w:rsid w:val="00CE1DC1"/>
    <w:rsid w:val="00CE277C"/>
    <w:rsid w:val="00CE292F"/>
    <w:rsid w:val="00CE2B10"/>
    <w:rsid w:val="00CE2C47"/>
    <w:rsid w:val="00CE37E6"/>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3FB0"/>
    <w:rsid w:val="00DB50C5"/>
    <w:rsid w:val="00DB5503"/>
    <w:rsid w:val="00DB59AD"/>
    <w:rsid w:val="00DB6054"/>
    <w:rsid w:val="00DB64EE"/>
    <w:rsid w:val="00DB6783"/>
    <w:rsid w:val="00DB6E10"/>
    <w:rsid w:val="00DB6FD5"/>
    <w:rsid w:val="00DC0827"/>
    <w:rsid w:val="00DC0ACA"/>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AEF"/>
    <w:rsid w:val="00E50D86"/>
    <w:rsid w:val="00E50F81"/>
    <w:rsid w:val="00E512D9"/>
    <w:rsid w:val="00E517C3"/>
    <w:rsid w:val="00E5219A"/>
    <w:rsid w:val="00E52EB2"/>
    <w:rsid w:val="00E53B75"/>
    <w:rsid w:val="00E53C2F"/>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2AD"/>
    <w:rsid w:val="00E64434"/>
    <w:rsid w:val="00E6485E"/>
    <w:rsid w:val="00E64D8B"/>
    <w:rsid w:val="00E64FFB"/>
    <w:rsid w:val="00E6515D"/>
    <w:rsid w:val="00E6522B"/>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8F1"/>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067"/>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893"/>
    <w:rsid w:val="00F15FA5"/>
    <w:rsid w:val="00F163C6"/>
    <w:rsid w:val="00F1664B"/>
    <w:rsid w:val="00F168FA"/>
    <w:rsid w:val="00F16A6F"/>
    <w:rsid w:val="00F16F27"/>
    <w:rsid w:val="00F16F51"/>
    <w:rsid w:val="00F1733E"/>
    <w:rsid w:val="00F202EF"/>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AF5"/>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0D"/>
    <w:rsid w:val="00F376AF"/>
    <w:rsid w:val="00F3773E"/>
    <w:rsid w:val="00F40D63"/>
    <w:rsid w:val="00F41114"/>
    <w:rsid w:val="00F411BE"/>
    <w:rsid w:val="00F413CC"/>
    <w:rsid w:val="00F4232E"/>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5619"/>
    <w:rsid w:val="00F95D2A"/>
    <w:rsid w:val="00F963B0"/>
    <w:rsid w:val="00F96985"/>
    <w:rsid w:val="00F96B5B"/>
    <w:rsid w:val="00F97838"/>
    <w:rsid w:val="00F97906"/>
    <w:rsid w:val="00F979BC"/>
    <w:rsid w:val="00F97C59"/>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uiPriority w:val="35"/>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32"/>
      </w:numPr>
      <w:overflowPunct/>
      <w:adjustRightInd/>
      <w:snapToGrid w:val="0"/>
      <w:spacing w:after="60"/>
      <w:textAlignment w:val="auto"/>
    </w:pPr>
    <w:rPr>
      <w:rFonts w:eastAsiaTheme="minorEastAsia"/>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B7C0958A-7FA9-42F9-9469-7EE18A95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DA29F425-991F-46B8-9D41-A00D2137E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5</Pages>
  <Words>2676</Words>
  <Characters>15256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17897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Pan, Kyle</cp:lastModifiedBy>
  <cp:revision>2</cp:revision>
  <cp:lastPrinted>2018-09-29T03:20:00Z</cp:lastPrinted>
  <dcterms:created xsi:type="dcterms:W3CDTF">2018-09-29T04:00:00Z</dcterms:created>
  <dcterms:modified xsi:type="dcterms:W3CDTF">2018-09-29T04:00:00Z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