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439DE" w14:textId="63598589" w:rsidR="00DB562C" w:rsidRPr="008202F3" w:rsidRDefault="00DB562C" w:rsidP="00DB562C">
      <w:pPr>
        <w:pStyle w:val="Header"/>
        <w:rPr>
          <w:i/>
        </w:rPr>
      </w:pPr>
      <w:r w:rsidRPr="008202F3">
        <w:t>TSG-RAN WG1 #9</w:t>
      </w:r>
      <w:r w:rsidR="00BB5943" w:rsidRPr="008202F3">
        <w:t>4</w:t>
      </w:r>
      <w:r w:rsidR="00A53823">
        <w:t>bis</w:t>
      </w:r>
      <w:r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A14DB6">
        <w:t xml:space="preserve"> </w:t>
      </w:r>
      <w:r w:rsidRPr="008202F3">
        <w:t>R1-18</w:t>
      </w:r>
      <w:r w:rsidR="002B1F6F">
        <w:t>11496</w:t>
      </w:r>
    </w:p>
    <w:p w14:paraId="6CECDF53" w14:textId="27E72C11" w:rsidR="00DB562C" w:rsidRPr="008202F3" w:rsidRDefault="00A53823" w:rsidP="00DB562C">
      <w:pPr>
        <w:pStyle w:val="Header"/>
        <w:rPr>
          <w:color w:val="000000"/>
        </w:rPr>
      </w:pPr>
      <w:r>
        <w:t>Chengdu</w:t>
      </w:r>
      <w:r w:rsidR="00DB562C" w:rsidRPr="008202F3">
        <w:t xml:space="preserve">, </w:t>
      </w:r>
      <w:r>
        <w:t>China</w:t>
      </w:r>
      <w:r w:rsidR="00DB562C" w:rsidRPr="008202F3">
        <w:t xml:space="preserve">, </w:t>
      </w:r>
      <w:r>
        <w:t>Oct</w:t>
      </w:r>
      <w:r w:rsidR="00DB562C" w:rsidRPr="008202F3">
        <w:t xml:space="preserve"> </w:t>
      </w:r>
      <w:r>
        <w:t>8</w:t>
      </w:r>
      <w:r w:rsidR="00DB562C" w:rsidRPr="008202F3">
        <w:t xml:space="preserve"> – </w:t>
      </w:r>
      <w:r>
        <w:t>12</w:t>
      </w:r>
      <w:r w:rsidR="00DB562C" w:rsidRPr="008202F3">
        <w:t>, 2018</w:t>
      </w:r>
      <w:r w:rsidR="00AF147A">
        <w:tab/>
      </w:r>
      <w:r w:rsidR="00AF147A">
        <w:tab/>
      </w:r>
      <w:r w:rsidR="00AF147A">
        <w:tab/>
      </w:r>
      <w:r w:rsidR="00AF147A">
        <w:tab/>
      </w:r>
      <w:r w:rsidR="00AF147A">
        <w:tab/>
      </w:r>
      <w:r w:rsidR="00AF147A">
        <w:tab/>
      </w:r>
      <w:r w:rsidR="00AF147A">
        <w:tab/>
      </w:r>
      <w:r w:rsidR="00AF147A">
        <w:tab/>
      </w:r>
    </w:p>
    <w:p w14:paraId="1AC43221" w14:textId="77777777" w:rsidR="00291A4F" w:rsidRPr="008202F3" w:rsidRDefault="00291A4F" w:rsidP="00291A4F">
      <w:pPr>
        <w:rPr>
          <w:rFonts w:ascii="Times" w:hAnsi="Times"/>
          <w:sz w:val="20"/>
          <w:szCs w:val="20"/>
        </w:rPr>
      </w:pPr>
    </w:p>
    <w:p w14:paraId="73C3CF16" w14:textId="17804F38" w:rsidR="00291A4F" w:rsidRDefault="00291A4F" w:rsidP="00291A4F">
      <w:pPr>
        <w:tabs>
          <w:tab w:val="left" w:pos="1701"/>
          <w:tab w:val="right" w:pos="9072"/>
          <w:tab w:val="right" w:pos="10206"/>
        </w:tabs>
        <w:rPr>
          <w:rFonts w:ascii="Arial" w:hAnsi="Arial"/>
          <w:b/>
          <w:sz w:val="20"/>
          <w:szCs w:val="20"/>
        </w:rPr>
      </w:pPr>
      <w:r w:rsidRPr="008202F3">
        <w:rPr>
          <w:rFonts w:ascii="Arial" w:hAnsi="Arial"/>
          <w:b/>
          <w:sz w:val="20"/>
          <w:szCs w:val="20"/>
        </w:rPr>
        <w:t>Agenda Item:</w:t>
      </w:r>
      <w:r w:rsidRPr="008202F3">
        <w:rPr>
          <w:rFonts w:ascii="Arial" w:hAnsi="Arial"/>
          <w:b/>
          <w:sz w:val="20"/>
          <w:szCs w:val="20"/>
        </w:rPr>
        <w:tab/>
        <w:t>7.1.</w:t>
      </w:r>
      <w:r w:rsidR="007D38AF">
        <w:rPr>
          <w:rFonts w:ascii="Arial" w:hAnsi="Arial"/>
          <w:b/>
          <w:sz w:val="20"/>
          <w:szCs w:val="20"/>
        </w:rPr>
        <w:t>4</w:t>
      </w:r>
    </w:p>
    <w:p w14:paraId="48E98959" w14:textId="1CF4D8E3" w:rsidR="002D4BA4" w:rsidRPr="002149E7" w:rsidRDefault="002D4BA4" w:rsidP="00291A4F">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4246FA57" w14:textId="42ABBFCD" w:rsidR="002D4BA4" w:rsidRPr="002149E7" w:rsidRDefault="002D4BA4" w:rsidP="002D4BA4">
      <w:pPr>
        <w:tabs>
          <w:tab w:val="left" w:pos="1701"/>
          <w:tab w:val="right" w:pos="9072"/>
          <w:tab w:val="right" w:pos="10206"/>
        </w:tabs>
        <w:rPr>
          <w:rFonts w:ascii="Arial" w:hAnsi="Arial"/>
          <w:b/>
          <w:sz w:val="20"/>
          <w:szCs w:val="20"/>
        </w:rPr>
      </w:pPr>
      <w:r w:rsidRPr="00100068">
        <w:rPr>
          <w:rFonts w:ascii="Arial" w:hAnsi="Arial"/>
          <w:b/>
          <w:sz w:val="20"/>
          <w:szCs w:val="20"/>
        </w:rPr>
        <w:t>Title:</w:t>
      </w:r>
      <w:bookmarkStart w:id="0" w:name="Title"/>
      <w:bookmarkEnd w:id="0"/>
      <w:r w:rsidRPr="00100068">
        <w:rPr>
          <w:rFonts w:ascii="Arial" w:hAnsi="Arial"/>
          <w:b/>
          <w:sz w:val="20"/>
          <w:szCs w:val="20"/>
        </w:rPr>
        <w:tab/>
      </w:r>
      <w:bookmarkStart w:id="1" w:name="_Hlk522685701"/>
      <w:r w:rsidR="007D38AF" w:rsidRPr="007D38AF">
        <w:rPr>
          <w:b/>
          <w:lang w:eastAsia="x-none"/>
        </w:rPr>
        <w:t>Remaining issues related to LTE-NR coexistence</w:t>
      </w:r>
      <w:bookmarkEnd w:id="1"/>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2" w:name="DocumentFor"/>
      <w:bookmarkEnd w:id="2"/>
      <w:r w:rsidRPr="002149E7">
        <w:rPr>
          <w:rFonts w:ascii="Arial" w:hAnsi="Arial"/>
          <w:b/>
          <w:sz w:val="20"/>
          <w:szCs w:val="20"/>
        </w:rPr>
        <w:t>Discussion and Decision</w:t>
      </w:r>
    </w:p>
    <w:p w14:paraId="7F1C5511" w14:textId="2D5CA2BF" w:rsidR="005F627D" w:rsidRDefault="00E30225" w:rsidP="00456C62">
      <w:pPr>
        <w:pStyle w:val="Heading1"/>
      </w:pPr>
      <w:r w:rsidRPr="00CE0424">
        <w:t>Introduction</w:t>
      </w:r>
    </w:p>
    <w:p w14:paraId="1E65FB87" w14:textId="0B8ADF5E" w:rsidR="00AF147A" w:rsidRDefault="00A530B8" w:rsidP="00713019">
      <w:bookmarkStart w:id="3" w:name="_Hlk521661433"/>
      <w:r>
        <w:t>In this contribution we follow</w:t>
      </w:r>
      <w:r w:rsidR="00BC565D">
        <w:t xml:space="preserve"> </w:t>
      </w:r>
      <w:r>
        <w:t>up on the remaining issues related to NR-LTE coex</w:t>
      </w:r>
      <w:r w:rsidR="00BC565D">
        <w:t>istence</w:t>
      </w:r>
      <w:r w:rsidR="00DF61FA">
        <w:t xml:space="preserve"> and provide </w:t>
      </w:r>
      <w:r w:rsidR="00E44A51">
        <w:t xml:space="preserve">NR-LTE </w:t>
      </w:r>
      <w:r w:rsidR="00DF61FA">
        <w:t xml:space="preserve">power sharing </w:t>
      </w:r>
      <w:r w:rsidR="00E44A51">
        <w:t xml:space="preserve">framework for </w:t>
      </w:r>
      <w:r w:rsidR="00697E9B">
        <w:t>architecture</w:t>
      </w:r>
      <w:r w:rsidR="00DF61FA">
        <w:t xml:space="preserve"> Option 4/4A</w:t>
      </w:r>
      <w:r w:rsidR="00430754">
        <w:t xml:space="preserve">. </w:t>
      </w:r>
      <w:r w:rsidR="006A7922">
        <w:t>Section 2.2 is a slightly revised version of the discussion from [</w:t>
      </w:r>
      <w:r w:rsidR="00433B73">
        <w:t>8</w:t>
      </w:r>
      <w:r w:rsidR="006A7922">
        <w:t>].</w:t>
      </w:r>
    </w:p>
    <w:bookmarkEnd w:id="3"/>
    <w:p w14:paraId="46AE4652" w14:textId="61842F84" w:rsidR="00372D51" w:rsidRDefault="00405B38" w:rsidP="00372D51">
      <w:pPr>
        <w:pStyle w:val="Heading1"/>
      </w:pPr>
      <w:r>
        <w:t xml:space="preserve">Discussion </w:t>
      </w:r>
    </w:p>
    <w:p w14:paraId="1C2CFC1A" w14:textId="7ED22E20" w:rsidR="000C0635" w:rsidRDefault="000C0635" w:rsidP="000C0635">
      <w:pPr>
        <w:pStyle w:val="Heading2"/>
        <w:rPr>
          <w:lang w:val="en-GB" w:eastAsia="zh-CN"/>
        </w:rPr>
      </w:pPr>
      <w:r>
        <w:rPr>
          <w:lang w:val="en-GB" w:eastAsia="zh-CN"/>
        </w:rPr>
        <w:t xml:space="preserve">2.1 </w:t>
      </w:r>
      <w:r w:rsidR="00805CEA">
        <w:rPr>
          <w:lang w:eastAsia="x-none"/>
        </w:rPr>
        <w:t>Power limits for EN-DC</w:t>
      </w:r>
    </w:p>
    <w:p w14:paraId="2D0EBB88" w14:textId="77777777" w:rsidR="00200375" w:rsidRDefault="00200375" w:rsidP="003B23AD">
      <w:pPr>
        <w:rPr>
          <w:lang w:val="en-GB" w:eastAsia="zh-CN"/>
        </w:rPr>
      </w:pPr>
    </w:p>
    <w:p w14:paraId="4ADF1946" w14:textId="09593C78" w:rsidR="00A72C46" w:rsidRDefault="00097CD5" w:rsidP="00200375">
      <w:pPr>
        <w:rPr>
          <w:rFonts w:ascii="Arial" w:hAnsi="Arial" w:cs="Arial"/>
        </w:rPr>
      </w:pPr>
      <w:r>
        <w:rPr>
          <w:lang w:eastAsia="x-none"/>
        </w:rPr>
        <w:t xml:space="preserve">For EN-DC </w:t>
      </w:r>
      <w:r w:rsidR="00B0192C">
        <w:rPr>
          <w:lang w:eastAsia="x-none"/>
        </w:rPr>
        <w:t>power control</w:t>
      </w:r>
      <w:r>
        <w:rPr>
          <w:lang w:eastAsia="x-none"/>
        </w:rPr>
        <w:t xml:space="preserve">, RAN4 is currently discussing the definitions </w:t>
      </w:r>
      <w:r w:rsidR="008D226C">
        <w:rPr>
          <w:lang w:eastAsia="x-none"/>
        </w:rPr>
        <w:t xml:space="preserve">of </w:t>
      </w:r>
      <w:proofErr w:type="spellStart"/>
      <w:proofErr w:type="gramStart"/>
      <w:r w:rsidRPr="00505539">
        <w:rPr>
          <w:lang w:bidi="bn-IN"/>
        </w:rPr>
        <w:t>P</w:t>
      </w:r>
      <w:r w:rsidRPr="00505539">
        <w:rPr>
          <w:vertAlign w:val="subscript"/>
          <w:lang w:bidi="bn-IN"/>
        </w:rPr>
        <w:t>CMAX</w:t>
      </w:r>
      <w:r w:rsidRPr="00505539">
        <w:rPr>
          <w:rFonts w:cs="Vrinda"/>
          <w:vertAlign w:val="subscript"/>
          <w:lang w:bidi="bn-IN"/>
        </w:rPr>
        <w:t>,</w:t>
      </w:r>
      <w:r w:rsidRPr="00505539">
        <w:rPr>
          <w:rFonts w:cs="Vrinda"/>
          <w:i/>
          <w:vertAlign w:val="subscript"/>
          <w:lang w:bidi="bn-IN"/>
        </w:rPr>
        <w:t>c</w:t>
      </w:r>
      <w:proofErr w:type="spellEnd"/>
      <w:proofErr w:type="gramEnd"/>
      <w:r>
        <w:rPr>
          <w:rFonts w:cs="Vrinda"/>
          <w:i/>
          <w:vertAlign w:val="subscript"/>
          <w:lang w:bidi="bn-IN"/>
        </w:rPr>
        <w:t xml:space="preserve"> </w:t>
      </w:r>
      <w:r>
        <w:rPr>
          <w:rFonts w:cs="Vrinda"/>
          <w:lang w:bidi="bn-IN"/>
        </w:rPr>
        <w:t xml:space="preserve">for LTE and NR serving cells and definition of </w:t>
      </w:r>
      <w:r w:rsidRPr="00FF7654">
        <w:rPr>
          <w:lang w:val="sv-SE"/>
        </w:rPr>
        <w:t>P</w:t>
      </w:r>
      <w:r w:rsidRPr="00FF7654">
        <w:rPr>
          <w:vertAlign w:val="subscript"/>
          <w:lang w:val="sv-SE"/>
        </w:rPr>
        <w:t>EN-DC</w:t>
      </w:r>
      <w:r>
        <w:rPr>
          <w:vertAlign w:val="subscript"/>
          <w:lang w:val="sv-SE"/>
        </w:rPr>
        <w:t>,tot</w:t>
      </w:r>
      <w:r>
        <w:rPr>
          <w:rFonts w:cs="Vrinda"/>
          <w:lang w:bidi="bn-IN"/>
        </w:rPr>
        <w:t xml:space="preserve">. </w:t>
      </w:r>
      <w:r w:rsidR="008D226C">
        <w:rPr>
          <w:rFonts w:cs="Vrinda"/>
          <w:lang w:bidi="bn-IN"/>
        </w:rPr>
        <w:t xml:space="preserve">This issue was also discussed in </w:t>
      </w:r>
      <w:r w:rsidR="00B0192C">
        <w:rPr>
          <w:lang w:eastAsia="x-none"/>
        </w:rPr>
        <w:t xml:space="preserve">RAN#81 </w:t>
      </w:r>
      <w:r>
        <w:rPr>
          <w:lang w:eastAsia="x-none"/>
        </w:rPr>
        <w:t xml:space="preserve">and </w:t>
      </w:r>
      <w:proofErr w:type="gramStart"/>
      <w:r w:rsidR="00937FD5">
        <w:rPr>
          <w:lang w:eastAsia="x-none"/>
        </w:rPr>
        <w:t>an</w:t>
      </w:r>
      <w:proofErr w:type="gramEnd"/>
      <w:r w:rsidR="00937FD5">
        <w:rPr>
          <w:lang w:eastAsia="x-none"/>
        </w:rPr>
        <w:t xml:space="preserve"> LS [</w:t>
      </w:r>
      <w:r w:rsidR="00B0192C">
        <w:rPr>
          <w:lang w:eastAsia="x-none"/>
        </w:rPr>
        <w:t>1</w:t>
      </w:r>
      <w:r w:rsidR="00937FD5">
        <w:rPr>
          <w:lang w:eastAsia="x-none"/>
        </w:rPr>
        <w:t xml:space="preserve">] </w:t>
      </w:r>
      <w:r w:rsidR="000F1687">
        <w:rPr>
          <w:lang w:eastAsia="x-none"/>
        </w:rPr>
        <w:t xml:space="preserve">was sent </w:t>
      </w:r>
      <w:r w:rsidR="00B0192C">
        <w:rPr>
          <w:lang w:eastAsia="x-none"/>
        </w:rPr>
        <w:t xml:space="preserve">to </w:t>
      </w:r>
      <w:r w:rsidR="000F1687">
        <w:rPr>
          <w:lang w:eastAsia="x-none"/>
        </w:rPr>
        <w:t>RAN</w:t>
      </w:r>
      <w:r w:rsidR="00B0192C">
        <w:rPr>
          <w:lang w:eastAsia="x-none"/>
        </w:rPr>
        <w:t>4</w:t>
      </w:r>
      <w:r w:rsidR="000F1687">
        <w:rPr>
          <w:lang w:eastAsia="x-none"/>
        </w:rPr>
        <w:t xml:space="preserve"> with the following guidance - “</w:t>
      </w:r>
      <w:r w:rsidR="00FE69FA" w:rsidRPr="000F1687">
        <w:rPr>
          <w:i/>
          <w:lang w:eastAsia="x-none"/>
        </w:rPr>
        <w:t>Continue work on inter-band EN-DC power control based on the guidance in RP-182034 and to continue work on intra-band EN-DC power control as well</w:t>
      </w:r>
      <w:r w:rsidR="000F1687">
        <w:rPr>
          <w:rFonts w:ascii="Arial" w:hAnsi="Arial" w:cs="Arial"/>
        </w:rPr>
        <w:t>”</w:t>
      </w:r>
    </w:p>
    <w:p w14:paraId="00AA0670" w14:textId="274012A8" w:rsidR="00B0192C" w:rsidRDefault="00B0192C" w:rsidP="00200375">
      <w:pPr>
        <w:rPr>
          <w:lang w:eastAsia="x-none"/>
        </w:rPr>
      </w:pPr>
      <w:r>
        <w:rPr>
          <w:rFonts w:cs="Vrinda"/>
          <w:lang w:bidi="bn-IN"/>
        </w:rPr>
        <w:t xml:space="preserve">In RAN1, </w:t>
      </w:r>
      <w:proofErr w:type="gramStart"/>
      <w:r>
        <w:rPr>
          <w:lang w:val="en-GB" w:eastAsia="zh-CN"/>
        </w:rPr>
        <w:t>an</w:t>
      </w:r>
      <w:proofErr w:type="gramEnd"/>
      <w:r>
        <w:rPr>
          <w:lang w:val="en-GB" w:eastAsia="zh-CN"/>
        </w:rPr>
        <w:t xml:space="preserve"> LS </w:t>
      </w:r>
      <w:r w:rsidR="00363915">
        <w:rPr>
          <w:lang w:val="en-GB" w:eastAsia="zh-CN"/>
        </w:rPr>
        <w:t xml:space="preserve">was received </w:t>
      </w:r>
      <w:r>
        <w:rPr>
          <w:lang w:val="en-GB" w:eastAsia="zh-CN"/>
        </w:rPr>
        <w:t xml:space="preserve">from RAN4 [2] </w:t>
      </w:r>
      <w:r w:rsidR="008D226C">
        <w:rPr>
          <w:lang w:val="en-GB" w:eastAsia="zh-CN"/>
        </w:rPr>
        <w:t xml:space="preserve">in RAN1#93 </w:t>
      </w:r>
      <w:r w:rsidR="00363915">
        <w:rPr>
          <w:lang w:val="en-GB" w:eastAsia="zh-CN"/>
        </w:rPr>
        <w:t>with an action</w:t>
      </w:r>
      <w:r w:rsidRPr="007223F8">
        <w:rPr>
          <w:lang w:val="en-GB" w:eastAsia="zh-CN"/>
        </w:rPr>
        <w:t xml:space="preserve"> to consider whether the RAN4 definition of MPR and A-MPR </w:t>
      </w:r>
      <w:r>
        <w:rPr>
          <w:lang w:val="en-GB" w:eastAsia="zh-CN"/>
        </w:rPr>
        <w:t xml:space="preserve">for </w:t>
      </w:r>
      <w:r w:rsidRPr="00B92AF6">
        <w:rPr>
          <w:lang w:eastAsia="x-none"/>
        </w:rPr>
        <w:t>intra</w:t>
      </w:r>
      <w:r>
        <w:rPr>
          <w:lang w:eastAsia="x-none"/>
        </w:rPr>
        <w:t>-</w:t>
      </w:r>
      <w:r w:rsidRPr="00B92AF6">
        <w:rPr>
          <w:lang w:eastAsia="x-none"/>
        </w:rPr>
        <w:t xml:space="preserve">band EN-DC </w:t>
      </w:r>
      <w:r>
        <w:rPr>
          <w:lang w:eastAsia="x-none"/>
        </w:rPr>
        <w:t xml:space="preserve">was consistent with ‘RAN1 power control design ‘. Aspects raised in the RAN4 LS were considered in [93-NR-01] email discussion and a reply LS was sent in [3]. </w:t>
      </w:r>
      <w:r w:rsidR="001B1E82">
        <w:rPr>
          <w:lang w:eastAsia="x-none"/>
        </w:rPr>
        <w:t xml:space="preserve">In RAN1#94 there was further discussion on possible options for specifying the power limits for intra-band EN-DC. </w:t>
      </w:r>
    </w:p>
    <w:p w14:paraId="0B9C8C36" w14:textId="51CD7AD1" w:rsidR="00363915" w:rsidRPr="00363915" w:rsidRDefault="00B0192C" w:rsidP="00200375">
      <w:pPr>
        <w:rPr>
          <w:rFonts w:cs="Vrinda"/>
          <w:lang w:bidi="bn-IN"/>
        </w:rPr>
      </w:pPr>
      <w:r>
        <w:rPr>
          <w:lang w:eastAsia="x-none"/>
        </w:rPr>
        <w:t xml:space="preserve">Given the </w:t>
      </w:r>
      <w:r w:rsidR="00363915">
        <w:rPr>
          <w:lang w:eastAsia="x-none"/>
        </w:rPr>
        <w:t>LS from RAN#81</w:t>
      </w:r>
      <w:r>
        <w:rPr>
          <w:lang w:eastAsia="x-none"/>
        </w:rPr>
        <w:t xml:space="preserve">, </w:t>
      </w:r>
      <w:r w:rsidR="001B1E82">
        <w:rPr>
          <w:lang w:eastAsia="x-none"/>
        </w:rPr>
        <w:t xml:space="preserve">we expect </w:t>
      </w:r>
      <w:r>
        <w:rPr>
          <w:lang w:eastAsia="x-none"/>
        </w:rPr>
        <w:t xml:space="preserve">the </w:t>
      </w:r>
      <w:r w:rsidR="00363915">
        <w:rPr>
          <w:lang w:eastAsia="x-none"/>
        </w:rPr>
        <w:t xml:space="preserve">discussion on </w:t>
      </w:r>
      <w:r>
        <w:rPr>
          <w:lang w:eastAsia="x-none"/>
        </w:rPr>
        <w:t>power limits for both inter-band and intra-band EN-DC</w:t>
      </w:r>
      <w:r w:rsidR="00363915">
        <w:rPr>
          <w:lang w:eastAsia="x-none"/>
        </w:rPr>
        <w:t xml:space="preserve"> will continue in RAN4</w:t>
      </w:r>
      <w:r w:rsidR="001B1E82">
        <w:rPr>
          <w:lang w:eastAsia="x-none"/>
        </w:rPr>
        <w:t xml:space="preserve">. As </w:t>
      </w:r>
      <w:r w:rsidR="00E81C48">
        <w:rPr>
          <w:lang w:eastAsia="x-none"/>
        </w:rPr>
        <w:t>proposed in RAN1#94</w:t>
      </w:r>
      <w:r w:rsidR="001B1E82">
        <w:rPr>
          <w:lang w:eastAsia="x-none"/>
        </w:rPr>
        <w:t xml:space="preserve"> [4], our preference is to define </w:t>
      </w:r>
      <w:r w:rsidR="00363915">
        <w:rPr>
          <w:lang w:bidi="bn-IN"/>
        </w:rPr>
        <w:t xml:space="preserve">the power </w:t>
      </w:r>
      <w:r w:rsidR="008D226C">
        <w:rPr>
          <w:lang w:bidi="bn-IN"/>
        </w:rPr>
        <w:t>limits</w:t>
      </w:r>
      <w:r w:rsidR="001B1E82">
        <w:rPr>
          <w:rFonts w:cs="Vrinda"/>
          <w:lang w:val="sv-SE" w:bidi="bn-IN"/>
        </w:rPr>
        <w:t xml:space="preserve"> </w:t>
      </w:r>
      <w:r w:rsidR="001B1E82">
        <w:rPr>
          <w:rFonts w:cs="Vrinda"/>
          <w:lang w:bidi="bn-IN"/>
        </w:rPr>
        <w:t xml:space="preserve">such that NR transmission details are not used for calculation of transmission power of LTE while </w:t>
      </w:r>
      <w:r w:rsidR="00363915">
        <w:rPr>
          <w:rFonts w:cs="Vrinda"/>
          <w:lang w:bidi="bn-IN"/>
        </w:rPr>
        <w:t xml:space="preserve">using the existing A-MPR formulas in 38.101-3. </w:t>
      </w:r>
      <w:r w:rsidR="0020104C">
        <w:rPr>
          <w:rFonts w:cs="Vrinda"/>
          <w:lang w:bidi="bn-IN"/>
        </w:rPr>
        <w:t xml:space="preserve">CR to </w:t>
      </w:r>
      <w:r w:rsidR="00363915">
        <w:rPr>
          <w:rFonts w:cs="Vrinda"/>
          <w:lang w:bidi="bn-IN"/>
        </w:rPr>
        <w:t xml:space="preserve">38.101-3 </w:t>
      </w:r>
      <w:r w:rsidR="008D226C">
        <w:rPr>
          <w:rFonts w:cs="Vrinda"/>
          <w:lang w:bidi="bn-IN"/>
        </w:rPr>
        <w:t xml:space="preserve">capturing this proposal </w:t>
      </w:r>
      <w:r w:rsidR="00363915">
        <w:rPr>
          <w:rFonts w:cs="Vrinda"/>
          <w:lang w:bidi="bn-IN"/>
        </w:rPr>
        <w:t>and additional evaluation results are provided in [5], [6] respectively (both submitted to RAN4#88bis).</w:t>
      </w:r>
    </w:p>
    <w:p w14:paraId="542345D9" w14:textId="5118145F" w:rsidR="001B1E82" w:rsidRPr="001B1E82" w:rsidRDefault="001B1E82" w:rsidP="00200375">
      <w:pPr>
        <w:rPr>
          <w:b/>
          <w:u w:val="single"/>
          <w:lang w:eastAsia="x-none"/>
        </w:rPr>
      </w:pPr>
      <w:r w:rsidRPr="001B1E82">
        <w:rPr>
          <w:b/>
          <w:u w:val="single"/>
          <w:lang w:eastAsia="x-none"/>
        </w:rPr>
        <w:t>Proposal</w:t>
      </w:r>
    </w:p>
    <w:p w14:paraId="34A5E7A1" w14:textId="77777777" w:rsidR="001B1E82" w:rsidRDefault="001B1E82" w:rsidP="001B1E82">
      <w:pPr>
        <w:pStyle w:val="BodyText"/>
        <w:spacing w:after="120" w:line="240" w:lineRule="auto"/>
        <w:jc w:val="both"/>
        <w:rPr>
          <w:rFonts w:cs="Vrinda"/>
          <w:lang w:bidi="bn-IN"/>
        </w:rPr>
      </w:pPr>
      <w:proofErr w:type="spellStart"/>
      <w:proofErr w:type="gramStart"/>
      <w:r>
        <w:rPr>
          <w:lang w:bidi="bn-IN"/>
        </w:rPr>
        <w:t>P</w:t>
      </w:r>
      <w:r>
        <w:rPr>
          <w:vertAlign w:val="subscript"/>
          <w:lang w:bidi="bn-IN"/>
        </w:rPr>
        <w:t>CMAX</w:t>
      </w:r>
      <w:r>
        <w:rPr>
          <w:rFonts w:cs="Vrinda"/>
          <w:vertAlign w:val="subscript"/>
          <w:lang w:bidi="bn-IN"/>
        </w:rPr>
        <w:t>,</w:t>
      </w:r>
      <w:r>
        <w:rPr>
          <w:rFonts w:cs="Vrinda"/>
          <w:i/>
          <w:vertAlign w:val="subscript"/>
          <w:lang w:bidi="bn-IN"/>
        </w:rPr>
        <w:t>c</w:t>
      </w:r>
      <w:proofErr w:type="spellEnd"/>
      <w:proofErr w:type="gramEnd"/>
      <w:r>
        <w:rPr>
          <w:rFonts w:cs="Vrinda"/>
          <w:i/>
          <w:vertAlign w:val="subscript"/>
          <w:lang w:bidi="bn-IN"/>
        </w:rPr>
        <w:t xml:space="preserve"> </w:t>
      </w:r>
      <w:r>
        <w:rPr>
          <w:rFonts w:cs="Vrinda"/>
          <w:lang w:bidi="bn-IN"/>
        </w:rPr>
        <w:t xml:space="preserve">, </w:t>
      </w:r>
      <w:r>
        <w:rPr>
          <w:lang w:val="sv-SE"/>
        </w:rPr>
        <w:t>P</w:t>
      </w:r>
      <w:r>
        <w:rPr>
          <w:vertAlign w:val="subscript"/>
          <w:lang w:val="sv-SE"/>
        </w:rPr>
        <w:t>EN-DC,tot</w:t>
      </w:r>
      <w:r>
        <w:rPr>
          <w:rFonts w:cs="Vrinda"/>
          <w:lang w:val="sv-SE" w:bidi="bn-IN"/>
        </w:rPr>
        <w:t xml:space="preserve"> </w:t>
      </w:r>
      <w:r>
        <w:rPr>
          <w:rFonts w:cs="Vrinda"/>
          <w:lang w:bidi="bn-IN"/>
        </w:rPr>
        <w:t xml:space="preserve">should be defined in RAN4 such that </w:t>
      </w:r>
    </w:p>
    <w:p w14:paraId="5BB3D3A5" w14:textId="162559AC" w:rsidR="001B1E82" w:rsidRDefault="00EC3F39" w:rsidP="001B1E82">
      <w:pPr>
        <w:pStyle w:val="BodyText"/>
        <w:numPr>
          <w:ilvl w:val="0"/>
          <w:numId w:val="41"/>
        </w:numPr>
        <w:spacing w:after="120" w:line="240" w:lineRule="auto"/>
        <w:jc w:val="both"/>
        <w:rPr>
          <w:b/>
          <w:u w:val="single"/>
        </w:rPr>
      </w:pPr>
      <w:r>
        <w:rPr>
          <w:rFonts w:cs="Vrinda"/>
          <w:lang w:bidi="bn-IN"/>
        </w:rPr>
        <w:t>t</w:t>
      </w:r>
      <w:r w:rsidR="000B6093">
        <w:rPr>
          <w:rFonts w:cs="Vrinda"/>
          <w:lang w:bidi="bn-IN"/>
        </w:rPr>
        <w:t xml:space="preserve">hey </w:t>
      </w:r>
      <w:proofErr w:type="gramStart"/>
      <w:r w:rsidR="001B1E82">
        <w:rPr>
          <w:rFonts w:cs="Vrinda"/>
          <w:lang w:bidi="bn-IN"/>
        </w:rPr>
        <w:t>take into account</w:t>
      </w:r>
      <w:proofErr w:type="gramEnd"/>
      <w:r w:rsidR="001B1E82">
        <w:rPr>
          <w:rFonts w:cs="Vrinda"/>
          <w:lang w:bidi="bn-IN"/>
        </w:rPr>
        <w:t xml:space="preserve"> the assumption that NR transmission details are not used for calculation of transmission power of LTE (i.e., no need to revisit the RAN1 assumption regarding this, and no changes needed to RAN1 specs)</w:t>
      </w:r>
    </w:p>
    <w:p w14:paraId="1CCB37B6" w14:textId="6E2DF6C9" w:rsidR="001B1E82" w:rsidRDefault="001B1E82" w:rsidP="001B1E82">
      <w:pPr>
        <w:pStyle w:val="BodyText"/>
        <w:numPr>
          <w:ilvl w:val="0"/>
          <w:numId w:val="41"/>
        </w:numPr>
        <w:spacing w:after="120" w:line="240" w:lineRule="auto"/>
        <w:jc w:val="both"/>
        <w:rPr>
          <w:b/>
          <w:u w:val="single"/>
        </w:rPr>
      </w:pPr>
      <w:r>
        <w:rPr>
          <w:rFonts w:cs="Vrinda"/>
          <w:lang w:bidi="bn-IN"/>
        </w:rPr>
        <w:t>they use the existing A-MPR formulas in 38.101-3</w:t>
      </w:r>
      <w:r w:rsidR="00363915">
        <w:rPr>
          <w:rFonts w:cs="Vrinda"/>
          <w:lang w:bidi="bn-IN"/>
        </w:rPr>
        <w:t xml:space="preserve"> </w:t>
      </w:r>
      <w:r>
        <w:rPr>
          <w:rFonts w:cs="Vrinda"/>
          <w:lang w:bidi="bn-IN"/>
        </w:rPr>
        <w:t xml:space="preserve">(i.e., no need for RAN4 to re-do A-MPR simulations). </w:t>
      </w:r>
    </w:p>
    <w:p w14:paraId="07ED327F" w14:textId="77777777" w:rsidR="001B1E82" w:rsidRDefault="001B1E82" w:rsidP="00200375">
      <w:pPr>
        <w:rPr>
          <w:lang w:eastAsia="x-none"/>
        </w:rPr>
      </w:pPr>
    </w:p>
    <w:p w14:paraId="7E09C548" w14:textId="4A06278D" w:rsidR="003B3982" w:rsidRPr="00C1326F" w:rsidRDefault="003B3982" w:rsidP="00363915">
      <w:pPr>
        <w:pStyle w:val="BodyText"/>
        <w:spacing w:after="120" w:line="240" w:lineRule="auto"/>
        <w:jc w:val="both"/>
        <w:rPr>
          <w:b/>
          <w:u w:val="single"/>
        </w:rPr>
      </w:pPr>
    </w:p>
    <w:p w14:paraId="2D4E832C" w14:textId="77777777" w:rsidR="000C0635" w:rsidRPr="00836E6C" w:rsidRDefault="000C0635" w:rsidP="000C0635">
      <w:pPr>
        <w:pStyle w:val="Heading2"/>
        <w:keepLines w:val="0"/>
        <w:numPr>
          <w:ilvl w:val="1"/>
          <w:numId w:val="0"/>
        </w:numPr>
        <w:spacing w:after="60"/>
        <w:ind w:left="567" w:hanging="567"/>
        <w:rPr>
          <w:u w:val="single"/>
        </w:rPr>
      </w:pPr>
      <w:r>
        <w:rPr>
          <w:u w:val="single"/>
        </w:rPr>
        <w:lastRenderedPageBreak/>
        <w:t>2.2 Power sharing for NR architecture option 4/4A</w:t>
      </w:r>
    </w:p>
    <w:p w14:paraId="380B09F3" w14:textId="0EB85127" w:rsidR="000C0635" w:rsidRDefault="004C185E" w:rsidP="000C0635">
      <w:pPr>
        <w:jc w:val="both"/>
      </w:pPr>
      <w:r>
        <w:t>As indicated in [7]</w:t>
      </w:r>
      <w:r w:rsidR="00A64120">
        <w:t xml:space="preserve"> (relevant excerpt shown below)</w:t>
      </w:r>
      <w:r>
        <w:t xml:space="preserve">, RAN1 </w:t>
      </w:r>
      <w:proofErr w:type="gramStart"/>
      <w:r>
        <w:t>has to</w:t>
      </w:r>
      <w:proofErr w:type="gramEnd"/>
      <w:r>
        <w:t xml:space="preserve"> finalize power sharing framework for NR architecture option 4/4A</w:t>
      </w:r>
    </w:p>
    <w:p w14:paraId="064C2B2F" w14:textId="7F44CCFB" w:rsidR="000C0635" w:rsidRDefault="00A64120" w:rsidP="000C0635">
      <w:pPr>
        <w:jc w:val="both"/>
      </w:pPr>
      <w:r>
        <w:rPr>
          <w:noProof/>
        </w:rPr>
        <w:drawing>
          <wp:inline distT="0" distB="0" distL="0" distR="0" wp14:anchorId="0D78BF62" wp14:editId="6C52D25D">
            <wp:extent cx="5857875" cy="15240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57875" cy="1524000"/>
                    </a:xfrm>
                    <a:prstGeom prst="rect">
                      <a:avLst/>
                    </a:prstGeom>
                  </pic:spPr>
                </pic:pic>
              </a:graphicData>
            </a:graphic>
          </wp:inline>
        </w:drawing>
      </w:r>
      <w:r w:rsidR="000C0635">
        <w:t xml:space="preserve">Below we provide our view for Option 4/4A power sharing framework </w:t>
      </w:r>
      <w:proofErr w:type="gramStart"/>
      <w:r w:rsidR="000C0635">
        <w:t>taking into account</w:t>
      </w:r>
      <w:proofErr w:type="gramEnd"/>
      <w:r w:rsidR="000C0635">
        <w:t xml:space="preserve"> RAN guidance to minimize specification impact.</w:t>
      </w:r>
    </w:p>
    <w:p w14:paraId="33215F0D" w14:textId="77777777" w:rsidR="000C0635" w:rsidRDefault="000C0635" w:rsidP="000C0635">
      <w:pPr>
        <w:numPr>
          <w:ilvl w:val="0"/>
          <w:numId w:val="21"/>
        </w:numPr>
        <w:spacing w:after="0" w:line="240" w:lineRule="auto"/>
        <w:jc w:val="both"/>
      </w:pPr>
      <w:r>
        <w:t>P_LTE and P_NR signaling</w:t>
      </w:r>
    </w:p>
    <w:p w14:paraId="2248394F" w14:textId="77777777" w:rsidR="000C0635" w:rsidRDefault="000C0635" w:rsidP="000C0635">
      <w:pPr>
        <w:numPr>
          <w:ilvl w:val="1"/>
          <w:numId w:val="21"/>
        </w:numPr>
        <w:spacing w:after="0" w:line="240" w:lineRule="auto"/>
        <w:jc w:val="both"/>
      </w:pPr>
      <w:r>
        <w:t xml:space="preserve">P_LTE and P_NR are maximum allowed power values configured on LTE and NR side respectively. </w:t>
      </w:r>
    </w:p>
    <w:p w14:paraId="47CB5F65" w14:textId="77777777" w:rsidR="000C0635" w:rsidRDefault="000C0635" w:rsidP="000C0635">
      <w:pPr>
        <w:numPr>
          <w:ilvl w:val="1"/>
          <w:numId w:val="21"/>
        </w:numPr>
        <w:spacing w:after="0" w:line="240" w:lineRule="auto"/>
        <w:jc w:val="both"/>
      </w:pPr>
      <w:r>
        <w:t>These are already specified for EN-DC and can be reused without changes for Option 4/4A</w:t>
      </w:r>
    </w:p>
    <w:p w14:paraId="60177B68" w14:textId="77777777" w:rsidR="000C0635" w:rsidRDefault="000C0635" w:rsidP="000C0635">
      <w:pPr>
        <w:numPr>
          <w:ilvl w:val="0"/>
          <w:numId w:val="21"/>
        </w:numPr>
        <w:spacing w:after="0" w:line="240" w:lineRule="auto"/>
        <w:jc w:val="both"/>
      </w:pPr>
      <w:r>
        <w:t>Dynamic power sharing</w:t>
      </w:r>
    </w:p>
    <w:p w14:paraId="3EC656AB" w14:textId="4AC0D65C" w:rsidR="000C0635" w:rsidRDefault="000C0635" w:rsidP="00FA158A">
      <w:pPr>
        <w:numPr>
          <w:ilvl w:val="1"/>
          <w:numId w:val="21"/>
        </w:numPr>
        <w:spacing w:after="0" w:line="240" w:lineRule="auto"/>
        <w:jc w:val="both"/>
      </w:pPr>
      <w:r>
        <w:t xml:space="preserve">For EN-DC, a UE supporting ‘dynamic power sharing’ capability can scale down/drop NR (SCG) transmissions when power limited. Details of scaling down/dropping are left to UE implementation. Similar capability should be supported for option 4/4A. </w:t>
      </w:r>
      <w:r w:rsidR="004C185E">
        <w:t>For NE-DC, t</w:t>
      </w:r>
      <w:r>
        <w:t xml:space="preserve">he UE should be able to scale down/drop LTE (SCG) transmissions when power limited, and the details of scaling/dropping can be left to UE implementation. </w:t>
      </w:r>
    </w:p>
    <w:p w14:paraId="02F3FCE6" w14:textId="4E01C733" w:rsidR="00A64120" w:rsidRDefault="00A64120" w:rsidP="00A64120">
      <w:pPr>
        <w:numPr>
          <w:ilvl w:val="1"/>
          <w:numId w:val="21"/>
        </w:numPr>
        <w:spacing w:after="0" w:line="240" w:lineRule="auto"/>
        <w:jc w:val="both"/>
      </w:pPr>
      <w:r>
        <w:t xml:space="preserve">Spec impact with this </w:t>
      </w:r>
      <w:r w:rsidR="008A3412">
        <w:t>approach</w:t>
      </w:r>
      <w:r>
        <w:t xml:space="preserve"> would be minimal as no new RRC signaling is needed and existing procedures for EN-DC are directly applied for NE-DC.</w:t>
      </w:r>
    </w:p>
    <w:p w14:paraId="104A9F2E" w14:textId="77777777" w:rsidR="000C0635" w:rsidRDefault="000C0635" w:rsidP="000C0635">
      <w:pPr>
        <w:numPr>
          <w:ilvl w:val="0"/>
          <w:numId w:val="21"/>
        </w:numPr>
        <w:spacing w:after="0" w:line="240" w:lineRule="auto"/>
        <w:jc w:val="both"/>
      </w:pPr>
      <w:r>
        <w:t>Semi-static partitioning of LTE and NR UL transmissions</w:t>
      </w:r>
    </w:p>
    <w:p w14:paraId="19C959D7" w14:textId="7BF7302C" w:rsidR="000C0635" w:rsidRDefault="000C0635" w:rsidP="000C0635">
      <w:pPr>
        <w:numPr>
          <w:ilvl w:val="1"/>
          <w:numId w:val="21"/>
        </w:numPr>
        <w:spacing w:after="0" w:line="240" w:lineRule="auto"/>
        <w:jc w:val="both"/>
      </w:pPr>
      <w:r>
        <w:t>For EN-DC, Case1-OperationA [</w:t>
      </w:r>
      <w:r w:rsidR="006A7922">
        <w:t>4</w:t>
      </w:r>
      <w:r>
        <w:t xml:space="preserve">] behavior is supported, where network can restrict LTE UL transmissions to a subset of subframes via RRC signaling on LTE side (i.e., by configuring Case1 reference TDD UL/DL configuration for LTE including </w:t>
      </w:r>
      <w:r w:rsidR="006E3C88">
        <w:t xml:space="preserve">the </w:t>
      </w:r>
      <w:r>
        <w:t xml:space="preserve">LTE FDD </w:t>
      </w:r>
      <w:proofErr w:type="spellStart"/>
      <w:r>
        <w:t>Pcell</w:t>
      </w:r>
      <w:proofErr w:type="spellEnd"/>
      <w:r>
        <w:t xml:space="preserve">). When such </w:t>
      </w:r>
      <w:r w:rsidR="006E3C88">
        <w:t xml:space="preserve">a </w:t>
      </w:r>
      <w:r>
        <w:t xml:space="preserve">reference configuration is indicated, and when the UE does not support dynamic power sharing, the UE is </w:t>
      </w:r>
      <w:r>
        <w:rPr>
          <w:lang w:eastAsia="zh-CN"/>
        </w:rPr>
        <w:t xml:space="preserve">not expected to make NR transmissions in </w:t>
      </w:r>
      <w:r>
        <w:t xml:space="preserve">slots corresponding to UL subframes indicated by the RRC signaling on LTE side (i.e., the UL subframes of Case1 reference TDD UL/DL configuration). </w:t>
      </w:r>
    </w:p>
    <w:p w14:paraId="5C885470" w14:textId="77777777" w:rsidR="000C0635" w:rsidRDefault="000C0635" w:rsidP="000C0635">
      <w:pPr>
        <w:numPr>
          <w:ilvl w:val="1"/>
          <w:numId w:val="21"/>
        </w:numPr>
        <w:spacing w:after="0" w:line="240" w:lineRule="auto"/>
        <w:jc w:val="both"/>
      </w:pPr>
      <w:r>
        <w:t xml:space="preserve">Similar framework can be supported for Option4/4A, for UEs not supporting dynamic power sharing, by replicating the changes agreed for LTE </w:t>
      </w:r>
      <w:proofErr w:type="spellStart"/>
      <w:r>
        <w:t>Pcell</w:t>
      </w:r>
      <w:proofErr w:type="spellEnd"/>
      <w:r>
        <w:t xml:space="preserve"> UE behavior to LTE </w:t>
      </w:r>
      <w:proofErr w:type="spellStart"/>
      <w:r>
        <w:t>PScell</w:t>
      </w:r>
      <w:proofErr w:type="spellEnd"/>
      <w:r>
        <w:t xml:space="preserve"> UE behavior.</w:t>
      </w:r>
    </w:p>
    <w:p w14:paraId="751C2387" w14:textId="77777777" w:rsidR="000C0635" w:rsidRDefault="000C0635" w:rsidP="000C0635">
      <w:pPr>
        <w:jc w:val="both"/>
      </w:pPr>
    </w:p>
    <w:p w14:paraId="538BDFE3" w14:textId="77777777" w:rsidR="000C0635" w:rsidRDefault="000C0635" w:rsidP="000C0635">
      <w:pPr>
        <w:jc w:val="both"/>
      </w:pPr>
      <w:r>
        <w:t>In summary, we propose the following high-level framework for Option 4/4A power sharing between NR and LTE</w:t>
      </w:r>
    </w:p>
    <w:p w14:paraId="3818EC65" w14:textId="77777777" w:rsidR="000C0635" w:rsidRDefault="000C0635" w:rsidP="000C0635">
      <w:pPr>
        <w:pStyle w:val="BodyText"/>
        <w:rPr>
          <w:b/>
          <w:u w:val="single"/>
        </w:rPr>
      </w:pPr>
      <w:r w:rsidRPr="00CE08A1">
        <w:rPr>
          <w:b/>
          <w:u w:val="single"/>
        </w:rPr>
        <w:t xml:space="preserve">Proposal </w:t>
      </w:r>
    </w:p>
    <w:p w14:paraId="2F31ABDE" w14:textId="77777777" w:rsidR="000C0635" w:rsidRPr="00967BE6" w:rsidRDefault="000C0635" w:rsidP="000C0635">
      <w:pPr>
        <w:pStyle w:val="BodyText"/>
        <w:numPr>
          <w:ilvl w:val="0"/>
          <w:numId w:val="22"/>
        </w:numPr>
        <w:spacing w:after="120" w:line="240" w:lineRule="auto"/>
        <w:jc w:val="both"/>
        <w:rPr>
          <w:b/>
          <w:u w:val="single"/>
        </w:rPr>
      </w:pPr>
      <w:r>
        <w:t>P_LTE and P_NR signaling defined for EN-DC should be reused for Option 4/4A</w:t>
      </w:r>
    </w:p>
    <w:p w14:paraId="1F9B40F0" w14:textId="77777777" w:rsidR="000C0635" w:rsidRPr="00967BE6" w:rsidRDefault="000C0635" w:rsidP="000C0635">
      <w:pPr>
        <w:pStyle w:val="BodyText"/>
        <w:numPr>
          <w:ilvl w:val="0"/>
          <w:numId w:val="22"/>
        </w:numPr>
        <w:spacing w:after="120" w:line="240" w:lineRule="auto"/>
        <w:jc w:val="both"/>
        <w:rPr>
          <w:b/>
          <w:u w:val="single"/>
        </w:rPr>
      </w:pPr>
      <w:r>
        <w:t>Dynamic power sharing capability should be supported for Option 4/4A</w:t>
      </w:r>
    </w:p>
    <w:p w14:paraId="2216F023" w14:textId="77777777" w:rsidR="000C0635" w:rsidRPr="00967BE6" w:rsidRDefault="000C0635" w:rsidP="000C0635">
      <w:pPr>
        <w:pStyle w:val="BodyText"/>
        <w:numPr>
          <w:ilvl w:val="1"/>
          <w:numId w:val="22"/>
        </w:numPr>
        <w:spacing w:after="120" w:line="240" w:lineRule="auto"/>
        <w:jc w:val="both"/>
        <w:rPr>
          <w:b/>
          <w:u w:val="single"/>
        </w:rPr>
      </w:pPr>
      <w:r>
        <w:t>UE should scale down/drop LTE (SCG) transmissions when power limited, and the details of scaling/dropping can be left to UE implementation.</w:t>
      </w:r>
    </w:p>
    <w:p w14:paraId="5DFC805E" w14:textId="4074A6FD" w:rsidR="000C0635" w:rsidRPr="00967BE6" w:rsidRDefault="004266EE" w:rsidP="000C0635">
      <w:pPr>
        <w:pStyle w:val="BodyText"/>
        <w:numPr>
          <w:ilvl w:val="0"/>
          <w:numId w:val="22"/>
        </w:numPr>
        <w:spacing w:after="120" w:line="240" w:lineRule="auto"/>
        <w:jc w:val="both"/>
        <w:rPr>
          <w:b/>
          <w:u w:val="single"/>
        </w:rPr>
      </w:pPr>
      <w:r>
        <w:lastRenderedPageBreak/>
        <w:t>For support of s</w:t>
      </w:r>
      <w:r w:rsidR="000C0635">
        <w:t xml:space="preserve">emi-static partitioning of LTE and NR UL transmissions </w:t>
      </w:r>
      <w:proofErr w:type="gramStart"/>
      <w:r w:rsidR="000C0635">
        <w:t>similar to</w:t>
      </w:r>
      <w:proofErr w:type="gramEnd"/>
      <w:r w:rsidR="000C0635">
        <w:t xml:space="preserve"> Case1-OperationA agreed for EN-DC (for UEs not supporting dynamic power sharing)</w:t>
      </w:r>
      <w:r w:rsidR="00B2764C">
        <w:t>,</w:t>
      </w:r>
      <w:r w:rsidR="000C0635">
        <w:t xml:space="preserve"> the changes agreed so far for LTE </w:t>
      </w:r>
      <w:proofErr w:type="spellStart"/>
      <w:r w:rsidR="000C0635">
        <w:t>Pcell</w:t>
      </w:r>
      <w:proofErr w:type="spellEnd"/>
      <w:r w:rsidR="000C0635">
        <w:t xml:space="preserve"> UE behavior </w:t>
      </w:r>
      <w:r>
        <w:t>can be replicated for</w:t>
      </w:r>
      <w:r w:rsidR="000C0635">
        <w:t xml:space="preserve"> LTE </w:t>
      </w:r>
      <w:proofErr w:type="spellStart"/>
      <w:r w:rsidR="000C0635">
        <w:t>PScell</w:t>
      </w:r>
      <w:proofErr w:type="spellEnd"/>
    </w:p>
    <w:p w14:paraId="51617AFB" w14:textId="7DE4950D" w:rsidR="00C01F33" w:rsidRDefault="00C01F33" w:rsidP="00CE0424">
      <w:pPr>
        <w:pStyle w:val="Heading1"/>
      </w:pPr>
      <w:r w:rsidRPr="00CE0424">
        <w:t>Conclusion</w:t>
      </w:r>
      <w:r w:rsidR="007D38AF">
        <w:t>s</w:t>
      </w:r>
    </w:p>
    <w:p w14:paraId="60ABE5A6" w14:textId="567D0DD9" w:rsidR="002149E7" w:rsidRDefault="001206B3" w:rsidP="002149E7">
      <w:pPr>
        <w:rPr>
          <w:lang w:val="en-GB" w:eastAsia="zh-CN"/>
        </w:rPr>
      </w:pPr>
      <w:r>
        <w:rPr>
          <w:lang w:val="en-GB" w:eastAsia="zh-CN"/>
        </w:rPr>
        <w:t>W</w:t>
      </w:r>
      <w:r w:rsidR="00D916CD">
        <w:rPr>
          <w:lang w:val="en-GB" w:eastAsia="zh-CN"/>
        </w:rPr>
        <w:t>e propose the following</w:t>
      </w:r>
      <w:r w:rsidR="007D38AF">
        <w:rPr>
          <w:lang w:val="en-GB" w:eastAsia="zh-CN"/>
        </w:rPr>
        <w:t>:</w:t>
      </w:r>
    </w:p>
    <w:p w14:paraId="4AD74835" w14:textId="68B280D0" w:rsidR="006573F7" w:rsidRPr="001B1E82" w:rsidRDefault="006573F7" w:rsidP="006573F7">
      <w:pPr>
        <w:rPr>
          <w:b/>
          <w:u w:val="single"/>
          <w:lang w:eastAsia="x-none"/>
        </w:rPr>
      </w:pPr>
      <w:r w:rsidRPr="001B1E82">
        <w:rPr>
          <w:b/>
          <w:u w:val="single"/>
          <w:lang w:eastAsia="x-none"/>
        </w:rPr>
        <w:t>Proposal</w:t>
      </w:r>
      <w:r>
        <w:rPr>
          <w:b/>
          <w:u w:val="single"/>
          <w:lang w:eastAsia="x-none"/>
        </w:rPr>
        <w:t xml:space="preserve"> 1</w:t>
      </w:r>
    </w:p>
    <w:p w14:paraId="3FFA0813" w14:textId="77777777" w:rsidR="006573F7" w:rsidRDefault="006573F7" w:rsidP="006573F7">
      <w:pPr>
        <w:pStyle w:val="BodyText"/>
        <w:spacing w:after="120" w:line="240" w:lineRule="auto"/>
        <w:jc w:val="both"/>
        <w:rPr>
          <w:rFonts w:cs="Vrinda"/>
          <w:lang w:bidi="bn-IN"/>
        </w:rPr>
      </w:pPr>
      <w:proofErr w:type="spellStart"/>
      <w:proofErr w:type="gramStart"/>
      <w:r>
        <w:rPr>
          <w:lang w:bidi="bn-IN"/>
        </w:rPr>
        <w:t>P</w:t>
      </w:r>
      <w:r>
        <w:rPr>
          <w:vertAlign w:val="subscript"/>
          <w:lang w:bidi="bn-IN"/>
        </w:rPr>
        <w:t>CMAX</w:t>
      </w:r>
      <w:r>
        <w:rPr>
          <w:rFonts w:cs="Vrinda"/>
          <w:vertAlign w:val="subscript"/>
          <w:lang w:bidi="bn-IN"/>
        </w:rPr>
        <w:t>,</w:t>
      </w:r>
      <w:r>
        <w:rPr>
          <w:rFonts w:cs="Vrinda"/>
          <w:i/>
          <w:vertAlign w:val="subscript"/>
          <w:lang w:bidi="bn-IN"/>
        </w:rPr>
        <w:t>c</w:t>
      </w:r>
      <w:proofErr w:type="spellEnd"/>
      <w:proofErr w:type="gramEnd"/>
      <w:r>
        <w:rPr>
          <w:rFonts w:cs="Vrinda"/>
          <w:i/>
          <w:vertAlign w:val="subscript"/>
          <w:lang w:bidi="bn-IN"/>
        </w:rPr>
        <w:t xml:space="preserve"> </w:t>
      </w:r>
      <w:r>
        <w:rPr>
          <w:rFonts w:cs="Vrinda"/>
          <w:lang w:bidi="bn-IN"/>
        </w:rPr>
        <w:t xml:space="preserve">, </w:t>
      </w:r>
      <w:r>
        <w:rPr>
          <w:lang w:val="sv-SE"/>
        </w:rPr>
        <w:t>P</w:t>
      </w:r>
      <w:r>
        <w:rPr>
          <w:vertAlign w:val="subscript"/>
          <w:lang w:val="sv-SE"/>
        </w:rPr>
        <w:t>EN-DC,tot</w:t>
      </w:r>
      <w:r>
        <w:rPr>
          <w:rFonts w:cs="Vrinda"/>
          <w:lang w:val="sv-SE" w:bidi="bn-IN"/>
        </w:rPr>
        <w:t xml:space="preserve"> </w:t>
      </w:r>
      <w:r>
        <w:rPr>
          <w:rFonts w:cs="Vrinda"/>
          <w:lang w:bidi="bn-IN"/>
        </w:rPr>
        <w:t xml:space="preserve">should be defined in RAN4 such that </w:t>
      </w:r>
    </w:p>
    <w:p w14:paraId="76148D2D" w14:textId="0A69B62C" w:rsidR="006573F7" w:rsidRDefault="00EC3F39" w:rsidP="006573F7">
      <w:pPr>
        <w:pStyle w:val="BodyText"/>
        <w:numPr>
          <w:ilvl w:val="0"/>
          <w:numId w:val="43"/>
        </w:numPr>
        <w:spacing w:after="120" w:line="240" w:lineRule="auto"/>
        <w:jc w:val="both"/>
        <w:rPr>
          <w:b/>
          <w:u w:val="single"/>
        </w:rPr>
      </w:pPr>
      <w:r>
        <w:rPr>
          <w:rFonts w:cs="Vrinda"/>
          <w:lang w:bidi="bn-IN"/>
        </w:rPr>
        <w:t>t</w:t>
      </w:r>
      <w:bookmarkStart w:id="4" w:name="_GoBack"/>
      <w:bookmarkEnd w:id="4"/>
      <w:r>
        <w:rPr>
          <w:rFonts w:cs="Vrinda"/>
          <w:lang w:bidi="bn-IN"/>
        </w:rPr>
        <w:t xml:space="preserve">hey </w:t>
      </w:r>
      <w:r w:rsidR="006573F7">
        <w:rPr>
          <w:rFonts w:cs="Vrinda"/>
          <w:lang w:bidi="bn-IN"/>
        </w:rPr>
        <w:t>take into account the assumption that NR transmission details are not used for calculation of transmission power of LTE (i.e., no need to revisit the RAN1 assumption regarding this, and no changes needed to RAN1 specs)</w:t>
      </w:r>
    </w:p>
    <w:p w14:paraId="0D78F41B" w14:textId="77777777" w:rsidR="006573F7" w:rsidRDefault="006573F7" w:rsidP="006573F7">
      <w:pPr>
        <w:pStyle w:val="BodyText"/>
        <w:numPr>
          <w:ilvl w:val="0"/>
          <w:numId w:val="43"/>
        </w:numPr>
        <w:spacing w:after="120" w:line="240" w:lineRule="auto"/>
        <w:jc w:val="both"/>
        <w:rPr>
          <w:b/>
          <w:u w:val="single"/>
        </w:rPr>
      </w:pPr>
      <w:r>
        <w:rPr>
          <w:rFonts w:cs="Vrinda"/>
          <w:lang w:bidi="bn-IN"/>
        </w:rPr>
        <w:t xml:space="preserve">they use the existing A-MPR formulas in 38.101-3 (i.e., no need for RAN4 to re-do A-MPR simulations). </w:t>
      </w:r>
    </w:p>
    <w:p w14:paraId="334702F6" w14:textId="0560CE54" w:rsidR="001206B3" w:rsidRDefault="001206B3" w:rsidP="001206B3">
      <w:pPr>
        <w:pStyle w:val="BodyText"/>
        <w:rPr>
          <w:b/>
          <w:u w:val="single"/>
        </w:rPr>
      </w:pPr>
      <w:r w:rsidRPr="00CE08A1">
        <w:rPr>
          <w:b/>
          <w:u w:val="single"/>
        </w:rPr>
        <w:t xml:space="preserve">Proposal </w:t>
      </w:r>
      <w:r w:rsidR="006573F7">
        <w:rPr>
          <w:b/>
          <w:u w:val="single"/>
        </w:rPr>
        <w:t>2</w:t>
      </w:r>
    </w:p>
    <w:p w14:paraId="46496212" w14:textId="77777777" w:rsidR="001206B3" w:rsidRPr="00DD389A" w:rsidRDefault="001206B3" w:rsidP="001206B3">
      <w:pPr>
        <w:pStyle w:val="BodyText"/>
        <w:numPr>
          <w:ilvl w:val="0"/>
          <w:numId w:val="22"/>
        </w:numPr>
        <w:spacing w:after="120" w:line="240" w:lineRule="auto"/>
        <w:jc w:val="both"/>
        <w:rPr>
          <w:b/>
          <w:u w:val="single"/>
        </w:rPr>
      </w:pPr>
      <w:r w:rsidRPr="00DD389A">
        <w:t>P_LTE and P_NR signaling defined for EN-DC should be reused for Option 4/4A</w:t>
      </w:r>
    </w:p>
    <w:p w14:paraId="08442A0E" w14:textId="77777777" w:rsidR="001206B3" w:rsidRPr="00DD389A" w:rsidRDefault="001206B3" w:rsidP="001206B3">
      <w:pPr>
        <w:pStyle w:val="BodyText"/>
        <w:numPr>
          <w:ilvl w:val="0"/>
          <w:numId w:val="22"/>
        </w:numPr>
        <w:spacing w:after="120" w:line="240" w:lineRule="auto"/>
        <w:jc w:val="both"/>
        <w:rPr>
          <w:b/>
          <w:u w:val="single"/>
        </w:rPr>
      </w:pPr>
      <w:r w:rsidRPr="00DD389A">
        <w:t>Dynamic power sharing capability should be supported for Option 4/4A</w:t>
      </w:r>
    </w:p>
    <w:p w14:paraId="468590AD" w14:textId="54F6F258" w:rsidR="001206B3" w:rsidRPr="00DD389A" w:rsidRDefault="001206B3" w:rsidP="00430754">
      <w:pPr>
        <w:pStyle w:val="BodyText"/>
        <w:numPr>
          <w:ilvl w:val="1"/>
          <w:numId w:val="22"/>
        </w:numPr>
        <w:spacing w:after="120" w:line="240" w:lineRule="auto"/>
        <w:jc w:val="both"/>
        <w:rPr>
          <w:b/>
          <w:u w:val="single"/>
        </w:rPr>
      </w:pPr>
      <w:r w:rsidRPr="00DD389A">
        <w:t>UE should scale down/drop LTE (SCG) transmissions when power limited, and the details of scaling/dropping can be left to UE implementation.</w:t>
      </w:r>
    </w:p>
    <w:p w14:paraId="265B05D6" w14:textId="7EE064ED" w:rsidR="004266EE" w:rsidRPr="00DD389A" w:rsidRDefault="004266EE" w:rsidP="001206B3">
      <w:pPr>
        <w:pStyle w:val="BodyText"/>
        <w:numPr>
          <w:ilvl w:val="0"/>
          <w:numId w:val="22"/>
        </w:numPr>
        <w:spacing w:after="120" w:line="240" w:lineRule="auto"/>
        <w:jc w:val="both"/>
        <w:rPr>
          <w:b/>
          <w:u w:val="single"/>
        </w:rPr>
      </w:pPr>
      <w:r w:rsidRPr="00DD389A">
        <w:t xml:space="preserve">For support of semi-static partitioning of LTE and NR UL transmissions </w:t>
      </w:r>
      <w:proofErr w:type="gramStart"/>
      <w:r w:rsidRPr="00DD389A">
        <w:t>similar to</w:t>
      </w:r>
      <w:proofErr w:type="gramEnd"/>
      <w:r w:rsidRPr="00DD389A">
        <w:t xml:space="preserve"> Case1-OperationA agreed for EN-DC (for UEs not supporting dynamic power sharing)</w:t>
      </w:r>
      <w:r w:rsidR="00B2764C" w:rsidRPr="00DD389A">
        <w:t>,</w:t>
      </w:r>
      <w:r w:rsidRPr="00DD389A">
        <w:t xml:space="preserve"> the changes agreed so far for LTE </w:t>
      </w:r>
      <w:proofErr w:type="spellStart"/>
      <w:r w:rsidRPr="00DD389A">
        <w:t>Pcell</w:t>
      </w:r>
      <w:proofErr w:type="spellEnd"/>
      <w:r w:rsidRPr="00DD389A">
        <w:t xml:space="preserve"> UE behavior can be replicated for LTE </w:t>
      </w:r>
      <w:proofErr w:type="spellStart"/>
      <w:r w:rsidRPr="00DD389A">
        <w:t>PScell</w:t>
      </w:r>
      <w:proofErr w:type="spellEnd"/>
      <w:r w:rsidR="00433B73">
        <w:t xml:space="preserve"> </w:t>
      </w:r>
    </w:p>
    <w:p w14:paraId="7E24D454" w14:textId="77777777" w:rsidR="00F507D1" w:rsidRPr="00D53CED" w:rsidRDefault="00F507D1" w:rsidP="0009033B">
      <w:pPr>
        <w:pStyle w:val="Heading1"/>
      </w:pPr>
      <w:r w:rsidRPr="00D53CED">
        <w:t>References</w:t>
      </w:r>
    </w:p>
    <w:p w14:paraId="70234F4E" w14:textId="0309FF8F" w:rsidR="00382455" w:rsidRDefault="00382455" w:rsidP="00EE22C6">
      <w:pPr>
        <w:pStyle w:val="Reference"/>
        <w:numPr>
          <w:ilvl w:val="0"/>
          <w:numId w:val="0"/>
        </w:numPr>
        <w:ind w:left="567"/>
        <w:rPr>
          <w:rFonts w:ascii="Times New Roman"/>
        </w:rPr>
      </w:pPr>
    </w:p>
    <w:p w14:paraId="068F1275" w14:textId="119F3E97" w:rsidR="00085DF4" w:rsidRDefault="006A7922" w:rsidP="006A7922">
      <w:pPr>
        <w:rPr>
          <w:lang w:val="en-GB" w:eastAsia="zh-CN"/>
        </w:rPr>
      </w:pPr>
      <w:r w:rsidRPr="00C76897">
        <w:rPr>
          <w:lang w:val="en-GB" w:eastAsia="zh-CN"/>
        </w:rPr>
        <w:t xml:space="preserve">[1] </w:t>
      </w:r>
      <w:r w:rsidR="00085DF4">
        <w:rPr>
          <w:lang w:val="en-GB" w:eastAsia="zh-CN"/>
        </w:rPr>
        <w:t>RP-182167 – “</w:t>
      </w:r>
      <w:r w:rsidR="00085DF4" w:rsidRPr="00085DF4">
        <w:rPr>
          <w:lang w:val="en-GB" w:eastAsia="zh-CN"/>
        </w:rPr>
        <w:t>LS on EN-DC Power Control</w:t>
      </w:r>
      <w:r w:rsidR="00085DF4">
        <w:rPr>
          <w:lang w:val="en-GB" w:eastAsia="zh-CN"/>
        </w:rPr>
        <w:t>”, RAN to RAN4, RAN#81, Gold coast, Australia, September 2018.</w:t>
      </w:r>
    </w:p>
    <w:p w14:paraId="7BAB62A0" w14:textId="16CDCD62" w:rsidR="006A7922" w:rsidRPr="00C76897" w:rsidRDefault="00085DF4" w:rsidP="006A7922">
      <w:pPr>
        <w:rPr>
          <w:rFonts w:eastAsia="MS Mincho"/>
          <w:lang w:val="fr-FR" w:eastAsia="ja-JP"/>
        </w:rPr>
      </w:pPr>
      <w:r>
        <w:rPr>
          <w:lang w:val="en-AU"/>
        </w:rPr>
        <w:t xml:space="preserve">[3] </w:t>
      </w:r>
      <w:r w:rsidR="00C76897">
        <w:rPr>
          <w:lang w:val="en-AU"/>
        </w:rPr>
        <w:t>R1-1807805 – “</w:t>
      </w:r>
      <w:r w:rsidR="00C76897" w:rsidRPr="00B92AF6">
        <w:rPr>
          <w:lang w:eastAsia="x-none"/>
        </w:rPr>
        <w:t xml:space="preserve">LS on RAN4 agreement on </w:t>
      </w:r>
      <w:proofErr w:type="spellStart"/>
      <w:r w:rsidR="00C76897" w:rsidRPr="00B92AF6">
        <w:rPr>
          <w:lang w:eastAsia="x-none"/>
        </w:rPr>
        <w:t>intraband</w:t>
      </w:r>
      <w:proofErr w:type="spellEnd"/>
      <w:r w:rsidR="00C76897" w:rsidRPr="00B92AF6">
        <w:rPr>
          <w:lang w:eastAsia="x-none"/>
        </w:rPr>
        <w:t xml:space="preserve"> EN-DC A-MPR</w:t>
      </w:r>
      <w:r w:rsidR="00C76897">
        <w:rPr>
          <w:lang w:val="en-AU"/>
        </w:rPr>
        <w:t xml:space="preserve">”, RAN4 to RAN1, </w:t>
      </w:r>
      <w:r w:rsidR="00DD389A">
        <w:rPr>
          <w:lang w:val="en-AU"/>
        </w:rPr>
        <w:t>RAN1#93, Busan, Korea, May 2018.</w:t>
      </w:r>
    </w:p>
    <w:p w14:paraId="78F39214" w14:textId="2BEBFF8F" w:rsidR="006A7922" w:rsidRPr="00C76897" w:rsidRDefault="006A7922" w:rsidP="006A7922">
      <w:pPr>
        <w:rPr>
          <w:rFonts w:eastAsia="MS Mincho"/>
          <w:lang w:eastAsia="ja-JP"/>
        </w:rPr>
      </w:pPr>
      <w:r w:rsidRPr="00C76897">
        <w:rPr>
          <w:rFonts w:eastAsia="MS Mincho"/>
          <w:lang w:eastAsia="ja-JP"/>
        </w:rPr>
        <w:t>[2]</w:t>
      </w:r>
      <w:r w:rsidR="00CF3355" w:rsidRPr="00C76897">
        <w:rPr>
          <w:rFonts w:eastAsia="MS Mincho"/>
          <w:lang w:eastAsia="ja-JP"/>
        </w:rPr>
        <w:t xml:space="preserve"> </w:t>
      </w:r>
      <w:r w:rsidR="00232509" w:rsidRPr="00C76897">
        <w:rPr>
          <w:rFonts w:eastAsia="MS Mincho"/>
          <w:lang w:eastAsia="ja-JP"/>
        </w:rPr>
        <w:t>R</w:t>
      </w:r>
      <w:r w:rsidR="00DD389A">
        <w:rPr>
          <w:rFonts w:eastAsia="MS Mincho"/>
          <w:lang w:eastAsia="ja-JP"/>
        </w:rPr>
        <w:t>1-1807974 – “</w:t>
      </w:r>
      <w:r w:rsidR="00DD389A" w:rsidRPr="00DD389A">
        <w:rPr>
          <w:rFonts w:eastAsia="MS Mincho"/>
          <w:lang w:eastAsia="ja-JP"/>
        </w:rPr>
        <w:t xml:space="preserve">Reply LS on RAN4 agreement on </w:t>
      </w:r>
      <w:proofErr w:type="spellStart"/>
      <w:r w:rsidR="00DD389A" w:rsidRPr="00DD389A">
        <w:rPr>
          <w:rFonts w:eastAsia="MS Mincho"/>
          <w:lang w:eastAsia="ja-JP"/>
        </w:rPr>
        <w:t>intraband</w:t>
      </w:r>
      <w:proofErr w:type="spellEnd"/>
      <w:r w:rsidR="00DD389A" w:rsidRPr="00DD389A">
        <w:rPr>
          <w:rFonts w:eastAsia="MS Mincho"/>
          <w:lang w:eastAsia="ja-JP"/>
        </w:rPr>
        <w:t xml:space="preserve"> EN-DC A-MPR</w:t>
      </w:r>
      <w:r w:rsidR="00DD389A">
        <w:rPr>
          <w:rFonts w:eastAsia="MS Mincho"/>
          <w:lang w:eastAsia="ja-JP"/>
        </w:rPr>
        <w:t>”, RAN1 to RAN4, RAN1#93, Busan, Korea, May 2018.</w:t>
      </w:r>
    </w:p>
    <w:p w14:paraId="1C224326" w14:textId="0C6387BD" w:rsidR="000F65A0" w:rsidRDefault="000F65A0" w:rsidP="006A7922">
      <w:pPr>
        <w:rPr>
          <w:lang w:val="en-GB" w:eastAsia="zh-CN"/>
        </w:rPr>
      </w:pPr>
      <w:r w:rsidRPr="00C76897">
        <w:rPr>
          <w:lang w:val="en-GB" w:eastAsia="zh-CN"/>
        </w:rPr>
        <w:t>[</w:t>
      </w:r>
      <w:r w:rsidR="00232509" w:rsidRPr="00C76897">
        <w:rPr>
          <w:lang w:val="en-GB" w:eastAsia="zh-CN"/>
        </w:rPr>
        <w:t>3</w:t>
      </w:r>
      <w:r w:rsidRPr="00C76897">
        <w:rPr>
          <w:lang w:val="en-GB" w:eastAsia="zh-CN"/>
        </w:rPr>
        <w:t>]</w:t>
      </w:r>
      <w:r w:rsidR="00232509" w:rsidRPr="00C76897">
        <w:rPr>
          <w:lang w:val="en-GB" w:eastAsia="zh-CN"/>
        </w:rPr>
        <w:t xml:space="preserve"> R4-1810058</w:t>
      </w:r>
      <w:r w:rsidR="00DD389A">
        <w:rPr>
          <w:lang w:val="en-GB" w:eastAsia="zh-CN"/>
        </w:rPr>
        <w:t xml:space="preserve"> – CR to 38.101-3 on “</w:t>
      </w:r>
      <w:r w:rsidR="00DD389A">
        <w:rPr>
          <w:noProof/>
        </w:rPr>
        <w:t>Configured maximum power for EN-DC</w:t>
      </w:r>
      <w:r w:rsidR="00DD389A">
        <w:rPr>
          <w:lang w:val="en-GB" w:eastAsia="zh-CN"/>
        </w:rPr>
        <w:t>”, Ericsson, RAN4#88, Gothenburg, Sweden, August 2018.</w:t>
      </w:r>
    </w:p>
    <w:p w14:paraId="7D4E61A7" w14:textId="6070D1BB" w:rsidR="00085DF4" w:rsidRDefault="00085DF4" w:rsidP="00085DF4">
      <w:pPr>
        <w:rPr>
          <w:lang w:val="en-GB" w:eastAsia="zh-CN"/>
        </w:rPr>
      </w:pPr>
      <w:r>
        <w:rPr>
          <w:lang w:val="en-GB" w:eastAsia="zh-CN"/>
        </w:rPr>
        <w:t>[4] R1-1809847 – “</w:t>
      </w:r>
      <w:r w:rsidRPr="00AF147A">
        <w:rPr>
          <w:lang w:val="en-GB" w:eastAsia="zh-CN"/>
        </w:rPr>
        <w:t>Remaining issues related to LTE-NR coexistence</w:t>
      </w:r>
      <w:r>
        <w:rPr>
          <w:lang w:val="en-GB" w:eastAsia="zh-CN"/>
        </w:rPr>
        <w:t>”, Ericsson, RAN1#94, Gothenburg, Sweden, August 2018.</w:t>
      </w:r>
    </w:p>
    <w:p w14:paraId="579A25C4" w14:textId="6C310D3E" w:rsidR="00085DF4" w:rsidRDefault="00085DF4" w:rsidP="00085DF4">
      <w:pPr>
        <w:rPr>
          <w:rFonts w:eastAsia="MS Mincho"/>
          <w:lang w:val="fr-FR" w:eastAsia="ja-JP"/>
        </w:rPr>
      </w:pPr>
      <w:r>
        <w:rPr>
          <w:rFonts w:eastAsia="MS Mincho"/>
          <w:lang w:val="fr-FR" w:eastAsia="ja-JP"/>
        </w:rPr>
        <w:t xml:space="preserve">[5] </w:t>
      </w:r>
      <w:r>
        <w:t>R4-1812032 - CR to 38.101-3 on “Configured output power for intra-band EN-DC”, Ericsson, RAN4#88bis, Chengdu, P.R. China, October 2018.</w:t>
      </w:r>
    </w:p>
    <w:p w14:paraId="5B830DD0" w14:textId="7E9EAA5C" w:rsidR="00433B73" w:rsidRDefault="00433B73" w:rsidP="00433B73">
      <w:r>
        <w:rPr>
          <w:rFonts w:eastAsia="MS Mincho"/>
          <w:lang w:val="fr-FR" w:eastAsia="ja-JP"/>
        </w:rPr>
        <w:t xml:space="preserve">[6] </w:t>
      </w:r>
      <w:r>
        <w:t>R4-1812031 - CR to 38.101-3 on “</w:t>
      </w:r>
      <w:proofErr w:type="spellStart"/>
      <w:r w:rsidRPr="00433B73">
        <w:t>Pcmax</w:t>
      </w:r>
      <w:proofErr w:type="spellEnd"/>
      <w:r w:rsidRPr="00433B73">
        <w:t xml:space="preserve"> for intra-band EN-DC</w:t>
      </w:r>
      <w:r>
        <w:t>”, Ericsson, RAN4#88bis, Chengdu, P.R. China, October 2018.</w:t>
      </w:r>
    </w:p>
    <w:p w14:paraId="615B0EA9" w14:textId="68788C6A" w:rsidR="00085DF4" w:rsidRPr="00C76897" w:rsidRDefault="00433B73" w:rsidP="006A7922">
      <w:pPr>
        <w:rPr>
          <w:rFonts w:eastAsia="MS Mincho"/>
          <w:lang w:val="fr-FR" w:eastAsia="ja-JP"/>
        </w:rPr>
      </w:pPr>
      <w:r>
        <w:rPr>
          <w:rFonts w:eastAsia="MS Mincho"/>
          <w:lang w:val="fr-FR" w:eastAsia="ja-JP"/>
        </w:rPr>
        <w:lastRenderedPageBreak/>
        <w:t xml:space="preserve">[7] RP-181473 – </w:t>
      </w:r>
      <w:r>
        <w:rPr>
          <w:lang w:val="en-GB" w:eastAsia="zh-CN"/>
        </w:rPr>
        <w:t>”</w:t>
      </w:r>
      <w:r w:rsidRPr="00433B73">
        <w:rPr>
          <w:lang w:val="en-GB" w:eastAsia="zh-CN"/>
        </w:rPr>
        <w:t xml:space="preserve">Rel-15 Work Item Exception for New Radio Access Technology </w:t>
      </w:r>
      <w:r>
        <w:rPr>
          <w:lang w:val="en-GB" w:eastAsia="zh-CN"/>
        </w:rPr>
        <w:t>–</w:t>
      </w:r>
      <w:r w:rsidRPr="00433B73">
        <w:rPr>
          <w:lang w:val="en-GB" w:eastAsia="zh-CN"/>
        </w:rPr>
        <w:t xml:space="preserve"> Core</w:t>
      </w:r>
      <w:r>
        <w:rPr>
          <w:lang w:val="en-GB" w:eastAsia="zh-CN"/>
        </w:rPr>
        <w:t>”, RAN#80, La Jolla USA, June 2018.</w:t>
      </w:r>
    </w:p>
    <w:p w14:paraId="0E90752A" w14:textId="2F1C7A00" w:rsidR="001B616C" w:rsidRDefault="00433B73" w:rsidP="001B616C">
      <w:pPr>
        <w:rPr>
          <w:rFonts w:eastAsia="MS Mincho"/>
          <w:lang w:val="fr-FR" w:eastAsia="ja-JP"/>
        </w:rPr>
      </w:pPr>
      <w:r>
        <w:rPr>
          <w:lang w:val="en-GB" w:eastAsia="zh-CN"/>
        </w:rPr>
        <w:t xml:space="preserve"> </w:t>
      </w:r>
      <w:r w:rsidR="001B616C">
        <w:rPr>
          <w:lang w:val="en-GB" w:eastAsia="zh-CN"/>
        </w:rPr>
        <w:t>[</w:t>
      </w:r>
      <w:r>
        <w:rPr>
          <w:lang w:val="en-GB" w:eastAsia="zh-CN"/>
        </w:rPr>
        <w:t>8</w:t>
      </w:r>
      <w:r w:rsidR="001B616C">
        <w:rPr>
          <w:lang w:val="en-GB" w:eastAsia="zh-CN"/>
        </w:rPr>
        <w:t>] R1-180</w:t>
      </w:r>
      <w:r>
        <w:rPr>
          <w:lang w:val="en-GB" w:eastAsia="zh-CN"/>
        </w:rPr>
        <w:t>4455</w:t>
      </w:r>
      <w:r w:rsidR="001B616C">
        <w:rPr>
          <w:lang w:val="en-GB" w:eastAsia="zh-CN"/>
        </w:rPr>
        <w:t xml:space="preserve"> – “</w:t>
      </w:r>
      <w:r w:rsidRPr="00433B73">
        <w:t>On remaining issues of NR-LTE co-existence</w:t>
      </w:r>
      <w:r w:rsidR="001B616C">
        <w:rPr>
          <w:lang w:val="en-GB" w:eastAsia="zh-CN"/>
        </w:rPr>
        <w:t xml:space="preserve">”, </w:t>
      </w:r>
      <w:r w:rsidR="001B616C">
        <w:rPr>
          <w:rFonts w:eastAsia="MS Mincho"/>
          <w:lang w:eastAsia="ja-JP"/>
        </w:rPr>
        <w:t xml:space="preserve">Ericsson, RAN1#92bis, </w:t>
      </w:r>
      <w:proofErr w:type="spellStart"/>
      <w:r w:rsidR="001B616C">
        <w:rPr>
          <w:rFonts w:eastAsia="MS Mincho"/>
          <w:lang w:eastAsia="ja-JP"/>
        </w:rPr>
        <w:t>Sanya</w:t>
      </w:r>
      <w:proofErr w:type="spellEnd"/>
      <w:r w:rsidR="001B616C">
        <w:rPr>
          <w:rFonts w:eastAsia="MS Mincho"/>
          <w:lang w:eastAsia="ja-JP"/>
        </w:rPr>
        <w:t>, P</w:t>
      </w:r>
      <w:r w:rsidR="001B616C">
        <w:rPr>
          <w:rFonts w:eastAsia="MS Mincho"/>
          <w:lang w:val="fr-FR" w:eastAsia="ja-JP"/>
        </w:rPr>
        <w:t>.R. China, April 2018.</w:t>
      </w:r>
    </w:p>
    <w:p w14:paraId="24A94354" w14:textId="1E8A4B3C" w:rsidR="00D20766" w:rsidRDefault="00D20766" w:rsidP="00E24AEA">
      <w:pPr>
        <w:pStyle w:val="Heading1"/>
      </w:pPr>
      <w:r>
        <w:t xml:space="preserve">Annex A – Relevant Agreements </w:t>
      </w:r>
    </w:p>
    <w:p w14:paraId="756BEA34" w14:textId="77777777" w:rsidR="00D20766" w:rsidRDefault="00D20766" w:rsidP="00D20766">
      <w:pPr>
        <w:rPr>
          <w:u w:val="single"/>
        </w:rPr>
      </w:pPr>
    </w:p>
    <w:p w14:paraId="4804C12E" w14:textId="77777777" w:rsidR="00D20766" w:rsidRPr="00650611" w:rsidRDefault="00D20766" w:rsidP="00D20766">
      <w:pPr>
        <w:rPr>
          <w:u w:val="single"/>
        </w:rPr>
      </w:pPr>
      <w:r w:rsidRPr="00650611">
        <w:rPr>
          <w:u w:val="single"/>
        </w:rPr>
        <w:t>In RAN1 NR AH#2, the following was agreed</w:t>
      </w:r>
    </w:p>
    <w:p w14:paraId="7973D7F3" w14:textId="77777777" w:rsidR="00D20766" w:rsidRPr="00AF20FF" w:rsidRDefault="00D20766" w:rsidP="00D20766">
      <w:pPr>
        <w:rPr>
          <w:rFonts w:eastAsia="MS Mincho"/>
          <w:b/>
          <w:szCs w:val="20"/>
          <w:u w:val="single"/>
          <w:lang w:eastAsia="ja-JP"/>
        </w:rPr>
      </w:pPr>
      <w:r w:rsidRPr="00AF20FF">
        <w:rPr>
          <w:rFonts w:eastAsia="MS Mincho"/>
          <w:b/>
          <w:szCs w:val="20"/>
          <w:highlight w:val="green"/>
          <w:u w:val="single"/>
          <w:lang w:eastAsia="ja-JP"/>
        </w:rPr>
        <w:t>Agreements</w:t>
      </w:r>
      <w:r w:rsidRPr="00AF20FF">
        <w:rPr>
          <w:rFonts w:eastAsia="MS Mincho"/>
          <w:b/>
          <w:szCs w:val="20"/>
          <w:u w:val="single"/>
          <w:lang w:eastAsia="ja-JP"/>
        </w:rPr>
        <w:t>:</w:t>
      </w:r>
    </w:p>
    <w:p w14:paraId="6C30881A" w14:textId="77777777" w:rsidR="00D20766" w:rsidRPr="008023BE" w:rsidRDefault="00D20766" w:rsidP="00D20766">
      <w:pPr>
        <w:numPr>
          <w:ilvl w:val="0"/>
          <w:numId w:val="24"/>
        </w:numPr>
        <w:spacing w:after="0" w:line="240" w:lineRule="auto"/>
        <w:rPr>
          <w:rFonts w:eastAsia="MS Mincho"/>
          <w:szCs w:val="20"/>
          <w:lang w:eastAsia="ja-JP"/>
        </w:rPr>
      </w:pPr>
      <w:r w:rsidRPr="008023BE">
        <w:rPr>
          <w:rFonts w:eastAsia="MS Mincho"/>
          <w:szCs w:val="20"/>
          <w:lang w:eastAsia="ja-JP"/>
        </w:rPr>
        <w:t>Regarding power sharing for LTE-NR dual connectivity, support at least semi-static power sharing between LTE and NR</w:t>
      </w:r>
    </w:p>
    <w:p w14:paraId="1CE22CFB" w14:textId="77777777" w:rsidR="00D20766" w:rsidRPr="006F26E3" w:rsidRDefault="00D20766" w:rsidP="00D20766">
      <w:pPr>
        <w:numPr>
          <w:ilvl w:val="1"/>
          <w:numId w:val="24"/>
        </w:numPr>
        <w:spacing w:after="0" w:line="240" w:lineRule="auto"/>
        <w:rPr>
          <w:rFonts w:eastAsia="MS Mincho"/>
          <w:szCs w:val="20"/>
          <w:lang w:eastAsia="ja-JP"/>
        </w:rPr>
      </w:pPr>
      <w:r w:rsidRPr="006F26E3">
        <w:rPr>
          <w:rFonts w:eastAsia="MS Mincho"/>
          <w:szCs w:val="20"/>
          <w:lang w:eastAsia="ja-JP"/>
        </w:rPr>
        <w:t>FFS details</w:t>
      </w:r>
    </w:p>
    <w:p w14:paraId="2BE46370" w14:textId="77777777" w:rsidR="00D20766" w:rsidRPr="00510CE6" w:rsidRDefault="00D20766" w:rsidP="00D20766">
      <w:pPr>
        <w:numPr>
          <w:ilvl w:val="1"/>
          <w:numId w:val="24"/>
        </w:numPr>
        <w:spacing w:after="0" w:line="240" w:lineRule="auto"/>
        <w:rPr>
          <w:rFonts w:eastAsia="MS Mincho"/>
          <w:szCs w:val="20"/>
          <w:lang w:eastAsia="ja-JP"/>
        </w:rPr>
      </w:pPr>
      <w:r w:rsidRPr="00510CE6">
        <w:rPr>
          <w:rFonts w:eastAsia="MS Mincho"/>
          <w:szCs w:val="20"/>
          <w:lang w:eastAsia="ja-JP"/>
        </w:rPr>
        <w:t xml:space="preserve">Discuss further </w:t>
      </w:r>
      <w:proofErr w:type="gramStart"/>
      <w:r w:rsidRPr="00510CE6">
        <w:rPr>
          <w:rFonts w:eastAsia="MS Mincho"/>
          <w:szCs w:val="20"/>
          <w:lang w:eastAsia="ja-JP"/>
        </w:rPr>
        <w:t>whether or not</w:t>
      </w:r>
      <w:proofErr w:type="gramEnd"/>
      <w:r w:rsidRPr="00510CE6">
        <w:rPr>
          <w:rFonts w:eastAsia="MS Mincho"/>
          <w:szCs w:val="20"/>
          <w:lang w:eastAsia="ja-JP"/>
        </w:rPr>
        <w:t xml:space="preserve"> to support dynamic power sharing between LTE and NR</w:t>
      </w:r>
    </w:p>
    <w:p w14:paraId="73C799C0" w14:textId="77777777" w:rsidR="00D20766" w:rsidRPr="00510CE6" w:rsidRDefault="00D20766" w:rsidP="00D20766">
      <w:pPr>
        <w:numPr>
          <w:ilvl w:val="1"/>
          <w:numId w:val="24"/>
        </w:numPr>
        <w:spacing w:after="0" w:line="240" w:lineRule="auto"/>
        <w:rPr>
          <w:rFonts w:eastAsia="MS Mincho"/>
          <w:szCs w:val="20"/>
          <w:lang w:eastAsia="ja-JP"/>
        </w:rPr>
      </w:pPr>
      <w:r w:rsidRPr="00510CE6">
        <w:rPr>
          <w:rFonts w:eastAsia="MS Mincho"/>
          <w:szCs w:val="20"/>
          <w:lang w:eastAsia="ja-JP"/>
        </w:rPr>
        <w:t xml:space="preserve">Discuss further impacts due to other factors, e.g., different TTI lengths, channel/service types, synchronous vs. asynchronous, different processing latency for LTE vs. NR, assumption regarding communication between NR vs. LTE at UE, specification impact to LTE (if any) and/or NR, etc. </w:t>
      </w:r>
    </w:p>
    <w:p w14:paraId="4B624154" w14:textId="77777777" w:rsidR="00D20766" w:rsidRDefault="00D20766" w:rsidP="00D20766"/>
    <w:p w14:paraId="1371009F" w14:textId="77777777" w:rsidR="00D20766" w:rsidRPr="00650611" w:rsidRDefault="00D20766" w:rsidP="00D20766">
      <w:pPr>
        <w:rPr>
          <w:u w:val="single"/>
        </w:rPr>
      </w:pPr>
      <w:r w:rsidRPr="00650611">
        <w:rPr>
          <w:u w:val="single"/>
        </w:rPr>
        <w:t>In RAN1#90, the following was agreed</w:t>
      </w:r>
    </w:p>
    <w:p w14:paraId="713183B7" w14:textId="77777777" w:rsidR="00D20766" w:rsidRPr="00AB4A6D" w:rsidRDefault="00D20766" w:rsidP="00D20766">
      <w:pPr>
        <w:rPr>
          <w:rFonts w:eastAsia="MS Mincho"/>
          <w:lang w:eastAsia="ja-JP"/>
        </w:rPr>
      </w:pPr>
      <w:r w:rsidRPr="004C49B2">
        <w:rPr>
          <w:rFonts w:eastAsia="MS Mincho"/>
          <w:highlight w:val="green"/>
          <w:lang w:eastAsia="ja-JP"/>
        </w:rPr>
        <w:t>Agreements:</w:t>
      </w:r>
    </w:p>
    <w:p w14:paraId="1396E6EA" w14:textId="77777777" w:rsidR="00D20766" w:rsidRPr="00AB4A6D" w:rsidRDefault="00D20766" w:rsidP="00D20766">
      <w:pPr>
        <w:numPr>
          <w:ilvl w:val="0"/>
          <w:numId w:val="25"/>
        </w:numPr>
        <w:tabs>
          <w:tab w:val="left" w:pos="1440"/>
        </w:tabs>
        <w:spacing w:after="0" w:line="240" w:lineRule="auto"/>
        <w:rPr>
          <w:rFonts w:eastAsia="MS Mincho"/>
          <w:lang w:eastAsia="ja-JP"/>
        </w:rPr>
      </w:pPr>
      <w:r w:rsidRPr="00AB4A6D">
        <w:rPr>
          <w:rFonts w:eastAsia="MS Mincho"/>
          <w:lang w:eastAsia="ja-JP"/>
        </w:rPr>
        <w:t>At least for LTE-NR NSA operation</w:t>
      </w:r>
    </w:p>
    <w:p w14:paraId="1F2553FC"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Maximum allowed power values for LTE (P_LTE) and NR (P_NR) are set separately</w:t>
      </w:r>
    </w:p>
    <w:p w14:paraId="7613AE21" w14:textId="77777777" w:rsidR="00D20766" w:rsidRPr="00AB4A6D" w:rsidRDefault="00D20766" w:rsidP="00D20766">
      <w:pPr>
        <w:numPr>
          <w:ilvl w:val="2"/>
          <w:numId w:val="25"/>
        </w:numPr>
        <w:tabs>
          <w:tab w:val="left" w:pos="1440"/>
        </w:tabs>
        <w:spacing w:after="0" w:line="240" w:lineRule="auto"/>
        <w:rPr>
          <w:rFonts w:eastAsia="MS Mincho"/>
          <w:lang w:eastAsia="ja-JP"/>
        </w:rPr>
      </w:pPr>
      <w:r w:rsidRPr="00AB4A6D">
        <w:rPr>
          <w:rFonts w:eastAsia="MS Mincho"/>
          <w:lang w:eastAsia="ja-JP"/>
        </w:rPr>
        <w:t xml:space="preserve">i.e., when UE is configured for NR, P_LTE can be configured up to </w:t>
      </w:r>
      <w:proofErr w:type="spellStart"/>
      <w:r w:rsidRPr="00AB4A6D">
        <w:rPr>
          <w:rFonts w:eastAsia="MS Mincho"/>
          <w:lang w:eastAsia="ja-JP"/>
        </w:rPr>
        <w:t>P_cmax</w:t>
      </w:r>
      <w:proofErr w:type="spellEnd"/>
      <w:r w:rsidRPr="00AB4A6D">
        <w:rPr>
          <w:rFonts w:eastAsia="MS Mincho"/>
          <w:lang w:eastAsia="ja-JP"/>
        </w:rPr>
        <w:t xml:space="preserve"> </w:t>
      </w:r>
      <w:proofErr w:type="gramStart"/>
      <w:r w:rsidRPr="00AB4A6D">
        <w:rPr>
          <w:rFonts w:eastAsia="MS Mincho"/>
          <w:lang w:eastAsia="ja-JP"/>
        </w:rPr>
        <w:t>and  P</w:t>
      </w:r>
      <w:proofErr w:type="gramEnd"/>
      <w:r w:rsidRPr="00AB4A6D">
        <w:rPr>
          <w:rFonts w:eastAsia="MS Mincho"/>
          <w:lang w:eastAsia="ja-JP"/>
        </w:rPr>
        <w:t xml:space="preserve">_NR can be configured up to </w:t>
      </w:r>
      <w:proofErr w:type="spellStart"/>
      <w:r w:rsidRPr="00AB4A6D">
        <w:rPr>
          <w:rFonts w:eastAsia="MS Mincho"/>
          <w:lang w:eastAsia="ja-JP"/>
        </w:rPr>
        <w:t>P_cmax</w:t>
      </w:r>
      <w:proofErr w:type="spellEnd"/>
      <w:r w:rsidRPr="00AB4A6D">
        <w:rPr>
          <w:rFonts w:eastAsia="MS Mincho"/>
          <w:lang w:eastAsia="ja-JP"/>
        </w:rPr>
        <w:t xml:space="preserve">. </w:t>
      </w:r>
    </w:p>
    <w:p w14:paraId="6C0C220B" w14:textId="77777777" w:rsidR="00D20766" w:rsidRPr="00AB4A6D" w:rsidRDefault="00D20766" w:rsidP="00D20766">
      <w:pPr>
        <w:numPr>
          <w:ilvl w:val="2"/>
          <w:numId w:val="25"/>
        </w:numPr>
        <w:tabs>
          <w:tab w:val="left" w:pos="1440"/>
        </w:tabs>
        <w:spacing w:after="0" w:line="240" w:lineRule="auto"/>
        <w:rPr>
          <w:rFonts w:eastAsia="MS Mincho"/>
          <w:lang w:eastAsia="ja-JP"/>
        </w:rPr>
      </w:pPr>
      <w:r w:rsidRPr="00AB4A6D">
        <w:rPr>
          <w:rFonts w:eastAsia="MS Mincho"/>
          <w:lang w:eastAsia="ja-JP"/>
        </w:rPr>
        <w:t xml:space="preserve">e.g. P_LTE + P_NR &gt; </w:t>
      </w:r>
      <w:proofErr w:type="spellStart"/>
      <w:r w:rsidRPr="00AB4A6D">
        <w:rPr>
          <w:rFonts w:eastAsia="MS Mincho"/>
          <w:lang w:eastAsia="ja-JP"/>
        </w:rPr>
        <w:t>P_cmax</w:t>
      </w:r>
      <w:proofErr w:type="spellEnd"/>
      <w:r w:rsidRPr="00AB4A6D">
        <w:rPr>
          <w:rFonts w:eastAsia="MS Mincho"/>
          <w:lang w:eastAsia="ja-JP"/>
        </w:rPr>
        <w:t xml:space="preserve"> or P_LTE + P_NR = </w:t>
      </w:r>
      <w:proofErr w:type="spellStart"/>
      <w:r w:rsidRPr="00AB4A6D">
        <w:rPr>
          <w:rFonts w:eastAsia="MS Mincho"/>
          <w:lang w:eastAsia="ja-JP"/>
        </w:rPr>
        <w:t>P_cmax</w:t>
      </w:r>
      <w:proofErr w:type="spellEnd"/>
    </w:p>
    <w:p w14:paraId="2882FC27"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Signaling details for P_LTE, P_NR are left to RAN2, RAN4.</w:t>
      </w:r>
    </w:p>
    <w:p w14:paraId="44103D42"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Note: ‘</w:t>
      </w:r>
      <w:proofErr w:type="spellStart"/>
      <w:r w:rsidRPr="00AB4A6D">
        <w:rPr>
          <w:rFonts w:eastAsia="MS Mincho"/>
          <w:lang w:eastAsia="ja-JP"/>
        </w:rPr>
        <w:t>P_cmax</w:t>
      </w:r>
      <w:proofErr w:type="spellEnd"/>
      <w:r w:rsidRPr="00AB4A6D">
        <w:rPr>
          <w:rFonts w:eastAsia="MS Mincho"/>
          <w:lang w:eastAsia="ja-JP"/>
        </w:rPr>
        <w:t xml:space="preserve">’ is a limit that is </w:t>
      </w:r>
      <w:proofErr w:type="gramStart"/>
      <w:r w:rsidRPr="00AB4A6D">
        <w:rPr>
          <w:rFonts w:eastAsia="MS Mincho"/>
          <w:lang w:eastAsia="ja-JP"/>
        </w:rPr>
        <w:t>similar to</w:t>
      </w:r>
      <w:proofErr w:type="gramEnd"/>
      <w:r w:rsidRPr="00AB4A6D">
        <w:rPr>
          <w:rFonts w:eastAsia="MS Mincho"/>
          <w:lang w:eastAsia="ja-JP"/>
        </w:rPr>
        <w:t xml:space="preserve"> ‘The configured maximum UE output power’ that was specified for LTE.</w:t>
      </w:r>
    </w:p>
    <w:p w14:paraId="3E0AE5B1" w14:textId="77777777" w:rsidR="00D20766"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Note: The network will still have flexibility to prioritize or reserve certain NR transmission power depending on network implementation</w:t>
      </w:r>
    </w:p>
    <w:p w14:paraId="431A938A" w14:textId="77777777" w:rsidR="00D20766" w:rsidRPr="00AB4A6D" w:rsidRDefault="00D20766" w:rsidP="00D20766">
      <w:pPr>
        <w:numPr>
          <w:ilvl w:val="1"/>
          <w:numId w:val="25"/>
        </w:numPr>
        <w:tabs>
          <w:tab w:val="left" w:pos="1440"/>
        </w:tabs>
        <w:spacing w:after="0" w:line="240" w:lineRule="auto"/>
        <w:rPr>
          <w:rFonts w:eastAsia="MS Mincho"/>
          <w:lang w:eastAsia="ja-JP"/>
        </w:rPr>
      </w:pPr>
      <w:r>
        <w:rPr>
          <w:rFonts w:eastAsia="MS Mincho"/>
          <w:lang w:eastAsia="ja-JP"/>
        </w:rPr>
        <w:t xml:space="preserve">All UEs are mandated to handle </w:t>
      </w:r>
      <w:r w:rsidRPr="00AB4A6D">
        <w:rPr>
          <w:rFonts w:eastAsia="MS Mincho"/>
          <w:lang w:eastAsia="ja-JP"/>
        </w:rPr>
        <w:t xml:space="preserve">P_LTE + P_NR = </w:t>
      </w:r>
      <w:proofErr w:type="spellStart"/>
      <w:r w:rsidRPr="00AB4A6D">
        <w:rPr>
          <w:rFonts w:eastAsia="MS Mincho"/>
          <w:lang w:eastAsia="ja-JP"/>
        </w:rPr>
        <w:t>P_cmax</w:t>
      </w:r>
      <w:proofErr w:type="spellEnd"/>
      <w:r>
        <w:rPr>
          <w:rFonts w:eastAsia="MS Mincho"/>
          <w:lang w:eastAsia="ja-JP"/>
        </w:rPr>
        <w:t xml:space="preserve"> while handling of </w:t>
      </w:r>
      <w:r w:rsidRPr="00AB4A6D">
        <w:rPr>
          <w:rFonts w:eastAsia="MS Mincho"/>
          <w:lang w:eastAsia="ja-JP"/>
        </w:rPr>
        <w:t xml:space="preserve">P_LTE + P_NR &gt; </w:t>
      </w:r>
      <w:proofErr w:type="spellStart"/>
      <w:r w:rsidRPr="00AB4A6D">
        <w:rPr>
          <w:rFonts w:eastAsia="MS Mincho"/>
          <w:lang w:eastAsia="ja-JP"/>
        </w:rPr>
        <w:t>P_cmax</w:t>
      </w:r>
      <w:proofErr w:type="spellEnd"/>
      <w:r>
        <w:rPr>
          <w:rFonts w:eastAsia="MS Mincho"/>
          <w:lang w:eastAsia="ja-JP"/>
        </w:rPr>
        <w:t xml:space="preserve"> depends on UE capability</w:t>
      </w:r>
    </w:p>
    <w:p w14:paraId="6D9ADF9C"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 xml:space="preserve">At least, when DL/UL LTE </w:t>
      </w:r>
      <w:proofErr w:type="spellStart"/>
      <w:r w:rsidRPr="00AB4A6D">
        <w:rPr>
          <w:rFonts w:eastAsia="MS Mincho"/>
          <w:lang w:eastAsia="ja-JP"/>
        </w:rPr>
        <w:t>sTTI</w:t>
      </w:r>
      <w:proofErr w:type="spellEnd"/>
      <w:r w:rsidRPr="00AB4A6D">
        <w:rPr>
          <w:rFonts w:eastAsia="MS Mincho"/>
          <w:lang w:eastAsia="ja-JP"/>
        </w:rPr>
        <w:t xml:space="preserve">/reduced UE processing </w:t>
      </w:r>
      <w:proofErr w:type="gramStart"/>
      <w:r w:rsidRPr="00AB4A6D">
        <w:rPr>
          <w:rFonts w:eastAsia="MS Mincho"/>
          <w:lang w:eastAsia="ja-JP"/>
        </w:rPr>
        <w:t>time based</w:t>
      </w:r>
      <w:proofErr w:type="gramEnd"/>
      <w:r w:rsidRPr="00AB4A6D">
        <w:rPr>
          <w:rFonts w:eastAsia="MS Mincho"/>
          <w:lang w:eastAsia="ja-JP"/>
        </w:rPr>
        <w:t xml:space="preserve"> operation is not configured for the UE, if total transmit power exceeds </w:t>
      </w:r>
      <w:proofErr w:type="spellStart"/>
      <w:r w:rsidRPr="00AB4A6D">
        <w:rPr>
          <w:rFonts w:eastAsia="MS Mincho"/>
          <w:lang w:eastAsia="ja-JP"/>
        </w:rPr>
        <w:t>P_cmax</w:t>
      </w:r>
      <w:proofErr w:type="spellEnd"/>
      <w:r w:rsidRPr="00AB4A6D">
        <w:rPr>
          <w:rFonts w:eastAsia="MS Mincho"/>
          <w:lang w:eastAsia="ja-JP"/>
        </w:rPr>
        <w:t xml:space="preserve"> when there is simultaneous NR and LTE UL </w:t>
      </w:r>
      <w:proofErr w:type="spellStart"/>
      <w:r w:rsidRPr="00AB4A6D">
        <w:rPr>
          <w:rFonts w:eastAsia="MS Mincho"/>
          <w:lang w:eastAsia="ja-JP"/>
        </w:rPr>
        <w:t>tx</w:t>
      </w:r>
      <w:proofErr w:type="spellEnd"/>
      <w:r w:rsidRPr="00AB4A6D">
        <w:rPr>
          <w:rFonts w:eastAsia="MS Mincho"/>
          <w:lang w:eastAsia="ja-JP"/>
        </w:rPr>
        <w:t xml:space="preserve">, </w:t>
      </w:r>
    </w:p>
    <w:p w14:paraId="698152A3" w14:textId="77777777" w:rsidR="00D20766" w:rsidRPr="004C49B2" w:rsidRDefault="00D20766" w:rsidP="00D20766">
      <w:pPr>
        <w:numPr>
          <w:ilvl w:val="2"/>
          <w:numId w:val="25"/>
        </w:numPr>
        <w:tabs>
          <w:tab w:val="left" w:pos="1440"/>
        </w:tabs>
        <w:spacing w:after="0" w:line="240" w:lineRule="auto"/>
        <w:rPr>
          <w:rFonts w:eastAsia="MS Mincho"/>
          <w:lang w:eastAsia="ja-JP"/>
        </w:rPr>
      </w:pPr>
      <w:r w:rsidRPr="004C49B2">
        <w:rPr>
          <w:rFonts w:eastAsia="MS Mincho"/>
          <w:lang w:eastAsia="ja-JP"/>
        </w:rPr>
        <w:t>For NR, UE scales down/drops NR transmission and NR power scaling details</w:t>
      </w:r>
      <w:r>
        <w:rPr>
          <w:rFonts w:eastAsia="MS Mincho"/>
          <w:lang w:eastAsia="ja-JP"/>
        </w:rPr>
        <w:t xml:space="preserve"> are left to UE implementation (note: it is not intended to have RAN4 test from RAN1 perspective)</w:t>
      </w:r>
    </w:p>
    <w:p w14:paraId="214C37DE" w14:textId="77777777" w:rsidR="00D20766" w:rsidRPr="004C49B2" w:rsidRDefault="00D20766" w:rsidP="00D20766">
      <w:pPr>
        <w:numPr>
          <w:ilvl w:val="3"/>
          <w:numId w:val="25"/>
        </w:numPr>
        <w:tabs>
          <w:tab w:val="left" w:pos="1440"/>
        </w:tabs>
        <w:spacing w:after="0" w:line="240" w:lineRule="auto"/>
        <w:rPr>
          <w:rFonts w:eastAsia="MS Mincho"/>
          <w:lang w:eastAsia="ja-JP"/>
        </w:rPr>
      </w:pPr>
      <w:r w:rsidRPr="004C49B2">
        <w:rPr>
          <w:rFonts w:eastAsia="MS Mincho"/>
          <w:lang w:eastAsia="ja-JP"/>
        </w:rPr>
        <w:t xml:space="preserve">If there are two or more UL carriers, the power scaling or </w:t>
      </w:r>
      <w:proofErr w:type="spellStart"/>
      <w:r w:rsidRPr="004C49B2">
        <w:rPr>
          <w:rFonts w:eastAsia="MS Mincho"/>
          <w:lang w:eastAsia="ja-JP"/>
        </w:rPr>
        <w:t>tx</w:t>
      </w:r>
      <w:proofErr w:type="spellEnd"/>
      <w:r w:rsidRPr="004C49B2">
        <w:rPr>
          <w:rFonts w:eastAsia="MS Mincho"/>
          <w:lang w:eastAsia="ja-JP"/>
        </w:rPr>
        <w:t xml:space="preserve"> dropping can be performed for each of the UL carriers separately or jointly up to UE implementation</w:t>
      </w:r>
    </w:p>
    <w:p w14:paraId="040814C5" w14:textId="77777777" w:rsidR="00D20766" w:rsidRPr="004C49B2" w:rsidRDefault="00D20766" w:rsidP="00D20766">
      <w:pPr>
        <w:numPr>
          <w:ilvl w:val="2"/>
          <w:numId w:val="25"/>
        </w:numPr>
        <w:tabs>
          <w:tab w:val="left" w:pos="1440"/>
        </w:tabs>
        <w:spacing w:after="0" w:line="240" w:lineRule="auto"/>
        <w:rPr>
          <w:rFonts w:eastAsia="MS Mincho"/>
          <w:lang w:eastAsia="ja-JP"/>
        </w:rPr>
      </w:pPr>
      <w:r w:rsidRPr="004C49B2">
        <w:rPr>
          <w:rFonts w:eastAsia="MS Mincho"/>
          <w:lang w:eastAsia="ja-JP"/>
        </w:rPr>
        <w:t>For LTE, no change in power control procedure</w:t>
      </w:r>
    </w:p>
    <w:p w14:paraId="45118A3B"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 xml:space="preserve">FFS the case when DL/UL LTE </w:t>
      </w:r>
      <w:proofErr w:type="spellStart"/>
      <w:r w:rsidRPr="00AB4A6D">
        <w:rPr>
          <w:rFonts w:eastAsia="MS Mincho"/>
          <w:lang w:eastAsia="ja-JP"/>
        </w:rPr>
        <w:t>sTTI</w:t>
      </w:r>
      <w:proofErr w:type="spellEnd"/>
      <w:r w:rsidRPr="00AB4A6D">
        <w:rPr>
          <w:rFonts w:eastAsia="MS Mincho"/>
          <w:lang w:eastAsia="ja-JP"/>
        </w:rPr>
        <w:t xml:space="preserve">/reduced UE processing </w:t>
      </w:r>
      <w:proofErr w:type="gramStart"/>
      <w:r w:rsidRPr="00AB4A6D">
        <w:rPr>
          <w:rFonts w:eastAsia="MS Mincho"/>
          <w:lang w:eastAsia="ja-JP"/>
        </w:rPr>
        <w:t>time based</w:t>
      </w:r>
      <w:proofErr w:type="gramEnd"/>
      <w:r w:rsidRPr="00AB4A6D">
        <w:rPr>
          <w:rFonts w:eastAsia="MS Mincho"/>
          <w:lang w:eastAsia="ja-JP"/>
        </w:rPr>
        <w:t xml:space="preserve"> operation is configured for the UE</w:t>
      </w:r>
    </w:p>
    <w:p w14:paraId="4CF0C9E8"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The following is FFS</w:t>
      </w:r>
    </w:p>
    <w:p w14:paraId="4C7EA644" w14:textId="77777777" w:rsidR="00D20766" w:rsidRPr="00AB4A6D" w:rsidRDefault="00D20766" w:rsidP="00D20766">
      <w:pPr>
        <w:numPr>
          <w:ilvl w:val="2"/>
          <w:numId w:val="25"/>
        </w:numPr>
        <w:tabs>
          <w:tab w:val="left" w:pos="1440"/>
        </w:tabs>
        <w:spacing w:after="0" w:line="240" w:lineRule="auto"/>
        <w:rPr>
          <w:rFonts w:eastAsia="MS Mincho"/>
          <w:lang w:eastAsia="ja-JP"/>
        </w:rPr>
      </w:pPr>
      <w:r w:rsidRPr="00AB4A6D">
        <w:rPr>
          <w:rFonts w:eastAsia="MS Mincho"/>
          <w:lang w:eastAsia="ja-JP"/>
        </w:rPr>
        <w:lastRenderedPageBreak/>
        <w:t xml:space="preserve">The case when P_NR is configured such that P_NR &lt; </w:t>
      </w:r>
      <w:proofErr w:type="spellStart"/>
      <w:r w:rsidRPr="00AB4A6D">
        <w:rPr>
          <w:rFonts w:eastAsia="MS Mincho"/>
          <w:lang w:eastAsia="ja-JP"/>
        </w:rPr>
        <w:t>P_cmax</w:t>
      </w:r>
      <w:proofErr w:type="spellEnd"/>
      <w:r w:rsidRPr="00AB4A6D">
        <w:rPr>
          <w:rFonts w:eastAsia="MS Mincho"/>
          <w:lang w:eastAsia="ja-JP"/>
        </w:rPr>
        <w:t xml:space="preserve">, and UE can use power up to </w:t>
      </w:r>
      <w:proofErr w:type="spellStart"/>
      <w:r w:rsidRPr="00AB4A6D">
        <w:rPr>
          <w:rFonts w:eastAsia="MS Mincho"/>
          <w:lang w:eastAsia="ja-JP"/>
        </w:rPr>
        <w:t>P_cmax</w:t>
      </w:r>
      <w:proofErr w:type="spellEnd"/>
      <w:r w:rsidRPr="00AB4A6D">
        <w:rPr>
          <w:rFonts w:eastAsia="MS Mincho"/>
          <w:lang w:eastAsia="ja-JP"/>
        </w:rPr>
        <w:t xml:space="preserve"> in NR when it knows that there will be no UL transmission in LTE by semi-static configuration (e.g., measurement gap, DL/UL configuration)</w:t>
      </w:r>
    </w:p>
    <w:p w14:paraId="31BD6881" w14:textId="77777777" w:rsidR="00D20766" w:rsidRDefault="00D20766" w:rsidP="00D20766"/>
    <w:p w14:paraId="4A5EE29F" w14:textId="77777777" w:rsidR="00D20766" w:rsidRPr="00650611" w:rsidRDefault="00D20766" w:rsidP="00D20766">
      <w:pPr>
        <w:rPr>
          <w:u w:val="single"/>
        </w:rPr>
      </w:pPr>
      <w:r w:rsidRPr="00650611">
        <w:rPr>
          <w:u w:val="single"/>
        </w:rPr>
        <w:t>In RAN1#91, the following was agreed</w:t>
      </w:r>
    </w:p>
    <w:p w14:paraId="3528CBB9" w14:textId="77777777" w:rsidR="00D20766" w:rsidRDefault="00D20766" w:rsidP="00D20766">
      <w:pPr>
        <w:pStyle w:val="text"/>
        <w:rPr>
          <w:rFonts w:hAnsi="Times New Roman"/>
          <w:sz w:val="20"/>
        </w:rPr>
      </w:pPr>
      <w:r w:rsidRPr="00581C25">
        <w:rPr>
          <w:rFonts w:hAnsi="Times New Roman"/>
          <w:b/>
          <w:sz w:val="20"/>
          <w:highlight w:val="green"/>
        </w:rPr>
        <w:t>Agreement:</w:t>
      </w:r>
      <w:r>
        <w:rPr>
          <w:rFonts w:hAnsi="Times New Roman"/>
          <w:b/>
          <w:sz w:val="20"/>
        </w:rPr>
        <w:br/>
      </w:r>
      <w:r w:rsidRPr="00581C25">
        <w:rPr>
          <w:rFonts w:hAnsi="Times New Roman"/>
          <w:sz w:val="20"/>
        </w:rPr>
        <w:t>For LTE/NR NSA operation,</w:t>
      </w:r>
    </w:p>
    <w:p w14:paraId="791C4980" w14:textId="77777777" w:rsidR="00D20766" w:rsidRPr="00581C25" w:rsidRDefault="00D20766" w:rsidP="00D20766">
      <w:pPr>
        <w:pStyle w:val="text"/>
        <w:numPr>
          <w:ilvl w:val="0"/>
          <w:numId w:val="24"/>
        </w:numPr>
        <w:overflowPunct/>
        <w:autoSpaceDE/>
        <w:autoSpaceDN/>
        <w:adjustRightInd/>
        <w:spacing w:line="240" w:lineRule="auto"/>
        <w:jc w:val="both"/>
        <w:textAlignment w:val="auto"/>
        <w:rPr>
          <w:rFonts w:hAnsi="Times New Roman"/>
          <w:sz w:val="20"/>
        </w:rPr>
      </w:pPr>
      <w:r w:rsidRPr="00581C25">
        <w:rPr>
          <w:rFonts w:hAnsi="Times New Roman"/>
          <w:sz w:val="20"/>
        </w:rPr>
        <w:t xml:space="preserve">If this UE supports dual UL operation </w:t>
      </w:r>
      <w:proofErr w:type="gramStart"/>
      <w:r w:rsidRPr="00581C25">
        <w:rPr>
          <w:rFonts w:hAnsi="Times New Roman"/>
          <w:sz w:val="20"/>
        </w:rPr>
        <w:t>and also</w:t>
      </w:r>
      <w:proofErr w:type="gramEnd"/>
      <w:r w:rsidRPr="00581C25">
        <w:rPr>
          <w:rFonts w:hAnsi="Times New Roman"/>
          <w:sz w:val="20"/>
        </w:rPr>
        <w:t xml:space="preserve"> supports single UL operation with Case 1 HARQ timing, RRC </w:t>
      </w:r>
      <w:proofErr w:type="spellStart"/>
      <w:r w:rsidRPr="00581C25">
        <w:rPr>
          <w:rFonts w:hAnsi="Times New Roman"/>
          <w:sz w:val="20"/>
        </w:rPr>
        <w:t>signaling</w:t>
      </w:r>
      <w:proofErr w:type="spellEnd"/>
      <w:r w:rsidRPr="00581C25">
        <w:rPr>
          <w:rFonts w:hAnsi="Times New Roman"/>
          <w:sz w:val="20"/>
        </w:rPr>
        <w:t xml:space="preserve"> can configure a UE to operate in one of the following modes:</w:t>
      </w:r>
    </w:p>
    <w:p w14:paraId="4D3CB6C6"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Dual UL operation</w:t>
      </w:r>
    </w:p>
    <w:p w14:paraId="2D3CACC3"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Single UL operation with Case 1 HARQ timing</w:t>
      </w:r>
    </w:p>
    <w:p w14:paraId="0BBC7EB9"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Single UL operation with Case 2 HARQ timing</w:t>
      </w:r>
    </w:p>
    <w:p w14:paraId="5956366E" w14:textId="77777777" w:rsidR="00D20766" w:rsidRPr="00581C25" w:rsidRDefault="00D20766" w:rsidP="00D20766">
      <w:pPr>
        <w:pStyle w:val="bullet1"/>
        <w:spacing w:line="240" w:lineRule="auto"/>
        <w:rPr>
          <w:rFonts w:ascii="Times New Roman" w:hAnsi="Times New Roman"/>
          <w:sz w:val="20"/>
          <w:szCs w:val="20"/>
          <w:lang w:val="en-US"/>
        </w:rPr>
      </w:pPr>
      <w:r w:rsidRPr="00581C25">
        <w:rPr>
          <w:rFonts w:ascii="Times New Roman" w:hAnsi="Times New Roman"/>
          <w:sz w:val="20"/>
          <w:szCs w:val="20"/>
          <w:lang w:val="en-US"/>
        </w:rPr>
        <w:t xml:space="preserve">For UE supporting single UL operation and with Case 1 HARQ timing if UE does not support </w:t>
      </w:r>
      <w:r w:rsidRPr="00581C25">
        <w:rPr>
          <w:rFonts w:ascii="Times New Roman" w:hAnsi="Times New Roman"/>
          <w:i/>
          <w:sz w:val="20"/>
          <w:szCs w:val="20"/>
          <w:lang w:val="en-US"/>
        </w:rPr>
        <w:t>power scaling for LTE-NR DC</w:t>
      </w:r>
      <w:r w:rsidRPr="00581C25">
        <w:rPr>
          <w:rFonts w:ascii="Times New Roman" w:hAnsi="Times New Roman"/>
          <w:sz w:val="20"/>
          <w:szCs w:val="20"/>
          <w:lang w:val="en-US"/>
        </w:rPr>
        <w:t xml:space="preserve"> with P_LTE+P_NR&gt;</w:t>
      </w:r>
      <w:proofErr w:type="spellStart"/>
      <w:r w:rsidRPr="00581C25">
        <w:rPr>
          <w:rFonts w:ascii="Times New Roman" w:hAnsi="Times New Roman"/>
          <w:sz w:val="20"/>
          <w:szCs w:val="20"/>
          <w:lang w:val="en-US"/>
        </w:rPr>
        <w:t>Pcmax</w:t>
      </w:r>
      <w:proofErr w:type="spellEnd"/>
      <w:r w:rsidRPr="00581C25">
        <w:rPr>
          <w:rFonts w:ascii="Times New Roman" w:hAnsi="Times New Roman"/>
          <w:sz w:val="20"/>
          <w:szCs w:val="20"/>
          <w:lang w:val="en-US"/>
        </w:rPr>
        <w:t>, UE shall support the following two operations:</w:t>
      </w:r>
    </w:p>
    <w:p w14:paraId="5B72EEC7"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 xml:space="preserve">Operation A with Case1: P_LTE + P_NR &gt; </w:t>
      </w:r>
      <w:proofErr w:type="spellStart"/>
      <w:r w:rsidRPr="00581C25">
        <w:rPr>
          <w:rFonts w:ascii="Times New Roman" w:hAnsi="Times New Roman"/>
          <w:sz w:val="20"/>
          <w:szCs w:val="20"/>
          <w:lang w:val="en-US"/>
        </w:rPr>
        <w:t>Pcmax</w:t>
      </w:r>
      <w:proofErr w:type="spellEnd"/>
      <w:r w:rsidRPr="00581C25">
        <w:rPr>
          <w:rFonts w:ascii="Times New Roman" w:hAnsi="Times New Roman"/>
          <w:sz w:val="20"/>
          <w:szCs w:val="20"/>
          <w:lang w:val="en-US"/>
        </w:rPr>
        <w:t>, in which case the UE assumes that no NR UL transmission takes place in an UL subframe/slot that is designated as LTE UL in the Case 1 reference TDD configuration</w:t>
      </w:r>
    </w:p>
    <w:p w14:paraId="633F39CF"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lang w:val="en-US"/>
        </w:rPr>
        <w:t xml:space="preserve">Operation B with Case1: P_LTE + P_NR &lt;= </w:t>
      </w:r>
      <w:proofErr w:type="spellStart"/>
      <w:r w:rsidRPr="00581C25">
        <w:rPr>
          <w:rFonts w:ascii="Times New Roman" w:hAnsi="Times New Roman"/>
          <w:sz w:val="20"/>
          <w:szCs w:val="20"/>
          <w:lang w:val="en-US"/>
        </w:rPr>
        <w:t>Pcmax</w:t>
      </w:r>
      <w:proofErr w:type="spellEnd"/>
      <w:r w:rsidRPr="00581C25">
        <w:rPr>
          <w:rFonts w:ascii="Times New Roman" w:hAnsi="Times New Roman"/>
          <w:sz w:val="20"/>
          <w:szCs w:val="20"/>
          <w:lang w:val="en-US"/>
        </w:rPr>
        <w:t xml:space="preserve">, in which case NR UL can be scheduled in any UL subframe/slot (while </w:t>
      </w:r>
      <w:r w:rsidRPr="00581C25">
        <w:rPr>
          <w:rFonts w:ascii="Times New Roman" w:hAnsi="Times New Roman"/>
          <w:sz w:val="20"/>
          <w:szCs w:val="20"/>
        </w:rPr>
        <w:t xml:space="preserve">the UE behaviour in case of being simultaneously scheduled on LTE and NR uplinks is not specified) </w:t>
      </w:r>
    </w:p>
    <w:p w14:paraId="0B999B29"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rPr>
        <w:t xml:space="preserve">The </w:t>
      </w:r>
      <w:r w:rsidRPr="00581C25">
        <w:rPr>
          <w:rFonts w:ascii="Times New Roman" w:hAnsi="Times New Roman"/>
          <w:sz w:val="20"/>
          <w:szCs w:val="20"/>
          <w:lang w:val="en-US"/>
        </w:rPr>
        <w:t>operation</w:t>
      </w:r>
      <w:r w:rsidRPr="00581C25">
        <w:rPr>
          <w:rFonts w:ascii="Times New Roman" w:hAnsi="Times New Roman"/>
          <w:sz w:val="20"/>
          <w:szCs w:val="20"/>
        </w:rPr>
        <w:t xml:space="preserve"> A vs </w:t>
      </w:r>
      <w:r w:rsidRPr="00581C25">
        <w:rPr>
          <w:rFonts w:ascii="Times New Roman" w:hAnsi="Times New Roman"/>
          <w:sz w:val="20"/>
          <w:szCs w:val="20"/>
          <w:lang w:val="en-US"/>
        </w:rPr>
        <w:t>operation</w:t>
      </w:r>
      <w:r w:rsidRPr="00581C25">
        <w:rPr>
          <w:rFonts w:ascii="Times New Roman" w:hAnsi="Times New Roman"/>
          <w:sz w:val="20"/>
          <w:szCs w:val="20"/>
        </w:rPr>
        <w:t xml:space="preserve"> B configuration is implicitly determined based on </w:t>
      </w:r>
      <w:r w:rsidRPr="00581C25">
        <w:rPr>
          <w:rFonts w:ascii="Times New Roman" w:hAnsi="Times New Roman"/>
          <w:sz w:val="20"/>
          <w:szCs w:val="20"/>
          <w:lang w:val="en-US"/>
        </w:rPr>
        <w:t>P_LTE and P_NR</w:t>
      </w:r>
    </w:p>
    <w:p w14:paraId="1EE22905"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rPr>
        <w:t xml:space="preserve">Note that the above agreement does not affect the </w:t>
      </w:r>
      <w:proofErr w:type="gramStart"/>
      <w:r w:rsidRPr="00581C25">
        <w:rPr>
          <w:rFonts w:ascii="Times New Roman" w:hAnsi="Times New Roman"/>
          <w:sz w:val="20"/>
          <w:szCs w:val="20"/>
        </w:rPr>
        <w:t>current status</w:t>
      </w:r>
      <w:proofErr w:type="gramEnd"/>
      <w:r w:rsidRPr="00581C25">
        <w:rPr>
          <w:rFonts w:ascii="Times New Roman" w:hAnsi="Times New Roman"/>
          <w:sz w:val="20"/>
          <w:szCs w:val="20"/>
        </w:rPr>
        <w:t xml:space="preserve"> on the optional/mandatory support of </w:t>
      </w:r>
      <w:r w:rsidRPr="00581C25">
        <w:rPr>
          <w:rFonts w:ascii="Times New Roman" w:hAnsi="Times New Roman"/>
          <w:i/>
          <w:sz w:val="20"/>
          <w:szCs w:val="20"/>
          <w:lang w:val="en-US"/>
        </w:rPr>
        <w:t>power scaling for LTE-NR DC</w:t>
      </w:r>
      <w:r w:rsidRPr="00581C25">
        <w:rPr>
          <w:rFonts w:ascii="Times New Roman" w:hAnsi="Times New Roman"/>
          <w:sz w:val="20"/>
          <w:szCs w:val="20"/>
        </w:rPr>
        <w:t xml:space="preserve"> with </w:t>
      </w:r>
      <w:r w:rsidRPr="00581C25">
        <w:rPr>
          <w:rFonts w:ascii="Times New Roman" w:hAnsi="Times New Roman"/>
          <w:sz w:val="20"/>
          <w:szCs w:val="20"/>
          <w:lang w:val="en-US"/>
        </w:rPr>
        <w:t xml:space="preserve">P_LTE + P_NR &gt; </w:t>
      </w:r>
      <w:proofErr w:type="spellStart"/>
      <w:r w:rsidRPr="00581C25">
        <w:rPr>
          <w:rFonts w:ascii="Times New Roman" w:hAnsi="Times New Roman"/>
          <w:sz w:val="20"/>
          <w:szCs w:val="20"/>
          <w:lang w:val="en-US"/>
        </w:rPr>
        <w:t>Pcmax</w:t>
      </w:r>
      <w:proofErr w:type="spellEnd"/>
    </w:p>
    <w:p w14:paraId="654C7656"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rPr>
        <w:t xml:space="preserve">Note that the above agreement can become obsolete if </w:t>
      </w:r>
      <w:r w:rsidRPr="00581C25">
        <w:rPr>
          <w:rFonts w:ascii="Times New Roman" w:hAnsi="Times New Roman"/>
          <w:i/>
          <w:sz w:val="20"/>
          <w:szCs w:val="20"/>
          <w:lang w:val="en-US"/>
        </w:rPr>
        <w:t>power scaling for LTE-NR DC</w:t>
      </w:r>
      <w:r w:rsidRPr="00581C25">
        <w:rPr>
          <w:rFonts w:ascii="Times New Roman" w:hAnsi="Times New Roman"/>
          <w:sz w:val="20"/>
          <w:szCs w:val="20"/>
        </w:rPr>
        <w:t xml:space="preserve"> is mandated to all UEs</w:t>
      </w:r>
    </w:p>
    <w:p w14:paraId="4164B30F" w14:textId="77777777" w:rsidR="00D20766" w:rsidRDefault="00D20766" w:rsidP="00D20766"/>
    <w:p w14:paraId="4F361CEA" w14:textId="77777777" w:rsidR="00D20766" w:rsidRPr="00650611" w:rsidRDefault="00D20766" w:rsidP="00D20766">
      <w:pPr>
        <w:rPr>
          <w:u w:val="single"/>
        </w:rPr>
      </w:pPr>
      <w:r w:rsidRPr="00650611">
        <w:rPr>
          <w:u w:val="single"/>
        </w:rPr>
        <w:t>In RAN#78 the following was endorsed</w:t>
      </w:r>
    </w:p>
    <w:p w14:paraId="6A002E5F" w14:textId="77777777" w:rsidR="00D20766" w:rsidRDefault="00D20766" w:rsidP="00D20766"/>
    <w:p w14:paraId="23FFEBE6" w14:textId="77777777" w:rsidR="00D20766" w:rsidRPr="00581C25" w:rsidRDefault="00D20766" w:rsidP="00D20766">
      <w:pPr>
        <w:numPr>
          <w:ilvl w:val="0"/>
          <w:numId w:val="26"/>
        </w:numPr>
        <w:tabs>
          <w:tab w:val="num" w:pos="720"/>
        </w:tabs>
        <w:spacing w:after="0" w:line="240" w:lineRule="auto"/>
      </w:pPr>
      <w:r w:rsidRPr="00581C25">
        <w:t>Proposal 1</w:t>
      </w:r>
    </w:p>
    <w:p w14:paraId="2C0993EC" w14:textId="77777777" w:rsidR="00D20766" w:rsidRPr="00581C25" w:rsidRDefault="00D20766" w:rsidP="00D20766">
      <w:pPr>
        <w:numPr>
          <w:ilvl w:val="1"/>
          <w:numId w:val="26"/>
        </w:numPr>
        <w:tabs>
          <w:tab w:val="num" w:pos="1440"/>
        </w:tabs>
        <w:spacing w:after="0" w:line="240" w:lineRule="auto"/>
      </w:pPr>
      <w:r w:rsidRPr="00581C25">
        <w:t>Agree to introduce Rel-15 capability signaling to indicate whether the UE supports dynamic EN-DC power sharing</w:t>
      </w:r>
    </w:p>
    <w:p w14:paraId="067C9583" w14:textId="77777777" w:rsidR="00D20766" w:rsidRPr="00581C25" w:rsidRDefault="00D20766" w:rsidP="00D20766">
      <w:pPr>
        <w:numPr>
          <w:ilvl w:val="2"/>
          <w:numId w:val="26"/>
        </w:numPr>
        <w:tabs>
          <w:tab w:val="num" w:pos="2160"/>
        </w:tabs>
        <w:spacing w:after="0" w:line="240" w:lineRule="auto"/>
      </w:pPr>
      <w:r w:rsidRPr="00581C25">
        <w:t xml:space="preserve">Dynamic power sharing means that the UE can operate with P_LTE + P_NR &gt; </w:t>
      </w:r>
      <w:proofErr w:type="spellStart"/>
      <w:r w:rsidRPr="00581C25">
        <w:t>P_powerclass</w:t>
      </w:r>
      <w:proofErr w:type="spellEnd"/>
      <w:r w:rsidRPr="00581C25">
        <w:t xml:space="preserve"> configuration </w:t>
      </w:r>
    </w:p>
    <w:p w14:paraId="74806EB8" w14:textId="77777777" w:rsidR="00D20766" w:rsidRPr="00581C25" w:rsidRDefault="00D20766" w:rsidP="00D20766">
      <w:pPr>
        <w:numPr>
          <w:ilvl w:val="1"/>
          <w:numId w:val="26"/>
        </w:numPr>
        <w:tabs>
          <w:tab w:val="num" w:pos="1440"/>
        </w:tabs>
        <w:spacing w:after="0" w:line="240" w:lineRule="auto"/>
      </w:pPr>
      <w:r w:rsidRPr="00581C25">
        <w:t>Agree that the intent is to make dynamic EN-DC power sharing mandatory at a future time</w:t>
      </w:r>
    </w:p>
    <w:p w14:paraId="7E248885" w14:textId="77777777" w:rsidR="00D20766" w:rsidRPr="00581C25" w:rsidRDefault="00D20766" w:rsidP="00D20766">
      <w:pPr>
        <w:numPr>
          <w:ilvl w:val="1"/>
          <w:numId w:val="26"/>
        </w:numPr>
        <w:tabs>
          <w:tab w:val="num" w:pos="1440"/>
        </w:tabs>
        <w:spacing w:after="0" w:line="240" w:lineRule="auto"/>
      </w:pPr>
      <w:r w:rsidRPr="00581C25">
        <w:t>Check any possible updates on status above in March</w:t>
      </w:r>
    </w:p>
    <w:p w14:paraId="5A9643EF" w14:textId="77777777" w:rsidR="00D20766" w:rsidRPr="00581C25" w:rsidRDefault="00D20766" w:rsidP="00D20766">
      <w:pPr>
        <w:numPr>
          <w:ilvl w:val="0"/>
          <w:numId w:val="26"/>
        </w:numPr>
        <w:tabs>
          <w:tab w:val="num" w:pos="720"/>
        </w:tabs>
        <w:spacing w:after="0" w:line="240" w:lineRule="auto"/>
      </w:pPr>
      <w:r w:rsidRPr="00581C25">
        <w:t>Proposal 2</w:t>
      </w:r>
    </w:p>
    <w:p w14:paraId="51B91E23" w14:textId="77777777" w:rsidR="00D20766" w:rsidRPr="00581C25" w:rsidRDefault="00D20766" w:rsidP="00D20766">
      <w:pPr>
        <w:numPr>
          <w:ilvl w:val="1"/>
          <w:numId w:val="26"/>
        </w:numPr>
        <w:tabs>
          <w:tab w:val="num" w:pos="1440"/>
        </w:tabs>
        <w:spacing w:after="0" w:line="240" w:lineRule="auto"/>
      </w:pPr>
      <w:r w:rsidRPr="00581C25">
        <w:t xml:space="preserve">For UEs without dynamic LTE-NR power sharing capability, the support of single UL operation (Operation A with Case 1 in Slide 5) is mandatory with capability </w:t>
      </w:r>
      <w:proofErr w:type="spellStart"/>
      <w:r w:rsidRPr="00581C25">
        <w:t>signalling</w:t>
      </w:r>
      <w:proofErr w:type="spellEnd"/>
    </w:p>
    <w:p w14:paraId="45C5F749" w14:textId="77777777" w:rsidR="00D20766" w:rsidRPr="00581C25" w:rsidRDefault="00D20766" w:rsidP="00D20766">
      <w:pPr>
        <w:numPr>
          <w:ilvl w:val="0"/>
          <w:numId w:val="26"/>
        </w:numPr>
        <w:tabs>
          <w:tab w:val="num" w:pos="720"/>
        </w:tabs>
        <w:spacing w:after="0" w:line="240" w:lineRule="auto"/>
      </w:pPr>
      <w:r w:rsidRPr="00581C25">
        <w:t>Single UL operation is optional for dynamic power sharing capable UEs</w:t>
      </w:r>
    </w:p>
    <w:p w14:paraId="56AC8BCD" w14:textId="77777777" w:rsidR="00D20766" w:rsidRDefault="00D20766" w:rsidP="00D20766">
      <w:pPr>
        <w:pStyle w:val="BodyText"/>
      </w:pPr>
    </w:p>
    <w:p w14:paraId="347C20F9" w14:textId="77777777" w:rsidR="00D20766" w:rsidRDefault="00D20766" w:rsidP="00D20766">
      <w:pPr>
        <w:pStyle w:val="BodyText"/>
        <w:rPr>
          <w:u w:val="single"/>
        </w:rPr>
      </w:pPr>
      <w:r w:rsidRPr="006F6856">
        <w:rPr>
          <w:u w:val="single"/>
        </w:rPr>
        <w:t>In RAN1 NR AH1801 the following was agreed</w:t>
      </w:r>
    </w:p>
    <w:p w14:paraId="1909C0B5" w14:textId="77777777" w:rsidR="00D20766" w:rsidRDefault="00D20766" w:rsidP="00D20766">
      <w:pPr>
        <w:rPr>
          <w:lang w:eastAsia="x-none"/>
        </w:rPr>
      </w:pPr>
      <w:r w:rsidRPr="00130F78">
        <w:rPr>
          <w:highlight w:val="green"/>
          <w:lang w:eastAsia="x-none"/>
        </w:rPr>
        <w:t>Agreement:</w:t>
      </w:r>
    </w:p>
    <w:p w14:paraId="2632A7D6" w14:textId="77777777" w:rsidR="00D20766" w:rsidRDefault="00D20766" w:rsidP="00D20766">
      <w:pPr>
        <w:pStyle w:val="BodyText"/>
        <w:numPr>
          <w:ilvl w:val="0"/>
          <w:numId w:val="28"/>
        </w:numPr>
        <w:spacing w:after="120" w:line="240" w:lineRule="auto"/>
        <w:jc w:val="both"/>
      </w:pPr>
      <w:r>
        <w:t>P_LTE and P_NR are configured separately via UE specific RRC (i.e., as dBm numbers with similar value range as p-Max in LTE)</w:t>
      </w:r>
    </w:p>
    <w:p w14:paraId="005D8C8C" w14:textId="77777777" w:rsidR="00D20766" w:rsidRDefault="00D20766" w:rsidP="00D20766">
      <w:pPr>
        <w:pStyle w:val="BodyText"/>
        <w:numPr>
          <w:ilvl w:val="1"/>
          <w:numId w:val="28"/>
        </w:numPr>
        <w:spacing w:after="120" w:line="240" w:lineRule="auto"/>
        <w:jc w:val="both"/>
      </w:pPr>
      <w:r>
        <w:t>P_LTE and P_NR are UE-specific</w:t>
      </w:r>
    </w:p>
    <w:p w14:paraId="1FE57522" w14:textId="77777777" w:rsidR="00D20766" w:rsidRDefault="00D20766" w:rsidP="00D20766">
      <w:pPr>
        <w:pStyle w:val="BodyText"/>
        <w:numPr>
          <w:ilvl w:val="0"/>
          <w:numId w:val="28"/>
        </w:numPr>
        <w:spacing w:after="120" w:line="240" w:lineRule="auto"/>
        <w:jc w:val="both"/>
      </w:pPr>
      <w:proofErr w:type="spellStart"/>
      <w:r>
        <w:t>P_cmax</w:t>
      </w:r>
      <w:proofErr w:type="spellEnd"/>
      <w:r>
        <w:t xml:space="preserve"> for LTE and </w:t>
      </w:r>
      <w:proofErr w:type="spellStart"/>
      <w:r>
        <w:t>P_cmax</w:t>
      </w:r>
      <w:proofErr w:type="spellEnd"/>
      <w:r>
        <w:t xml:space="preserve"> for NR are derived based on P_LTE and/or P_NR (details to be decided by RAN4)</w:t>
      </w:r>
    </w:p>
    <w:p w14:paraId="40CB5B84" w14:textId="77777777" w:rsidR="00D20766" w:rsidRDefault="00D20766" w:rsidP="00D20766">
      <w:pPr>
        <w:pStyle w:val="BodyText"/>
        <w:numPr>
          <w:ilvl w:val="0"/>
          <w:numId w:val="28"/>
        </w:numPr>
        <w:spacing w:after="120" w:line="240" w:lineRule="auto"/>
        <w:jc w:val="both"/>
      </w:pPr>
      <w:r>
        <w:lastRenderedPageBreak/>
        <w:t>RAN4 to define maximum total LTE and NR power in FR1 (</w:t>
      </w:r>
      <w:proofErr w:type="spellStart"/>
      <w:r>
        <w:t>X_total</w:t>
      </w:r>
      <w:proofErr w:type="spellEnd"/>
      <w:r>
        <w:t>) that the UE should never exceed.</w:t>
      </w:r>
    </w:p>
    <w:p w14:paraId="5482A7BA" w14:textId="77777777" w:rsidR="00D20766" w:rsidRDefault="00D20766" w:rsidP="00D20766">
      <w:pPr>
        <w:pStyle w:val="BodyText"/>
        <w:numPr>
          <w:ilvl w:val="0"/>
          <w:numId w:val="28"/>
        </w:numPr>
        <w:spacing w:after="120" w:line="240" w:lineRule="auto"/>
        <w:jc w:val="both"/>
      </w:pPr>
      <w:r>
        <w:t xml:space="preserve">When dynamic power sharing is used, </w:t>
      </w:r>
    </w:p>
    <w:p w14:paraId="33695D11" w14:textId="77777777" w:rsidR="00D20766" w:rsidRDefault="00D20766" w:rsidP="00D20766">
      <w:pPr>
        <w:pStyle w:val="BodyText"/>
        <w:numPr>
          <w:ilvl w:val="1"/>
          <w:numId w:val="28"/>
        </w:numPr>
        <w:spacing w:after="120" w:line="240" w:lineRule="auto"/>
        <w:jc w:val="both"/>
      </w:pPr>
      <w:r>
        <w:t xml:space="preserve">If total power for LTE and NR in FR1 exceeds </w:t>
      </w:r>
      <w:proofErr w:type="spellStart"/>
      <w:r>
        <w:t>X_total</w:t>
      </w:r>
      <w:proofErr w:type="spellEnd"/>
      <w:r>
        <w:t xml:space="preserve">, UE reduces NR transmission power or drops NR transmission so that total power does not exceed </w:t>
      </w:r>
      <w:proofErr w:type="spellStart"/>
      <w:r>
        <w:t>X_total</w:t>
      </w:r>
      <w:proofErr w:type="spellEnd"/>
    </w:p>
    <w:p w14:paraId="6C242E7D" w14:textId="77777777" w:rsidR="00D20766" w:rsidRDefault="00D20766" w:rsidP="00D20766">
      <w:pPr>
        <w:pStyle w:val="BodyText"/>
        <w:numPr>
          <w:ilvl w:val="2"/>
          <w:numId w:val="28"/>
        </w:numPr>
        <w:spacing w:after="120" w:line="240" w:lineRule="auto"/>
        <w:jc w:val="both"/>
      </w:pPr>
      <w:r>
        <w:t>Note: As per previous agreement LTE power control procedure is not changed</w:t>
      </w:r>
    </w:p>
    <w:p w14:paraId="701EB614" w14:textId="5B8E8AB5" w:rsidR="003B2F85" w:rsidRDefault="003B2F85" w:rsidP="00A53823">
      <w:pPr>
        <w:spacing w:after="0" w:line="240" w:lineRule="auto"/>
        <w:rPr>
          <w:rFonts w:ascii="Arial" w:hAnsi="Arial" w:cs="Arial"/>
          <w:b/>
        </w:rPr>
      </w:pPr>
    </w:p>
    <w:p w14:paraId="68FC55BA" w14:textId="57027477" w:rsidR="00097CD5" w:rsidRPr="00650611" w:rsidRDefault="00097CD5" w:rsidP="00097CD5">
      <w:pPr>
        <w:rPr>
          <w:u w:val="single"/>
        </w:rPr>
      </w:pPr>
      <w:r w:rsidRPr="00650611">
        <w:rPr>
          <w:u w:val="single"/>
        </w:rPr>
        <w:t>In RAN#</w:t>
      </w:r>
      <w:r>
        <w:rPr>
          <w:u w:val="single"/>
        </w:rPr>
        <w:t>81</w:t>
      </w:r>
      <w:r w:rsidRPr="00650611">
        <w:rPr>
          <w:u w:val="single"/>
        </w:rPr>
        <w:t xml:space="preserve"> the following </w:t>
      </w:r>
      <w:r w:rsidRPr="00097CD5">
        <w:rPr>
          <w:u w:val="single"/>
        </w:rPr>
        <w:t xml:space="preserve">Guidance for </w:t>
      </w:r>
      <w:r>
        <w:rPr>
          <w:u w:val="single"/>
        </w:rPr>
        <w:t xml:space="preserve">provided to </w:t>
      </w:r>
      <w:r w:rsidRPr="00097CD5">
        <w:rPr>
          <w:u w:val="single"/>
        </w:rPr>
        <w:t xml:space="preserve">RAN4 to develop Inter-band EN-DC </w:t>
      </w:r>
      <w:r w:rsidRPr="00097CD5">
        <w:rPr>
          <w:u w:val="single"/>
          <w:lang w:val="fi-FI"/>
        </w:rPr>
        <w:t xml:space="preserve">Configured Output Power Requirements in Section </w:t>
      </w:r>
      <w:r w:rsidRPr="00097CD5">
        <w:rPr>
          <w:u w:val="single"/>
          <w:lang w:val="en-GB"/>
        </w:rPr>
        <w:t>6.2B.4.1.3 of 38.101-3</w:t>
      </w:r>
    </w:p>
    <w:p w14:paraId="277F5D77" w14:textId="77777777" w:rsidR="00CF2CA9" w:rsidRPr="00097CD5" w:rsidRDefault="00C639E0" w:rsidP="00097CD5">
      <w:pPr>
        <w:numPr>
          <w:ilvl w:val="0"/>
          <w:numId w:val="40"/>
        </w:numPr>
        <w:spacing w:after="0" w:line="240" w:lineRule="auto"/>
        <w:rPr>
          <w:rFonts w:cs="Arial"/>
        </w:rPr>
      </w:pPr>
      <w:r w:rsidRPr="00097CD5">
        <w:rPr>
          <w:rFonts w:cs="Arial"/>
          <w:lang w:val="fi-FI"/>
        </w:rPr>
        <w:t>Use the RAN4 endorsed CR in R4-1811484 on Inter-band EN-DC configured Output power as a starting point and continue improving requirement in TS38.101-3 in the RAN4 meetings</w:t>
      </w:r>
    </w:p>
    <w:p w14:paraId="5C316E07" w14:textId="77777777" w:rsidR="00CF2CA9" w:rsidRPr="00097CD5" w:rsidRDefault="00C639E0" w:rsidP="00097CD5">
      <w:pPr>
        <w:numPr>
          <w:ilvl w:val="1"/>
          <w:numId w:val="40"/>
        </w:numPr>
        <w:spacing w:after="0" w:line="240" w:lineRule="auto"/>
        <w:rPr>
          <w:rFonts w:cs="Arial"/>
        </w:rPr>
      </w:pPr>
      <w:r w:rsidRPr="00097CD5">
        <w:rPr>
          <w:rFonts w:cs="Arial"/>
          <w:lang w:val="fi-FI"/>
        </w:rPr>
        <w:t>to prevent unnecessary NR dropping for dynamic power sharing EN-DC UEs when there is ’real’ power left from LTE UL</w:t>
      </w:r>
    </w:p>
    <w:p w14:paraId="6F56ED8A" w14:textId="77777777" w:rsidR="00CF2CA9" w:rsidRPr="00097CD5" w:rsidRDefault="00C639E0" w:rsidP="00097CD5">
      <w:pPr>
        <w:numPr>
          <w:ilvl w:val="0"/>
          <w:numId w:val="40"/>
        </w:numPr>
        <w:spacing w:after="0" w:line="240" w:lineRule="auto"/>
        <w:rPr>
          <w:rFonts w:cs="Arial"/>
        </w:rPr>
      </w:pPr>
      <w:r w:rsidRPr="00097CD5">
        <w:rPr>
          <w:rFonts w:cs="Arial"/>
        </w:rPr>
        <w:t xml:space="preserve">The following conditions should be used when improving the RAN4 </w:t>
      </w:r>
      <w:r w:rsidRPr="00097CD5">
        <w:rPr>
          <w:rFonts w:cs="Arial"/>
          <w:lang w:val="fi-FI"/>
        </w:rPr>
        <w:t>Inter-band EN-DC Configured Output Power requirements:</w:t>
      </w:r>
    </w:p>
    <w:p w14:paraId="74E3AFA8" w14:textId="77777777" w:rsidR="00CF2CA9" w:rsidRPr="00097CD5" w:rsidRDefault="00C639E0" w:rsidP="00097CD5">
      <w:pPr>
        <w:numPr>
          <w:ilvl w:val="1"/>
          <w:numId w:val="40"/>
        </w:numPr>
        <w:spacing w:after="0" w:line="240" w:lineRule="auto"/>
        <w:rPr>
          <w:rFonts w:cs="Arial"/>
        </w:rPr>
      </w:pPr>
      <w:r w:rsidRPr="00097CD5">
        <w:rPr>
          <w:rFonts w:cs="Arial"/>
        </w:rPr>
        <w:t xml:space="preserve">UE </w:t>
      </w:r>
      <w:proofErr w:type="gramStart"/>
      <w:r w:rsidRPr="00097CD5">
        <w:rPr>
          <w:rFonts w:cs="Arial"/>
        </w:rPr>
        <w:t>is allowed to</w:t>
      </w:r>
      <w:proofErr w:type="gramEnd"/>
      <w:r w:rsidRPr="00097CD5">
        <w:rPr>
          <w:rFonts w:cs="Arial"/>
        </w:rPr>
        <w:t xml:space="preserve"> drop NR only if the power scaling applied to NR means that the difference between scaled and unscaled NR UL power is more than </w:t>
      </w:r>
      <w:proofErr w:type="spellStart"/>
      <w:r w:rsidRPr="00097CD5">
        <w:rPr>
          <w:rFonts w:cs="Arial"/>
        </w:rPr>
        <w:t>XdB</w:t>
      </w:r>
      <w:proofErr w:type="spellEnd"/>
      <w:r w:rsidRPr="00097CD5">
        <w:rPr>
          <w:rFonts w:cs="Arial"/>
        </w:rPr>
        <w:t xml:space="preserve">. In other </w:t>
      </w:r>
      <w:proofErr w:type="gramStart"/>
      <w:r w:rsidRPr="00097CD5">
        <w:rPr>
          <w:rFonts w:cs="Arial"/>
        </w:rPr>
        <w:t>cases</w:t>
      </w:r>
      <w:proofErr w:type="gramEnd"/>
      <w:r w:rsidRPr="00097CD5">
        <w:rPr>
          <w:rFonts w:cs="Arial"/>
        </w:rPr>
        <w:t xml:space="preserve"> the UE does power scaling of NR UL.</w:t>
      </w:r>
    </w:p>
    <w:p w14:paraId="5DD6A8DB" w14:textId="77777777" w:rsidR="00CF2CA9" w:rsidRPr="00097CD5" w:rsidRDefault="00C639E0" w:rsidP="00097CD5">
      <w:pPr>
        <w:numPr>
          <w:ilvl w:val="2"/>
          <w:numId w:val="40"/>
        </w:numPr>
        <w:spacing w:after="0" w:line="240" w:lineRule="auto"/>
        <w:rPr>
          <w:rFonts w:cs="Arial"/>
        </w:rPr>
      </w:pPr>
      <w:r w:rsidRPr="00097CD5">
        <w:rPr>
          <w:rFonts w:cs="Arial"/>
          <w:lang w:val="fi-FI"/>
        </w:rPr>
        <w:t>X dB is RRC configured parameter with 4 fixed values and X is [0, 2, 4 or 6] dB. The UE has to be able to support all these 4 configurable X values.</w:t>
      </w:r>
    </w:p>
    <w:p w14:paraId="0F18B7E6" w14:textId="77777777" w:rsidR="00CF2CA9" w:rsidRPr="00097CD5" w:rsidRDefault="00C639E0" w:rsidP="00097CD5">
      <w:pPr>
        <w:numPr>
          <w:ilvl w:val="2"/>
          <w:numId w:val="40"/>
        </w:numPr>
        <w:spacing w:after="0" w:line="240" w:lineRule="auto"/>
        <w:rPr>
          <w:rFonts w:cs="Arial"/>
        </w:rPr>
      </w:pPr>
      <w:r w:rsidRPr="00097CD5">
        <w:rPr>
          <w:rFonts w:cs="Arial"/>
          <w:lang w:val="fi-FI"/>
        </w:rPr>
        <w:t>T</w:t>
      </w:r>
      <w:r w:rsidRPr="00097CD5">
        <w:rPr>
          <w:rFonts w:cs="Arial"/>
        </w:rPr>
        <w:t>his threshold X dB does not limit the UE performance but only defines the UE minimum performance (i.e. UE can perform better than the minimum performance)</w:t>
      </w:r>
    </w:p>
    <w:p w14:paraId="425399F8" w14:textId="77777777" w:rsidR="00CF2CA9" w:rsidRPr="00097CD5" w:rsidRDefault="00C639E0" w:rsidP="00097CD5">
      <w:pPr>
        <w:numPr>
          <w:ilvl w:val="0"/>
          <w:numId w:val="40"/>
        </w:numPr>
        <w:spacing w:after="0" w:line="240" w:lineRule="auto"/>
        <w:rPr>
          <w:rFonts w:cs="Arial"/>
        </w:rPr>
      </w:pPr>
      <w:r w:rsidRPr="00097CD5">
        <w:rPr>
          <w:rFonts w:cs="Arial"/>
          <w:lang w:val="fi-FI"/>
        </w:rPr>
        <w:t>Handling of partial overlap needs to be addressed (including possibility to leave this up to the UE implementation)</w:t>
      </w:r>
    </w:p>
    <w:p w14:paraId="1C468767" w14:textId="77777777" w:rsidR="00CF2CA9" w:rsidRPr="00097CD5" w:rsidRDefault="00C639E0" w:rsidP="00097CD5">
      <w:pPr>
        <w:numPr>
          <w:ilvl w:val="0"/>
          <w:numId w:val="40"/>
        </w:numPr>
        <w:spacing w:after="0" w:line="240" w:lineRule="auto"/>
        <w:rPr>
          <w:rFonts w:cs="Arial"/>
        </w:rPr>
      </w:pPr>
      <w:r w:rsidRPr="00097CD5">
        <w:rPr>
          <w:rFonts w:cs="Arial"/>
          <w:lang w:val="fi-FI"/>
        </w:rPr>
        <w:t>Handling of multiple NR UL carriers needs to be addressed (including possibility to leave this up to the UE implementation)</w:t>
      </w:r>
    </w:p>
    <w:p w14:paraId="066C2BC8" w14:textId="7436F04B" w:rsidR="00097CD5" w:rsidRPr="00724B87" w:rsidRDefault="00097CD5" w:rsidP="00A53823">
      <w:pPr>
        <w:spacing w:after="0" w:line="240" w:lineRule="auto"/>
        <w:rPr>
          <w:rFonts w:ascii="Arial" w:hAnsi="Arial" w:cs="Arial"/>
          <w:b/>
        </w:rPr>
      </w:pPr>
    </w:p>
    <w:sectPr w:rsidR="00097CD5" w:rsidRPr="00724B87">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28E98" w14:textId="77777777" w:rsidR="007246FC" w:rsidRDefault="007246FC">
      <w:r>
        <w:separator/>
      </w:r>
    </w:p>
  </w:endnote>
  <w:endnote w:type="continuationSeparator" w:id="0">
    <w:p w14:paraId="58F873A3" w14:textId="77777777" w:rsidR="007246FC" w:rsidRDefault="007246FC">
      <w:r>
        <w:continuationSeparator/>
      </w:r>
    </w:p>
  </w:endnote>
  <w:endnote w:type="continuationNotice" w:id="1">
    <w:p w14:paraId="175EC6C4" w14:textId="77777777" w:rsidR="007246FC" w:rsidRDefault="007246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055936184"/>
      <w:docPartObj>
        <w:docPartGallery w:val="Page Numbers (Bottom of Page)"/>
        <w:docPartUnique/>
      </w:docPartObj>
    </w:sdtPr>
    <w:sdtEndPr>
      <w:rPr>
        <w:noProof/>
      </w:rPr>
    </w:sdtEndPr>
    <w:sdtContent>
      <w:p w14:paraId="3B78EFB0" w14:textId="14CB910A" w:rsidR="00196B3D" w:rsidRDefault="00196B3D">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834195C" w14:textId="77777777" w:rsidR="00363EF7" w:rsidRDefault="00363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1975E" w14:textId="77777777" w:rsidR="007246FC" w:rsidRDefault="007246FC">
      <w:r>
        <w:separator/>
      </w:r>
    </w:p>
  </w:footnote>
  <w:footnote w:type="continuationSeparator" w:id="0">
    <w:p w14:paraId="4F764D79" w14:textId="77777777" w:rsidR="007246FC" w:rsidRDefault="007246FC">
      <w:r>
        <w:continuationSeparator/>
      </w:r>
    </w:p>
  </w:footnote>
  <w:footnote w:type="continuationNotice" w:id="1">
    <w:p w14:paraId="3FAE8226" w14:textId="77777777" w:rsidR="007246FC" w:rsidRDefault="007246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17A"/>
    <w:multiLevelType w:val="hybridMultilevel"/>
    <w:tmpl w:val="33465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1268"/>
    <w:multiLevelType w:val="hybridMultilevel"/>
    <w:tmpl w:val="93F0F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5E0405"/>
    <w:multiLevelType w:val="hybridMultilevel"/>
    <w:tmpl w:val="B0820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0297C"/>
    <w:multiLevelType w:val="hybridMultilevel"/>
    <w:tmpl w:val="25904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278C3"/>
    <w:multiLevelType w:val="hybridMultilevel"/>
    <w:tmpl w:val="31364742"/>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6" w15:restartNumberingAfterBreak="0">
    <w:nsid w:val="166B44AB"/>
    <w:multiLevelType w:val="hybridMultilevel"/>
    <w:tmpl w:val="4F8E7A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6B70E35"/>
    <w:multiLevelType w:val="hybridMultilevel"/>
    <w:tmpl w:val="4F8E7A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2F6397"/>
    <w:multiLevelType w:val="hybridMultilevel"/>
    <w:tmpl w:val="E972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E5AFE"/>
    <w:multiLevelType w:val="hybridMultilevel"/>
    <w:tmpl w:val="06E4B60A"/>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1C450B"/>
    <w:multiLevelType w:val="hybridMultilevel"/>
    <w:tmpl w:val="15D2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B7876"/>
    <w:multiLevelType w:val="hybridMultilevel"/>
    <w:tmpl w:val="0C64BA54"/>
    <w:lvl w:ilvl="0" w:tplc="C2E2007A">
      <w:start w:val="1"/>
      <w:numFmt w:val="bullet"/>
      <w:lvlText w:val="•"/>
      <w:lvlJc w:val="left"/>
      <w:pPr>
        <w:tabs>
          <w:tab w:val="num" w:pos="360"/>
        </w:tabs>
        <w:ind w:left="360" w:hanging="360"/>
      </w:pPr>
      <w:rPr>
        <w:rFonts w:ascii="Arial" w:hAnsi="Arial" w:hint="default"/>
      </w:rPr>
    </w:lvl>
    <w:lvl w:ilvl="1" w:tplc="B770E8C4">
      <w:start w:val="57"/>
      <w:numFmt w:val="bullet"/>
      <w:lvlText w:val="–"/>
      <w:lvlJc w:val="left"/>
      <w:pPr>
        <w:tabs>
          <w:tab w:val="num" w:pos="1080"/>
        </w:tabs>
        <w:ind w:left="1080" w:hanging="360"/>
      </w:pPr>
      <w:rPr>
        <w:rFonts w:ascii="Arial" w:hAnsi="Arial" w:hint="default"/>
      </w:rPr>
    </w:lvl>
    <w:lvl w:ilvl="2" w:tplc="5DFE5CE8">
      <w:start w:val="57"/>
      <w:numFmt w:val="bullet"/>
      <w:lvlText w:val="•"/>
      <w:lvlJc w:val="left"/>
      <w:pPr>
        <w:tabs>
          <w:tab w:val="num" w:pos="1800"/>
        </w:tabs>
        <w:ind w:left="1800" w:hanging="360"/>
      </w:pPr>
      <w:rPr>
        <w:rFonts w:ascii="Arial" w:hAnsi="Arial" w:hint="default"/>
      </w:rPr>
    </w:lvl>
    <w:lvl w:ilvl="3" w:tplc="AB6240C8">
      <w:start w:val="57"/>
      <w:numFmt w:val="bullet"/>
      <w:lvlText w:val="–"/>
      <w:lvlJc w:val="left"/>
      <w:pPr>
        <w:tabs>
          <w:tab w:val="num" w:pos="2520"/>
        </w:tabs>
        <w:ind w:left="2520" w:hanging="360"/>
      </w:pPr>
      <w:rPr>
        <w:rFonts w:ascii="Arial" w:hAnsi="Arial" w:hint="default"/>
      </w:rPr>
    </w:lvl>
    <w:lvl w:ilvl="4" w:tplc="8D1C032A" w:tentative="1">
      <w:start w:val="1"/>
      <w:numFmt w:val="bullet"/>
      <w:lvlText w:val="•"/>
      <w:lvlJc w:val="left"/>
      <w:pPr>
        <w:tabs>
          <w:tab w:val="num" w:pos="3240"/>
        </w:tabs>
        <w:ind w:left="3240" w:hanging="360"/>
      </w:pPr>
      <w:rPr>
        <w:rFonts w:ascii="Arial" w:hAnsi="Arial" w:hint="default"/>
      </w:rPr>
    </w:lvl>
    <w:lvl w:ilvl="5" w:tplc="D542EFCC" w:tentative="1">
      <w:start w:val="1"/>
      <w:numFmt w:val="bullet"/>
      <w:lvlText w:val="•"/>
      <w:lvlJc w:val="left"/>
      <w:pPr>
        <w:tabs>
          <w:tab w:val="num" w:pos="3960"/>
        </w:tabs>
        <w:ind w:left="3960" w:hanging="360"/>
      </w:pPr>
      <w:rPr>
        <w:rFonts w:ascii="Arial" w:hAnsi="Arial" w:hint="default"/>
      </w:rPr>
    </w:lvl>
    <w:lvl w:ilvl="6" w:tplc="0CA697AA" w:tentative="1">
      <w:start w:val="1"/>
      <w:numFmt w:val="bullet"/>
      <w:lvlText w:val="•"/>
      <w:lvlJc w:val="left"/>
      <w:pPr>
        <w:tabs>
          <w:tab w:val="num" w:pos="4680"/>
        </w:tabs>
        <w:ind w:left="4680" w:hanging="360"/>
      </w:pPr>
      <w:rPr>
        <w:rFonts w:ascii="Arial" w:hAnsi="Arial" w:hint="default"/>
      </w:rPr>
    </w:lvl>
    <w:lvl w:ilvl="7" w:tplc="0388CB64" w:tentative="1">
      <w:start w:val="1"/>
      <w:numFmt w:val="bullet"/>
      <w:lvlText w:val="•"/>
      <w:lvlJc w:val="left"/>
      <w:pPr>
        <w:tabs>
          <w:tab w:val="num" w:pos="5400"/>
        </w:tabs>
        <w:ind w:left="5400" w:hanging="360"/>
      </w:pPr>
      <w:rPr>
        <w:rFonts w:ascii="Arial" w:hAnsi="Arial" w:hint="default"/>
      </w:rPr>
    </w:lvl>
    <w:lvl w:ilvl="8" w:tplc="6D46B1F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B75136"/>
    <w:multiLevelType w:val="hybridMultilevel"/>
    <w:tmpl w:val="8EECA0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AF70B99"/>
    <w:multiLevelType w:val="multilevel"/>
    <w:tmpl w:val="05BE936A"/>
    <w:numStyleLink w:val="baseHeadings"/>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AD46B9"/>
    <w:multiLevelType w:val="hybridMultilevel"/>
    <w:tmpl w:val="E9727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825CE5"/>
    <w:multiLevelType w:val="hybridMultilevel"/>
    <w:tmpl w:val="21CCD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656CD1"/>
    <w:multiLevelType w:val="hybridMultilevel"/>
    <w:tmpl w:val="DF60EE68"/>
    <w:lvl w:ilvl="0" w:tplc="CB528F0A">
      <w:start w:val="1"/>
      <w:numFmt w:val="bullet"/>
      <w:lvlText w:val="•"/>
      <w:lvlJc w:val="left"/>
      <w:pPr>
        <w:tabs>
          <w:tab w:val="num" w:pos="360"/>
        </w:tabs>
        <w:ind w:left="360" w:hanging="360"/>
      </w:pPr>
      <w:rPr>
        <w:rFonts w:ascii="Arial" w:hAnsi="Arial" w:hint="default"/>
      </w:rPr>
    </w:lvl>
    <w:lvl w:ilvl="1" w:tplc="FD287BD2">
      <w:numFmt w:val="bullet"/>
      <w:lvlText w:val="−"/>
      <w:lvlJc w:val="left"/>
      <w:pPr>
        <w:tabs>
          <w:tab w:val="num" w:pos="1080"/>
        </w:tabs>
        <w:ind w:left="1080" w:hanging="360"/>
      </w:pPr>
      <w:rPr>
        <w:rFonts w:ascii="Arial" w:hAnsi="Arial" w:hint="default"/>
      </w:rPr>
    </w:lvl>
    <w:lvl w:ilvl="2" w:tplc="84CAD922">
      <w:numFmt w:val="bullet"/>
      <w:lvlText w:val="−"/>
      <w:lvlJc w:val="left"/>
      <w:pPr>
        <w:tabs>
          <w:tab w:val="num" w:pos="1800"/>
        </w:tabs>
        <w:ind w:left="1800" w:hanging="360"/>
      </w:pPr>
      <w:rPr>
        <w:rFonts w:ascii="Arial" w:hAnsi="Arial" w:hint="default"/>
      </w:rPr>
    </w:lvl>
    <w:lvl w:ilvl="3" w:tplc="ACE8D71E" w:tentative="1">
      <w:start w:val="1"/>
      <w:numFmt w:val="bullet"/>
      <w:lvlText w:val="•"/>
      <w:lvlJc w:val="left"/>
      <w:pPr>
        <w:tabs>
          <w:tab w:val="num" w:pos="2520"/>
        </w:tabs>
        <w:ind w:left="2520" w:hanging="360"/>
      </w:pPr>
      <w:rPr>
        <w:rFonts w:ascii="Arial" w:hAnsi="Arial" w:hint="default"/>
      </w:rPr>
    </w:lvl>
    <w:lvl w:ilvl="4" w:tplc="58320E14" w:tentative="1">
      <w:start w:val="1"/>
      <w:numFmt w:val="bullet"/>
      <w:lvlText w:val="•"/>
      <w:lvlJc w:val="left"/>
      <w:pPr>
        <w:tabs>
          <w:tab w:val="num" w:pos="3240"/>
        </w:tabs>
        <w:ind w:left="3240" w:hanging="360"/>
      </w:pPr>
      <w:rPr>
        <w:rFonts w:ascii="Arial" w:hAnsi="Arial" w:hint="default"/>
      </w:rPr>
    </w:lvl>
    <w:lvl w:ilvl="5" w:tplc="85CC7FC8" w:tentative="1">
      <w:start w:val="1"/>
      <w:numFmt w:val="bullet"/>
      <w:lvlText w:val="•"/>
      <w:lvlJc w:val="left"/>
      <w:pPr>
        <w:tabs>
          <w:tab w:val="num" w:pos="3960"/>
        </w:tabs>
        <w:ind w:left="3960" w:hanging="360"/>
      </w:pPr>
      <w:rPr>
        <w:rFonts w:ascii="Arial" w:hAnsi="Arial" w:hint="default"/>
      </w:rPr>
    </w:lvl>
    <w:lvl w:ilvl="6" w:tplc="8856D152" w:tentative="1">
      <w:start w:val="1"/>
      <w:numFmt w:val="bullet"/>
      <w:lvlText w:val="•"/>
      <w:lvlJc w:val="left"/>
      <w:pPr>
        <w:tabs>
          <w:tab w:val="num" w:pos="4680"/>
        </w:tabs>
        <w:ind w:left="4680" w:hanging="360"/>
      </w:pPr>
      <w:rPr>
        <w:rFonts w:ascii="Arial" w:hAnsi="Arial" w:hint="default"/>
      </w:rPr>
    </w:lvl>
    <w:lvl w:ilvl="7" w:tplc="B0D0A3CE" w:tentative="1">
      <w:start w:val="1"/>
      <w:numFmt w:val="bullet"/>
      <w:lvlText w:val="•"/>
      <w:lvlJc w:val="left"/>
      <w:pPr>
        <w:tabs>
          <w:tab w:val="num" w:pos="5400"/>
        </w:tabs>
        <w:ind w:left="5400" w:hanging="360"/>
      </w:pPr>
      <w:rPr>
        <w:rFonts w:ascii="Arial" w:hAnsi="Arial" w:hint="default"/>
      </w:rPr>
    </w:lvl>
    <w:lvl w:ilvl="8" w:tplc="C5A867F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7BC299C"/>
    <w:multiLevelType w:val="hybridMultilevel"/>
    <w:tmpl w:val="F5484B86"/>
    <w:lvl w:ilvl="0" w:tplc="D3AC049C">
      <w:start w:val="1"/>
      <w:numFmt w:val="bullet"/>
      <w:lvlText w:val="•"/>
      <w:lvlJc w:val="left"/>
      <w:pPr>
        <w:tabs>
          <w:tab w:val="num" w:pos="720"/>
        </w:tabs>
        <w:ind w:left="720" w:hanging="360"/>
      </w:pPr>
      <w:rPr>
        <w:rFonts w:ascii="Arial" w:hAnsi="Arial" w:hint="default"/>
      </w:rPr>
    </w:lvl>
    <w:lvl w:ilvl="1" w:tplc="2E90BD8A">
      <w:start w:val="43"/>
      <w:numFmt w:val="bullet"/>
      <w:lvlText w:val="–"/>
      <w:lvlJc w:val="left"/>
      <w:pPr>
        <w:tabs>
          <w:tab w:val="num" w:pos="1440"/>
        </w:tabs>
        <w:ind w:left="1440" w:hanging="360"/>
      </w:pPr>
      <w:rPr>
        <w:rFonts w:ascii="Arial" w:hAnsi="Arial" w:hint="default"/>
      </w:rPr>
    </w:lvl>
    <w:lvl w:ilvl="2" w:tplc="0FE64340">
      <w:start w:val="43"/>
      <w:numFmt w:val="bullet"/>
      <w:lvlText w:val="•"/>
      <w:lvlJc w:val="left"/>
      <w:pPr>
        <w:tabs>
          <w:tab w:val="num" w:pos="2160"/>
        </w:tabs>
        <w:ind w:left="2160" w:hanging="360"/>
      </w:pPr>
      <w:rPr>
        <w:rFonts w:ascii="Arial" w:hAnsi="Arial" w:hint="default"/>
      </w:rPr>
    </w:lvl>
    <w:lvl w:ilvl="3" w:tplc="7F7C1C9A" w:tentative="1">
      <w:start w:val="1"/>
      <w:numFmt w:val="bullet"/>
      <w:lvlText w:val="•"/>
      <w:lvlJc w:val="left"/>
      <w:pPr>
        <w:tabs>
          <w:tab w:val="num" w:pos="2880"/>
        </w:tabs>
        <w:ind w:left="2880" w:hanging="360"/>
      </w:pPr>
      <w:rPr>
        <w:rFonts w:ascii="Arial" w:hAnsi="Arial" w:hint="default"/>
      </w:rPr>
    </w:lvl>
    <w:lvl w:ilvl="4" w:tplc="85F6B028" w:tentative="1">
      <w:start w:val="1"/>
      <w:numFmt w:val="bullet"/>
      <w:lvlText w:val="•"/>
      <w:lvlJc w:val="left"/>
      <w:pPr>
        <w:tabs>
          <w:tab w:val="num" w:pos="3600"/>
        </w:tabs>
        <w:ind w:left="3600" w:hanging="360"/>
      </w:pPr>
      <w:rPr>
        <w:rFonts w:ascii="Arial" w:hAnsi="Arial" w:hint="default"/>
      </w:rPr>
    </w:lvl>
    <w:lvl w:ilvl="5" w:tplc="7F5C8C54" w:tentative="1">
      <w:start w:val="1"/>
      <w:numFmt w:val="bullet"/>
      <w:lvlText w:val="•"/>
      <w:lvlJc w:val="left"/>
      <w:pPr>
        <w:tabs>
          <w:tab w:val="num" w:pos="4320"/>
        </w:tabs>
        <w:ind w:left="4320" w:hanging="360"/>
      </w:pPr>
      <w:rPr>
        <w:rFonts w:ascii="Arial" w:hAnsi="Arial" w:hint="default"/>
      </w:rPr>
    </w:lvl>
    <w:lvl w:ilvl="6" w:tplc="FED84F10" w:tentative="1">
      <w:start w:val="1"/>
      <w:numFmt w:val="bullet"/>
      <w:lvlText w:val="•"/>
      <w:lvlJc w:val="left"/>
      <w:pPr>
        <w:tabs>
          <w:tab w:val="num" w:pos="5040"/>
        </w:tabs>
        <w:ind w:left="5040" w:hanging="360"/>
      </w:pPr>
      <w:rPr>
        <w:rFonts w:ascii="Arial" w:hAnsi="Arial" w:hint="default"/>
      </w:rPr>
    </w:lvl>
    <w:lvl w:ilvl="7" w:tplc="8CD2BC96" w:tentative="1">
      <w:start w:val="1"/>
      <w:numFmt w:val="bullet"/>
      <w:lvlText w:val="•"/>
      <w:lvlJc w:val="left"/>
      <w:pPr>
        <w:tabs>
          <w:tab w:val="num" w:pos="5760"/>
        </w:tabs>
        <w:ind w:left="5760" w:hanging="360"/>
      </w:pPr>
      <w:rPr>
        <w:rFonts w:ascii="Arial" w:hAnsi="Arial" w:hint="default"/>
      </w:rPr>
    </w:lvl>
    <w:lvl w:ilvl="8" w:tplc="453A11C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ED18BC"/>
    <w:multiLevelType w:val="multilevel"/>
    <w:tmpl w:val="4D80806E"/>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ascii="Arial" w:hAnsi="Arial" w:cs="Arial" w:hint="default"/>
        <w:sz w:val="20"/>
        <w:szCs w:val="20"/>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E060507"/>
    <w:multiLevelType w:val="hybridMultilevel"/>
    <w:tmpl w:val="AE044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16"/>
  </w:num>
  <w:num w:numId="3">
    <w:abstractNumId w:val="17"/>
  </w:num>
  <w:num w:numId="4">
    <w:abstractNumId w:val="14"/>
  </w:num>
  <w:num w:numId="5">
    <w:abstractNumId w:val="21"/>
  </w:num>
  <w:num w:numId="6">
    <w:abstractNumId w:val="30"/>
  </w:num>
  <w:num w:numId="7">
    <w:abstractNumId w:val="15"/>
  </w:num>
  <w:num w:numId="8">
    <w:abstractNumId w:val="29"/>
  </w:num>
  <w:num w:numId="9">
    <w:abstractNumId w:val="28"/>
  </w:num>
  <w:num w:numId="10">
    <w:abstractNumId w:val="32"/>
  </w:num>
  <w:num w:numId="11">
    <w:abstractNumId w:val="25"/>
  </w:num>
  <w:num w:numId="12">
    <w:abstractNumId w:val="41"/>
  </w:num>
  <w:num w:numId="13">
    <w:abstractNumId w:val="26"/>
  </w:num>
  <w:num w:numId="14">
    <w:abstractNumId w:val="22"/>
  </w:num>
  <w:num w:numId="15">
    <w:abstractNumId w:val="38"/>
  </w:num>
  <w:num w:numId="16">
    <w:abstractNumId w:val="20"/>
  </w:num>
  <w:num w:numId="17">
    <w:abstractNumId w:val="33"/>
  </w:num>
  <w:num w:numId="18">
    <w:abstractNumId w:val="23"/>
  </w:num>
  <w:num w:numId="19">
    <w:abstractNumId w:val="12"/>
  </w:num>
  <w:num w:numId="20">
    <w:abstractNumId w:val="4"/>
  </w:num>
  <w:num w:numId="21">
    <w:abstractNumId w:val="18"/>
  </w:num>
  <w:num w:numId="22">
    <w:abstractNumId w:val="10"/>
  </w:num>
  <w:num w:numId="23">
    <w:abstractNumId w:val="39"/>
  </w:num>
  <w:num w:numId="24">
    <w:abstractNumId w:val="34"/>
  </w:num>
  <w:num w:numId="25">
    <w:abstractNumId w:val="2"/>
  </w:num>
  <w:num w:numId="26">
    <w:abstractNumId w:val="36"/>
  </w:num>
  <w:num w:numId="27">
    <w:abstractNumId w:val="35"/>
  </w:num>
  <w:num w:numId="28">
    <w:abstractNumId w:val="13"/>
  </w:num>
  <w:num w:numId="29">
    <w:abstractNumId w:val="32"/>
  </w:num>
  <w:num w:numId="30">
    <w:abstractNumId w:val="9"/>
  </w:num>
  <w:num w:numId="31">
    <w:abstractNumId w:val="3"/>
  </w:num>
  <w:num w:numId="32">
    <w:abstractNumId w:val="19"/>
  </w:num>
  <w:num w:numId="33">
    <w:abstractNumId w:val="31"/>
  </w:num>
  <w:num w:numId="34">
    <w:abstractNumId w:val="11"/>
  </w:num>
  <w:num w:numId="35">
    <w:abstractNumId w:val="1"/>
  </w:num>
  <w:num w:numId="36">
    <w:abstractNumId w:val="0"/>
  </w:num>
  <w:num w:numId="37">
    <w:abstractNumId w:val="40"/>
  </w:num>
  <w:num w:numId="38">
    <w:abstractNumId w:val="5"/>
  </w:num>
  <w:num w:numId="39">
    <w:abstractNumId w:val="24"/>
  </w:num>
  <w:num w:numId="40">
    <w:abstractNumId w:val="37"/>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7"/>
  </w:num>
  <w:num w:numId="44">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26FD"/>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CAB"/>
    <w:rsid w:val="000422E2"/>
    <w:rsid w:val="00042F22"/>
    <w:rsid w:val="00043810"/>
    <w:rsid w:val="000444EF"/>
    <w:rsid w:val="00045529"/>
    <w:rsid w:val="00046803"/>
    <w:rsid w:val="000476CE"/>
    <w:rsid w:val="000506A7"/>
    <w:rsid w:val="00051684"/>
    <w:rsid w:val="000523EA"/>
    <w:rsid w:val="000528A6"/>
    <w:rsid w:val="00052A07"/>
    <w:rsid w:val="00053282"/>
    <w:rsid w:val="000534E3"/>
    <w:rsid w:val="0005606A"/>
    <w:rsid w:val="0005666E"/>
    <w:rsid w:val="00056D8D"/>
    <w:rsid w:val="00057117"/>
    <w:rsid w:val="000616E7"/>
    <w:rsid w:val="00061A0B"/>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39ED"/>
    <w:rsid w:val="000855EB"/>
    <w:rsid w:val="00085B52"/>
    <w:rsid w:val="00085DF4"/>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0DB"/>
    <w:rsid w:val="0009510F"/>
    <w:rsid w:val="00097CD5"/>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093"/>
    <w:rsid w:val="000B61E9"/>
    <w:rsid w:val="000B66A8"/>
    <w:rsid w:val="000B7B33"/>
    <w:rsid w:val="000C0635"/>
    <w:rsid w:val="000C0FBF"/>
    <w:rsid w:val="000C165A"/>
    <w:rsid w:val="000C171C"/>
    <w:rsid w:val="000C2E19"/>
    <w:rsid w:val="000C783F"/>
    <w:rsid w:val="000D0D07"/>
    <w:rsid w:val="000D1F37"/>
    <w:rsid w:val="000D4797"/>
    <w:rsid w:val="000D5ACE"/>
    <w:rsid w:val="000D654F"/>
    <w:rsid w:val="000D7DD2"/>
    <w:rsid w:val="000E0527"/>
    <w:rsid w:val="000E113A"/>
    <w:rsid w:val="000E17AD"/>
    <w:rsid w:val="000E1A1F"/>
    <w:rsid w:val="000E1E92"/>
    <w:rsid w:val="000E31CC"/>
    <w:rsid w:val="000F06D6"/>
    <w:rsid w:val="000F0839"/>
    <w:rsid w:val="000F0EB1"/>
    <w:rsid w:val="000F1106"/>
    <w:rsid w:val="000F1687"/>
    <w:rsid w:val="000F3550"/>
    <w:rsid w:val="000F3BE9"/>
    <w:rsid w:val="000F3F6C"/>
    <w:rsid w:val="000F4CE5"/>
    <w:rsid w:val="000F65A0"/>
    <w:rsid w:val="000F6DF3"/>
    <w:rsid w:val="000F7070"/>
    <w:rsid w:val="00100068"/>
    <w:rsid w:val="001005FF"/>
    <w:rsid w:val="00101415"/>
    <w:rsid w:val="00103B10"/>
    <w:rsid w:val="00103EEB"/>
    <w:rsid w:val="00104326"/>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17FFE"/>
    <w:rsid w:val="001206B3"/>
    <w:rsid w:val="0012161C"/>
    <w:rsid w:val="001219F5"/>
    <w:rsid w:val="00121A20"/>
    <w:rsid w:val="00122B87"/>
    <w:rsid w:val="00122EDF"/>
    <w:rsid w:val="0012377F"/>
    <w:rsid w:val="00123DA1"/>
    <w:rsid w:val="00124314"/>
    <w:rsid w:val="00124D89"/>
    <w:rsid w:val="001259DC"/>
    <w:rsid w:val="00126B4A"/>
    <w:rsid w:val="00131D77"/>
    <w:rsid w:val="00132FD0"/>
    <w:rsid w:val="001344C0"/>
    <w:rsid w:val="001346FA"/>
    <w:rsid w:val="00135252"/>
    <w:rsid w:val="00135A9E"/>
    <w:rsid w:val="00135CD5"/>
    <w:rsid w:val="00136F34"/>
    <w:rsid w:val="00136FEA"/>
    <w:rsid w:val="00137AB5"/>
    <w:rsid w:val="00137F0B"/>
    <w:rsid w:val="00140964"/>
    <w:rsid w:val="00140D5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57E8F"/>
    <w:rsid w:val="001613C4"/>
    <w:rsid w:val="00162069"/>
    <w:rsid w:val="00162C03"/>
    <w:rsid w:val="00163538"/>
    <w:rsid w:val="0016360E"/>
    <w:rsid w:val="00163F75"/>
    <w:rsid w:val="00164D4A"/>
    <w:rsid w:val="001657AA"/>
    <w:rsid w:val="001659C1"/>
    <w:rsid w:val="00166721"/>
    <w:rsid w:val="00166E7F"/>
    <w:rsid w:val="00167763"/>
    <w:rsid w:val="00170546"/>
    <w:rsid w:val="00170C0D"/>
    <w:rsid w:val="001726BC"/>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3A0D"/>
    <w:rsid w:val="00196B3D"/>
    <w:rsid w:val="00197A28"/>
    <w:rsid w:val="00197DF9"/>
    <w:rsid w:val="001A0C80"/>
    <w:rsid w:val="001A0FF8"/>
    <w:rsid w:val="001A1987"/>
    <w:rsid w:val="001A2564"/>
    <w:rsid w:val="001A319B"/>
    <w:rsid w:val="001A3BF5"/>
    <w:rsid w:val="001A3F58"/>
    <w:rsid w:val="001A6173"/>
    <w:rsid w:val="001A6ADF"/>
    <w:rsid w:val="001A6CBA"/>
    <w:rsid w:val="001A6FDD"/>
    <w:rsid w:val="001A7405"/>
    <w:rsid w:val="001B0552"/>
    <w:rsid w:val="001B089D"/>
    <w:rsid w:val="001B0D97"/>
    <w:rsid w:val="001B1E82"/>
    <w:rsid w:val="001B23E5"/>
    <w:rsid w:val="001B501F"/>
    <w:rsid w:val="001B5453"/>
    <w:rsid w:val="001B5A5D"/>
    <w:rsid w:val="001B616C"/>
    <w:rsid w:val="001B66C4"/>
    <w:rsid w:val="001B69AE"/>
    <w:rsid w:val="001B700F"/>
    <w:rsid w:val="001C1CE5"/>
    <w:rsid w:val="001C2C68"/>
    <w:rsid w:val="001C3D2A"/>
    <w:rsid w:val="001C6661"/>
    <w:rsid w:val="001C7626"/>
    <w:rsid w:val="001D51BA"/>
    <w:rsid w:val="001D6342"/>
    <w:rsid w:val="001D6D53"/>
    <w:rsid w:val="001E1C24"/>
    <w:rsid w:val="001E5453"/>
    <w:rsid w:val="001E58E2"/>
    <w:rsid w:val="001E6E7C"/>
    <w:rsid w:val="001E7AED"/>
    <w:rsid w:val="001F238A"/>
    <w:rsid w:val="001F344D"/>
    <w:rsid w:val="001F3916"/>
    <w:rsid w:val="001F4467"/>
    <w:rsid w:val="001F4522"/>
    <w:rsid w:val="001F54C5"/>
    <w:rsid w:val="001F662C"/>
    <w:rsid w:val="001F6F78"/>
    <w:rsid w:val="001F7074"/>
    <w:rsid w:val="00200375"/>
    <w:rsid w:val="00200490"/>
    <w:rsid w:val="0020104C"/>
    <w:rsid w:val="00201F3A"/>
    <w:rsid w:val="00202C20"/>
    <w:rsid w:val="0020323F"/>
    <w:rsid w:val="00203F96"/>
    <w:rsid w:val="002046B4"/>
    <w:rsid w:val="0020506A"/>
    <w:rsid w:val="00205E74"/>
    <w:rsid w:val="0020646B"/>
    <w:rsid w:val="002069B2"/>
    <w:rsid w:val="00206B13"/>
    <w:rsid w:val="00207D2E"/>
    <w:rsid w:val="00207FA3"/>
    <w:rsid w:val="00210D30"/>
    <w:rsid w:val="002123EE"/>
    <w:rsid w:val="002149E7"/>
    <w:rsid w:val="00214DA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509"/>
    <w:rsid w:val="00232C14"/>
    <w:rsid w:val="00232D4C"/>
    <w:rsid w:val="0023309C"/>
    <w:rsid w:val="002342CA"/>
    <w:rsid w:val="00235632"/>
    <w:rsid w:val="00235872"/>
    <w:rsid w:val="00240B51"/>
    <w:rsid w:val="00241559"/>
    <w:rsid w:val="002432E4"/>
    <w:rsid w:val="002435B3"/>
    <w:rsid w:val="002440F8"/>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677E"/>
    <w:rsid w:val="0026742B"/>
    <w:rsid w:val="00267C83"/>
    <w:rsid w:val="0027002C"/>
    <w:rsid w:val="00270CDB"/>
    <w:rsid w:val="0027144F"/>
    <w:rsid w:val="00271F3A"/>
    <w:rsid w:val="00272738"/>
    <w:rsid w:val="00273278"/>
    <w:rsid w:val="002737F4"/>
    <w:rsid w:val="00275251"/>
    <w:rsid w:val="002805F5"/>
    <w:rsid w:val="00280751"/>
    <w:rsid w:val="0028280A"/>
    <w:rsid w:val="00283D05"/>
    <w:rsid w:val="00286ACD"/>
    <w:rsid w:val="00287838"/>
    <w:rsid w:val="002901B1"/>
    <w:rsid w:val="002907B5"/>
    <w:rsid w:val="00290CD1"/>
    <w:rsid w:val="00290F51"/>
    <w:rsid w:val="002910C4"/>
    <w:rsid w:val="00291A4F"/>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876"/>
    <w:rsid w:val="002B0907"/>
    <w:rsid w:val="002B145E"/>
    <w:rsid w:val="002B1F6F"/>
    <w:rsid w:val="002B24D6"/>
    <w:rsid w:val="002B4CE9"/>
    <w:rsid w:val="002B78E3"/>
    <w:rsid w:val="002B7B52"/>
    <w:rsid w:val="002C1B68"/>
    <w:rsid w:val="002C26FE"/>
    <w:rsid w:val="002C41E6"/>
    <w:rsid w:val="002C6788"/>
    <w:rsid w:val="002C6D61"/>
    <w:rsid w:val="002C6DA9"/>
    <w:rsid w:val="002D071A"/>
    <w:rsid w:val="002D0781"/>
    <w:rsid w:val="002D1464"/>
    <w:rsid w:val="002D1A4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39CD"/>
    <w:rsid w:val="003042A8"/>
    <w:rsid w:val="0030501F"/>
    <w:rsid w:val="0030638C"/>
    <w:rsid w:val="00307BA1"/>
    <w:rsid w:val="00310178"/>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5269"/>
    <w:rsid w:val="003266B4"/>
    <w:rsid w:val="003268E0"/>
    <w:rsid w:val="00331751"/>
    <w:rsid w:val="00333A8B"/>
    <w:rsid w:val="00334579"/>
    <w:rsid w:val="00334971"/>
    <w:rsid w:val="00335858"/>
    <w:rsid w:val="0033662A"/>
    <w:rsid w:val="00336BDA"/>
    <w:rsid w:val="0033719B"/>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15"/>
    <w:rsid w:val="003639EA"/>
    <w:rsid w:val="00363EF7"/>
    <w:rsid w:val="00365F79"/>
    <w:rsid w:val="00370E47"/>
    <w:rsid w:val="00371ED7"/>
    <w:rsid w:val="00371FCF"/>
    <w:rsid w:val="00372D51"/>
    <w:rsid w:val="003742AC"/>
    <w:rsid w:val="00374487"/>
    <w:rsid w:val="0037574C"/>
    <w:rsid w:val="003766F3"/>
    <w:rsid w:val="00377CE1"/>
    <w:rsid w:val="00382455"/>
    <w:rsid w:val="00383EB0"/>
    <w:rsid w:val="00385BF0"/>
    <w:rsid w:val="0038658F"/>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38F"/>
    <w:rsid w:val="003A596A"/>
    <w:rsid w:val="003A5B0A"/>
    <w:rsid w:val="003A5C65"/>
    <w:rsid w:val="003A5E71"/>
    <w:rsid w:val="003A6BAC"/>
    <w:rsid w:val="003A74D2"/>
    <w:rsid w:val="003A7BB9"/>
    <w:rsid w:val="003A7EF3"/>
    <w:rsid w:val="003B0883"/>
    <w:rsid w:val="003B13F1"/>
    <w:rsid w:val="003B159C"/>
    <w:rsid w:val="003B23AD"/>
    <w:rsid w:val="003B2F85"/>
    <w:rsid w:val="003B34DC"/>
    <w:rsid w:val="003B369F"/>
    <w:rsid w:val="003B36A3"/>
    <w:rsid w:val="003B3982"/>
    <w:rsid w:val="003B4E27"/>
    <w:rsid w:val="003B7FE5"/>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486F"/>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3DB5"/>
    <w:rsid w:val="0040512B"/>
    <w:rsid w:val="00405B38"/>
    <w:rsid w:val="00405CA5"/>
    <w:rsid w:val="00406BE5"/>
    <w:rsid w:val="00407CD3"/>
    <w:rsid w:val="00410134"/>
    <w:rsid w:val="00410B72"/>
    <w:rsid w:val="00410F18"/>
    <w:rsid w:val="0041263E"/>
    <w:rsid w:val="004126AE"/>
    <w:rsid w:val="00413AAC"/>
    <w:rsid w:val="00415B29"/>
    <w:rsid w:val="00420568"/>
    <w:rsid w:val="00421105"/>
    <w:rsid w:val="00421CDA"/>
    <w:rsid w:val="00423D76"/>
    <w:rsid w:val="004242F4"/>
    <w:rsid w:val="004266EE"/>
    <w:rsid w:val="00427248"/>
    <w:rsid w:val="00427D26"/>
    <w:rsid w:val="00430754"/>
    <w:rsid w:val="004314DE"/>
    <w:rsid w:val="00432938"/>
    <w:rsid w:val="00433B73"/>
    <w:rsid w:val="0043595A"/>
    <w:rsid w:val="004370A3"/>
    <w:rsid w:val="0043738B"/>
    <w:rsid w:val="00437447"/>
    <w:rsid w:val="00441A92"/>
    <w:rsid w:val="00441AE4"/>
    <w:rsid w:val="00444F56"/>
    <w:rsid w:val="00445695"/>
    <w:rsid w:val="00446488"/>
    <w:rsid w:val="00447DDB"/>
    <w:rsid w:val="004516A6"/>
    <w:rsid w:val="004517AA"/>
    <w:rsid w:val="00452B53"/>
    <w:rsid w:val="00452CAC"/>
    <w:rsid w:val="004559A9"/>
    <w:rsid w:val="00456C62"/>
    <w:rsid w:val="004572CE"/>
    <w:rsid w:val="00457565"/>
    <w:rsid w:val="00457B71"/>
    <w:rsid w:val="00460DEB"/>
    <w:rsid w:val="00461377"/>
    <w:rsid w:val="0046384C"/>
    <w:rsid w:val="004669E2"/>
    <w:rsid w:val="0046748C"/>
    <w:rsid w:val="00470C31"/>
    <w:rsid w:val="0047205B"/>
    <w:rsid w:val="0047298C"/>
    <w:rsid w:val="004734D0"/>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B2324"/>
    <w:rsid w:val="004B3BAA"/>
    <w:rsid w:val="004B50CE"/>
    <w:rsid w:val="004B5BF0"/>
    <w:rsid w:val="004B6991"/>
    <w:rsid w:val="004B7C0C"/>
    <w:rsid w:val="004C0C1A"/>
    <w:rsid w:val="004C185E"/>
    <w:rsid w:val="004C3898"/>
    <w:rsid w:val="004C4D69"/>
    <w:rsid w:val="004C6818"/>
    <w:rsid w:val="004D0C81"/>
    <w:rsid w:val="004D36B1"/>
    <w:rsid w:val="004D49A7"/>
    <w:rsid w:val="004D49D5"/>
    <w:rsid w:val="004D4D47"/>
    <w:rsid w:val="004D6615"/>
    <w:rsid w:val="004D6840"/>
    <w:rsid w:val="004D7C8F"/>
    <w:rsid w:val="004D7EBD"/>
    <w:rsid w:val="004E0478"/>
    <w:rsid w:val="004E267D"/>
    <w:rsid w:val="004E2680"/>
    <w:rsid w:val="004E28F9"/>
    <w:rsid w:val="004E31F3"/>
    <w:rsid w:val="004E37A7"/>
    <w:rsid w:val="004E3CDF"/>
    <w:rsid w:val="004E462E"/>
    <w:rsid w:val="004E509D"/>
    <w:rsid w:val="004E56DC"/>
    <w:rsid w:val="004E5829"/>
    <w:rsid w:val="004E6B56"/>
    <w:rsid w:val="004E7135"/>
    <w:rsid w:val="004E76F4"/>
    <w:rsid w:val="004F08C4"/>
    <w:rsid w:val="004F0B4E"/>
    <w:rsid w:val="004F0B6C"/>
    <w:rsid w:val="004F2078"/>
    <w:rsid w:val="004F29AE"/>
    <w:rsid w:val="004F3D63"/>
    <w:rsid w:val="004F4DA3"/>
    <w:rsid w:val="004F5DD9"/>
    <w:rsid w:val="00500B4A"/>
    <w:rsid w:val="005011E7"/>
    <w:rsid w:val="00501BB9"/>
    <w:rsid w:val="0050591F"/>
    <w:rsid w:val="00506557"/>
    <w:rsid w:val="00506745"/>
    <w:rsid w:val="0050677A"/>
    <w:rsid w:val="005104C2"/>
    <w:rsid w:val="005108D8"/>
    <w:rsid w:val="005116F9"/>
    <w:rsid w:val="0051458F"/>
    <w:rsid w:val="00515162"/>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E19"/>
    <w:rsid w:val="00555435"/>
    <w:rsid w:val="0055588D"/>
    <w:rsid w:val="00557D7C"/>
    <w:rsid w:val="0056092A"/>
    <w:rsid w:val="0056121F"/>
    <w:rsid w:val="00562566"/>
    <w:rsid w:val="0056318C"/>
    <w:rsid w:val="0056683B"/>
    <w:rsid w:val="00566E2B"/>
    <w:rsid w:val="0057036A"/>
    <w:rsid w:val="0057045A"/>
    <w:rsid w:val="00572505"/>
    <w:rsid w:val="00574944"/>
    <w:rsid w:val="0057533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06EB"/>
    <w:rsid w:val="005B194E"/>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6F91"/>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3F7"/>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97E9B"/>
    <w:rsid w:val="006A152C"/>
    <w:rsid w:val="006A1C7C"/>
    <w:rsid w:val="006A46FB"/>
    <w:rsid w:val="006A5717"/>
    <w:rsid w:val="006A5A55"/>
    <w:rsid w:val="006A5E28"/>
    <w:rsid w:val="006A697B"/>
    <w:rsid w:val="006A7922"/>
    <w:rsid w:val="006A7AFF"/>
    <w:rsid w:val="006B16DA"/>
    <w:rsid w:val="006B1816"/>
    <w:rsid w:val="006B2099"/>
    <w:rsid w:val="006B32FA"/>
    <w:rsid w:val="006B4B81"/>
    <w:rsid w:val="006B50CF"/>
    <w:rsid w:val="006B5BE6"/>
    <w:rsid w:val="006B6278"/>
    <w:rsid w:val="006B6CE6"/>
    <w:rsid w:val="006B7624"/>
    <w:rsid w:val="006B7E85"/>
    <w:rsid w:val="006C03B8"/>
    <w:rsid w:val="006C20AA"/>
    <w:rsid w:val="006C3409"/>
    <w:rsid w:val="006C5761"/>
    <w:rsid w:val="006C5EC9"/>
    <w:rsid w:val="006C6059"/>
    <w:rsid w:val="006C7522"/>
    <w:rsid w:val="006C7D70"/>
    <w:rsid w:val="006D08AD"/>
    <w:rsid w:val="006D12B1"/>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C88"/>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5AA1"/>
    <w:rsid w:val="00706101"/>
    <w:rsid w:val="0070655A"/>
    <w:rsid w:val="00707072"/>
    <w:rsid w:val="00707D61"/>
    <w:rsid w:val="00711B0A"/>
    <w:rsid w:val="00712287"/>
    <w:rsid w:val="00712772"/>
    <w:rsid w:val="007128C9"/>
    <w:rsid w:val="00713019"/>
    <w:rsid w:val="007148D3"/>
    <w:rsid w:val="0071565A"/>
    <w:rsid w:val="00715B9A"/>
    <w:rsid w:val="007162E9"/>
    <w:rsid w:val="007168FD"/>
    <w:rsid w:val="00716C3B"/>
    <w:rsid w:val="00716F2B"/>
    <w:rsid w:val="00720D98"/>
    <w:rsid w:val="00721A24"/>
    <w:rsid w:val="007223F8"/>
    <w:rsid w:val="007227B4"/>
    <w:rsid w:val="00722CB0"/>
    <w:rsid w:val="007246FC"/>
    <w:rsid w:val="00724B87"/>
    <w:rsid w:val="00725850"/>
    <w:rsid w:val="00726EA6"/>
    <w:rsid w:val="00727208"/>
    <w:rsid w:val="00727680"/>
    <w:rsid w:val="00730A5D"/>
    <w:rsid w:val="0073226E"/>
    <w:rsid w:val="00732D0F"/>
    <w:rsid w:val="007348B1"/>
    <w:rsid w:val="007362A6"/>
    <w:rsid w:val="007369A2"/>
    <w:rsid w:val="00736D7D"/>
    <w:rsid w:val="00740E58"/>
    <w:rsid w:val="00742371"/>
    <w:rsid w:val="007423BD"/>
    <w:rsid w:val="00742DA4"/>
    <w:rsid w:val="007445A0"/>
    <w:rsid w:val="0074524B"/>
    <w:rsid w:val="0074686B"/>
    <w:rsid w:val="0074716A"/>
    <w:rsid w:val="00747D8B"/>
    <w:rsid w:val="00750455"/>
    <w:rsid w:val="007506AB"/>
    <w:rsid w:val="00750E8F"/>
    <w:rsid w:val="00751228"/>
    <w:rsid w:val="00752217"/>
    <w:rsid w:val="007522DF"/>
    <w:rsid w:val="00753ABE"/>
    <w:rsid w:val="00753C5D"/>
    <w:rsid w:val="007557B4"/>
    <w:rsid w:val="007571E1"/>
    <w:rsid w:val="007604B2"/>
    <w:rsid w:val="00760973"/>
    <w:rsid w:val="0076267E"/>
    <w:rsid w:val="00763252"/>
    <w:rsid w:val="00765281"/>
    <w:rsid w:val="00765502"/>
    <w:rsid w:val="00766BAD"/>
    <w:rsid w:val="007679E2"/>
    <w:rsid w:val="007701F8"/>
    <w:rsid w:val="007705B8"/>
    <w:rsid w:val="00771C8B"/>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DFA"/>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524"/>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38A1"/>
    <w:rsid w:val="007D38AF"/>
    <w:rsid w:val="007D497F"/>
    <w:rsid w:val="007D5506"/>
    <w:rsid w:val="007D5901"/>
    <w:rsid w:val="007D7526"/>
    <w:rsid w:val="007E1602"/>
    <w:rsid w:val="007E4610"/>
    <w:rsid w:val="007E4715"/>
    <w:rsid w:val="007E505B"/>
    <w:rsid w:val="007E5C63"/>
    <w:rsid w:val="007E5DB4"/>
    <w:rsid w:val="007E6E45"/>
    <w:rsid w:val="007E7091"/>
    <w:rsid w:val="007F09D8"/>
    <w:rsid w:val="007F319E"/>
    <w:rsid w:val="007F57D3"/>
    <w:rsid w:val="007F7766"/>
    <w:rsid w:val="00803FAE"/>
    <w:rsid w:val="00804708"/>
    <w:rsid w:val="008053F5"/>
    <w:rsid w:val="00805CEA"/>
    <w:rsid w:val="00805E0E"/>
    <w:rsid w:val="0080605F"/>
    <w:rsid w:val="00807786"/>
    <w:rsid w:val="00811FCB"/>
    <w:rsid w:val="00812072"/>
    <w:rsid w:val="00814FE6"/>
    <w:rsid w:val="008158D6"/>
    <w:rsid w:val="0081590C"/>
    <w:rsid w:val="00817196"/>
    <w:rsid w:val="0081782A"/>
    <w:rsid w:val="008202F3"/>
    <w:rsid w:val="0082276B"/>
    <w:rsid w:val="008235DB"/>
    <w:rsid w:val="00824AB4"/>
    <w:rsid w:val="00824D70"/>
    <w:rsid w:val="00825C42"/>
    <w:rsid w:val="00825D25"/>
    <w:rsid w:val="00826F90"/>
    <w:rsid w:val="00827236"/>
    <w:rsid w:val="00827D6F"/>
    <w:rsid w:val="00830A27"/>
    <w:rsid w:val="00831308"/>
    <w:rsid w:val="008318CE"/>
    <w:rsid w:val="00836B3D"/>
    <w:rsid w:val="00836CE9"/>
    <w:rsid w:val="008376AC"/>
    <w:rsid w:val="00840358"/>
    <w:rsid w:val="0084125D"/>
    <w:rsid w:val="00843378"/>
    <w:rsid w:val="0084390D"/>
    <w:rsid w:val="00843FA5"/>
    <w:rsid w:val="008444E8"/>
    <w:rsid w:val="00844E80"/>
    <w:rsid w:val="008454BB"/>
    <w:rsid w:val="008457DE"/>
    <w:rsid w:val="00846FE7"/>
    <w:rsid w:val="00850D82"/>
    <w:rsid w:val="0085128C"/>
    <w:rsid w:val="00851771"/>
    <w:rsid w:val="008526A5"/>
    <w:rsid w:val="008526EF"/>
    <w:rsid w:val="00852D00"/>
    <w:rsid w:val="00854970"/>
    <w:rsid w:val="00855DC1"/>
    <w:rsid w:val="00856391"/>
    <w:rsid w:val="00856911"/>
    <w:rsid w:val="00860E7F"/>
    <w:rsid w:val="0086172A"/>
    <w:rsid w:val="008632AD"/>
    <w:rsid w:val="008641A8"/>
    <w:rsid w:val="00864766"/>
    <w:rsid w:val="008648B3"/>
    <w:rsid w:val="008649AD"/>
    <w:rsid w:val="00865953"/>
    <w:rsid w:val="00866538"/>
    <w:rsid w:val="008677FD"/>
    <w:rsid w:val="008706D4"/>
    <w:rsid w:val="00870F8A"/>
    <w:rsid w:val="0087144D"/>
    <w:rsid w:val="008719A4"/>
    <w:rsid w:val="00871D23"/>
    <w:rsid w:val="0087324C"/>
    <w:rsid w:val="00873E24"/>
    <w:rsid w:val="00874312"/>
    <w:rsid w:val="0087437C"/>
    <w:rsid w:val="00874536"/>
    <w:rsid w:val="00875CD7"/>
    <w:rsid w:val="00876B4D"/>
    <w:rsid w:val="00877F18"/>
    <w:rsid w:val="008804AE"/>
    <w:rsid w:val="00882787"/>
    <w:rsid w:val="00883405"/>
    <w:rsid w:val="00884FA0"/>
    <w:rsid w:val="008903FE"/>
    <w:rsid w:val="008913F1"/>
    <w:rsid w:val="00892C51"/>
    <w:rsid w:val="008943D3"/>
    <w:rsid w:val="00894A88"/>
    <w:rsid w:val="00894D03"/>
    <w:rsid w:val="00895386"/>
    <w:rsid w:val="00895561"/>
    <w:rsid w:val="00895AD9"/>
    <w:rsid w:val="008967DC"/>
    <w:rsid w:val="00897C22"/>
    <w:rsid w:val="008A124E"/>
    <w:rsid w:val="008A21FF"/>
    <w:rsid w:val="008A2CE2"/>
    <w:rsid w:val="008A30AC"/>
    <w:rsid w:val="008A3412"/>
    <w:rsid w:val="008A44B8"/>
    <w:rsid w:val="008A51A8"/>
    <w:rsid w:val="008A54C7"/>
    <w:rsid w:val="008A5551"/>
    <w:rsid w:val="008A6FD5"/>
    <w:rsid w:val="008A77D8"/>
    <w:rsid w:val="008A7A4A"/>
    <w:rsid w:val="008A7A95"/>
    <w:rsid w:val="008A7D4F"/>
    <w:rsid w:val="008B0483"/>
    <w:rsid w:val="008B11C4"/>
    <w:rsid w:val="008B120C"/>
    <w:rsid w:val="008B16CD"/>
    <w:rsid w:val="008B3562"/>
    <w:rsid w:val="008B3F47"/>
    <w:rsid w:val="008B51A0"/>
    <w:rsid w:val="008B592A"/>
    <w:rsid w:val="008B7228"/>
    <w:rsid w:val="008B73A9"/>
    <w:rsid w:val="008B7B5C"/>
    <w:rsid w:val="008C0C99"/>
    <w:rsid w:val="008C15DF"/>
    <w:rsid w:val="008C2017"/>
    <w:rsid w:val="008C48E6"/>
    <w:rsid w:val="008C4958"/>
    <w:rsid w:val="008C4BAA"/>
    <w:rsid w:val="008C5A7F"/>
    <w:rsid w:val="008C6AE8"/>
    <w:rsid w:val="008C6EBF"/>
    <w:rsid w:val="008C7573"/>
    <w:rsid w:val="008D14AD"/>
    <w:rsid w:val="008D1A14"/>
    <w:rsid w:val="008D226C"/>
    <w:rsid w:val="008D31B7"/>
    <w:rsid w:val="008D34F1"/>
    <w:rsid w:val="008D39D8"/>
    <w:rsid w:val="008D6D1A"/>
    <w:rsid w:val="008E065E"/>
    <w:rsid w:val="008E0927"/>
    <w:rsid w:val="008E1909"/>
    <w:rsid w:val="008E4930"/>
    <w:rsid w:val="008E5110"/>
    <w:rsid w:val="008F1EAB"/>
    <w:rsid w:val="008F33DC"/>
    <w:rsid w:val="008F3D0E"/>
    <w:rsid w:val="008F477F"/>
    <w:rsid w:val="008F4E55"/>
    <w:rsid w:val="008F50A0"/>
    <w:rsid w:val="008F6E41"/>
    <w:rsid w:val="00902350"/>
    <w:rsid w:val="0090336B"/>
    <w:rsid w:val="00903554"/>
    <w:rsid w:val="00903B34"/>
    <w:rsid w:val="009048FE"/>
    <w:rsid w:val="009053AA"/>
    <w:rsid w:val="00906939"/>
    <w:rsid w:val="00907D51"/>
    <w:rsid w:val="00910B7D"/>
    <w:rsid w:val="009117A6"/>
    <w:rsid w:val="00911DFB"/>
    <w:rsid w:val="00912691"/>
    <w:rsid w:val="00912C6A"/>
    <w:rsid w:val="009139D9"/>
    <w:rsid w:val="00914AD8"/>
    <w:rsid w:val="00916079"/>
    <w:rsid w:val="00916EA3"/>
    <w:rsid w:val="00917194"/>
    <w:rsid w:val="00917766"/>
    <w:rsid w:val="00917CE9"/>
    <w:rsid w:val="00917E2A"/>
    <w:rsid w:val="00920596"/>
    <w:rsid w:val="00920BF2"/>
    <w:rsid w:val="00922010"/>
    <w:rsid w:val="0092400A"/>
    <w:rsid w:val="00924943"/>
    <w:rsid w:val="00930D49"/>
    <w:rsid w:val="00931BD9"/>
    <w:rsid w:val="00932811"/>
    <w:rsid w:val="00934CF7"/>
    <w:rsid w:val="009368F3"/>
    <w:rsid w:val="00937FD5"/>
    <w:rsid w:val="0094009B"/>
    <w:rsid w:val="009413F8"/>
    <w:rsid w:val="009414E8"/>
    <w:rsid w:val="00941636"/>
    <w:rsid w:val="00942696"/>
    <w:rsid w:val="00942756"/>
    <w:rsid w:val="00943742"/>
    <w:rsid w:val="00943F21"/>
    <w:rsid w:val="00944AAE"/>
    <w:rsid w:val="009457EE"/>
    <w:rsid w:val="00945C02"/>
    <w:rsid w:val="00945C05"/>
    <w:rsid w:val="00946945"/>
    <w:rsid w:val="00947713"/>
    <w:rsid w:val="00950DE7"/>
    <w:rsid w:val="009525B1"/>
    <w:rsid w:val="00953920"/>
    <w:rsid w:val="00953D47"/>
    <w:rsid w:val="00954FEF"/>
    <w:rsid w:val="00955701"/>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97263"/>
    <w:rsid w:val="009A0FBA"/>
    <w:rsid w:val="009A1601"/>
    <w:rsid w:val="009A462D"/>
    <w:rsid w:val="009A5835"/>
    <w:rsid w:val="009A5CBA"/>
    <w:rsid w:val="009B1F30"/>
    <w:rsid w:val="009B3AC2"/>
    <w:rsid w:val="009B4D45"/>
    <w:rsid w:val="009B4DF4"/>
    <w:rsid w:val="009B4FF0"/>
    <w:rsid w:val="009B564E"/>
    <w:rsid w:val="009B7638"/>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5C71"/>
    <w:rsid w:val="009E6849"/>
    <w:rsid w:val="009F08F3"/>
    <w:rsid w:val="009F144F"/>
    <w:rsid w:val="009F18A9"/>
    <w:rsid w:val="009F1A8A"/>
    <w:rsid w:val="009F344F"/>
    <w:rsid w:val="009F5719"/>
    <w:rsid w:val="009F77B9"/>
    <w:rsid w:val="00A02E75"/>
    <w:rsid w:val="00A048A8"/>
    <w:rsid w:val="00A04F49"/>
    <w:rsid w:val="00A05151"/>
    <w:rsid w:val="00A069B7"/>
    <w:rsid w:val="00A06F52"/>
    <w:rsid w:val="00A06F75"/>
    <w:rsid w:val="00A13E54"/>
    <w:rsid w:val="00A14DB6"/>
    <w:rsid w:val="00A15A57"/>
    <w:rsid w:val="00A16157"/>
    <w:rsid w:val="00A161FC"/>
    <w:rsid w:val="00A17F63"/>
    <w:rsid w:val="00A207DD"/>
    <w:rsid w:val="00A20CA4"/>
    <w:rsid w:val="00A217ED"/>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30B8"/>
    <w:rsid w:val="00A53823"/>
    <w:rsid w:val="00A54210"/>
    <w:rsid w:val="00A54B08"/>
    <w:rsid w:val="00A54EB8"/>
    <w:rsid w:val="00A551A4"/>
    <w:rsid w:val="00A570F2"/>
    <w:rsid w:val="00A5758B"/>
    <w:rsid w:val="00A60901"/>
    <w:rsid w:val="00A60F3E"/>
    <w:rsid w:val="00A61499"/>
    <w:rsid w:val="00A62A77"/>
    <w:rsid w:val="00A63483"/>
    <w:rsid w:val="00A63CAC"/>
    <w:rsid w:val="00A64120"/>
    <w:rsid w:val="00A653DB"/>
    <w:rsid w:val="00A657D7"/>
    <w:rsid w:val="00A65BE6"/>
    <w:rsid w:val="00A660AC"/>
    <w:rsid w:val="00A674B0"/>
    <w:rsid w:val="00A67E6C"/>
    <w:rsid w:val="00A71B99"/>
    <w:rsid w:val="00A72C46"/>
    <w:rsid w:val="00A72FE4"/>
    <w:rsid w:val="00A7315F"/>
    <w:rsid w:val="00A739D0"/>
    <w:rsid w:val="00A73CE5"/>
    <w:rsid w:val="00A761D4"/>
    <w:rsid w:val="00A77441"/>
    <w:rsid w:val="00A7755B"/>
    <w:rsid w:val="00A77EC4"/>
    <w:rsid w:val="00A8033B"/>
    <w:rsid w:val="00A80920"/>
    <w:rsid w:val="00A80A2A"/>
    <w:rsid w:val="00A87BF8"/>
    <w:rsid w:val="00A916A7"/>
    <w:rsid w:val="00A91DC8"/>
    <w:rsid w:val="00A92879"/>
    <w:rsid w:val="00A9367F"/>
    <w:rsid w:val="00A93F55"/>
    <w:rsid w:val="00A93FC2"/>
    <w:rsid w:val="00A9442A"/>
    <w:rsid w:val="00A94AD8"/>
    <w:rsid w:val="00A955C5"/>
    <w:rsid w:val="00A95CF5"/>
    <w:rsid w:val="00A967B9"/>
    <w:rsid w:val="00A969ED"/>
    <w:rsid w:val="00A97022"/>
    <w:rsid w:val="00AA016F"/>
    <w:rsid w:val="00AA1ED6"/>
    <w:rsid w:val="00AA2344"/>
    <w:rsid w:val="00AA2543"/>
    <w:rsid w:val="00AA3555"/>
    <w:rsid w:val="00AA3BFA"/>
    <w:rsid w:val="00AA3D58"/>
    <w:rsid w:val="00AA4801"/>
    <w:rsid w:val="00AA51D6"/>
    <w:rsid w:val="00AB0BC8"/>
    <w:rsid w:val="00AB11CA"/>
    <w:rsid w:val="00AB14D9"/>
    <w:rsid w:val="00AB1598"/>
    <w:rsid w:val="00AB1BD9"/>
    <w:rsid w:val="00AB4AB8"/>
    <w:rsid w:val="00AB655E"/>
    <w:rsid w:val="00AB6B89"/>
    <w:rsid w:val="00AB7E38"/>
    <w:rsid w:val="00AC007F"/>
    <w:rsid w:val="00AC096A"/>
    <w:rsid w:val="00AC0E50"/>
    <w:rsid w:val="00AC2EBE"/>
    <w:rsid w:val="00AC2ECD"/>
    <w:rsid w:val="00AC3119"/>
    <w:rsid w:val="00AC49FB"/>
    <w:rsid w:val="00AC4B2B"/>
    <w:rsid w:val="00AC4DFF"/>
    <w:rsid w:val="00AC5A10"/>
    <w:rsid w:val="00AC6933"/>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E7EC4"/>
    <w:rsid w:val="00AF147A"/>
    <w:rsid w:val="00AF1566"/>
    <w:rsid w:val="00AF1C5D"/>
    <w:rsid w:val="00AF28A0"/>
    <w:rsid w:val="00AF3710"/>
    <w:rsid w:val="00AF42D7"/>
    <w:rsid w:val="00AF63DB"/>
    <w:rsid w:val="00AF7445"/>
    <w:rsid w:val="00B006FE"/>
    <w:rsid w:val="00B007CB"/>
    <w:rsid w:val="00B013BE"/>
    <w:rsid w:val="00B0192C"/>
    <w:rsid w:val="00B02AA9"/>
    <w:rsid w:val="00B02FA3"/>
    <w:rsid w:val="00B05084"/>
    <w:rsid w:val="00B05920"/>
    <w:rsid w:val="00B067AE"/>
    <w:rsid w:val="00B07227"/>
    <w:rsid w:val="00B10020"/>
    <w:rsid w:val="00B119E8"/>
    <w:rsid w:val="00B131CE"/>
    <w:rsid w:val="00B1337F"/>
    <w:rsid w:val="00B13508"/>
    <w:rsid w:val="00B14A2C"/>
    <w:rsid w:val="00B157F9"/>
    <w:rsid w:val="00B160F5"/>
    <w:rsid w:val="00B20256"/>
    <w:rsid w:val="00B20D09"/>
    <w:rsid w:val="00B21E1B"/>
    <w:rsid w:val="00B23904"/>
    <w:rsid w:val="00B250EA"/>
    <w:rsid w:val="00B258B6"/>
    <w:rsid w:val="00B2763F"/>
    <w:rsid w:val="00B2764C"/>
    <w:rsid w:val="00B27A11"/>
    <w:rsid w:val="00B27AAC"/>
    <w:rsid w:val="00B30929"/>
    <w:rsid w:val="00B31848"/>
    <w:rsid w:val="00B35B1C"/>
    <w:rsid w:val="00B35FF8"/>
    <w:rsid w:val="00B367E9"/>
    <w:rsid w:val="00B36A91"/>
    <w:rsid w:val="00B372AA"/>
    <w:rsid w:val="00B40445"/>
    <w:rsid w:val="00B4086D"/>
    <w:rsid w:val="00B40A4A"/>
    <w:rsid w:val="00B41888"/>
    <w:rsid w:val="00B42099"/>
    <w:rsid w:val="00B4408D"/>
    <w:rsid w:val="00B45A52"/>
    <w:rsid w:val="00B46175"/>
    <w:rsid w:val="00B4692F"/>
    <w:rsid w:val="00B47E43"/>
    <w:rsid w:val="00B5198C"/>
    <w:rsid w:val="00B52376"/>
    <w:rsid w:val="00B52EA8"/>
    <w:rsid w:val="00B5335A"/>
    <w:rsid w:val="00B5576D"/>
    <w:rsid w:val="00B55FE7"/>
    <w:rsid w:val="00B5723B"/>
    <w:rsid w:val="00B5724B"/>
    <w:rsid w:val="00B60EF1"/>
    <w:rsid w:val="00B6188F"/>
    <w:rsid w:val="00B64090"/>
    <w:rsid w:val="00B641CC"/>
    <w:rsid w:val="00B64E41"/>
    <w:rsid w:val="00B664C7"/>
    <w:rsid w:val="00B66CEC"/>
    <w:rsid w:val="00B70A05"/>
    <w:rsid w:val="00B7113A"/>
    <w:rsid w:val="00B719C2"/>
    <w:rsid w:val="00B739F6"/>
    <w:rsid w:val="00B74E7D"/>
    <w:rsid w:val="00B81A6C"/>
    <w:rsid w:val="00B81BE4"/>
    <w:rsid w:val="00B842A0"/>
    <w:rsid w:val="00B85DE5"/>
    <w:rsid w:val="00B86995"/>
    <w:rsid w:val="00B90F73"/>
    <w:rsid w:val="00B9371D"/>
    <w:rsid w:val="00B937E1"/>
    <w:rsid w:val="00B93B59"/>
    <w:rsid w:val="00B9406A"/>
    <w:rsid w:val="00B9570E"/>
    <w:rsid w:val="00B95B33"/>
    <w:rsid w:val="00BA064A"/>
    <w:rsid w:val="00BA12FA"/>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943"/>
    <w:rsid w:val="00BB5C77"/>
    <w:rsid w:val="00BB6429"/>
    <w:rsid w:val="00BB6E0C"/>
    <w:rsid w:val="00BC0FDC"/>
    <w:rsid w:val="00BC25A5"/>
    <w:rsid w:val="00BC2B48"/>
    <w:rsid w:val="00BC2B89"/>
    <w:rsid w:val="00BC3053"/>
    <w:rsid w:val="00BC3171"/>
    <w:rsid w:val="00BC4BEA"/>
    <w:rsid w:val="00BC4D2E"/>
    <w:rsid w:val="00BC565D"/>
    <w:rsid w:val="00BC580F"/>
    <w:rsid w:val="00BC5E44"/>
    <w:rsid w:val="00BD00B5"/>
    <w:rsid w:val="00BD13F2"/>
    <w:rsid w:val="00BD16F8"/>
    <w:rsid w:val="00BD227E"/>
    <w:rsid w:val="00BD346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883"/>
    <w:rsid w:val="00C07E87"/>
    <w:rsid w:val="00C10478"/>
    <w:rsid w:val="00C1093B"/>
    <w:rsid w:val="00C12107"/>
    <w:rsid w:val="00C1326F"/>
    <w:rsid w:val="00C14D4B"/>
    <w:rsid w:val="00C154BB"/>
    <w:rsid w:val="00C15DFF"/>
    <w:rsid w:val="00C20166"/>
    <w:rsid w:val="00C231D0"/>
    <w:rsid w:val="00C239BA"/>
    <w:rsid w:val="00C25F2F"/>
    <w:rsid w:val="00C2722B"/>
    <w:rsid w:val="00C27624"/>
    <w:rsid w:val="00C279B5"/>
    <w:rsid w:val="00C27C45"/>
    <w:rsid w:val="00C309B3"/>
    <w:rsid w:val="00C357D7"/>
    <w:rsid w:val="00C362D8"/>
    <w:rsid w:val="00C3719D"/>
    <w:rsid w:val="00C43E70"/>
    <w:rsid w:val="00C4558A"/>
    <w:rsid w:val="00C47AED"/>
    <w:rsid w:val="00C5028B"/>
    <w:rsid w:val="00C50FD2"/>
    <w:rsid w:val="00C513E8"/>
    <w:rsid w:val="00C52D9B"/>
    <w:rsid w:val="00C53115"/>
    <w:rsid w:val="00C54995"/>
    <w:rsid w:val="00C54D41"/>
    <w:rsid w:val="00C54FF4"/>
    <w:rsid w:val="00C573E8"/>
    <w:rsid w:val="00C57B03"/>
    <w:rsid w:val="00C60783"/>
    <w:rsid w:val="00C639E0"/>
    <w:rsid w:val="00C64672"/>
    <w:rsid w:val="00C6602E"/>
    <w:rsid w:val="00C66E8C"/>
    <w:rsid w:val="00C66FD4"/>
    <w:rsid w:val="00C704D9"/>
    <w:rsid w:val="00C70697"/>
    <w:rsid w:val="00C716B9"/>
    <w:rsid w:val="00C72EF4"/>
    <w:rsid w:val="00C75B21"/>
    <w:rsid w:val="00C75D2F"/>
    <w:rsid w:val="00C767BE"/>
    <w:rsid w:val="00C76897"/>
    <w:rsid w:val="00C76E3C"/>
    <w:rsid w:val="00C77234"/>
    <w:rsid w:val="00C775BF"/>
    <w:rsid w:val="00C77721"/>
    <w:rsid w:val="00C7775C"/>
    <w:rsid w:val="00C801DE"/>
    <w:rsid w:val="00C80444"/>
    <w:rsid w:val="00C80973"/>
    <w:rsid w:val="00C81568"/>
    <w:rsid w:val="00C829AD"/>
    <w:rsid w:val="00C9027A"/>
    <w:rsid w:val="00C9068E"/>
    <w:rsid w:val="00C913A5"/>
    <w:rsid w:val="00C91B55"/>
    <w:rsid w:val="00C93C4B"/>
    <w:rsid w:val="00C944AB"/>
    <w:rsid w:val="00C95B40"/>
    <w:rsid w:val="00C9740B"/>
    <w:rsid w:val="00CA04F2"/>
    <w:rsid w:val="00CA1B65"/>
    <w:rsid w:val="00CA1ED8"/>
    <w:rsid w:val="00CA2D38"/>
    <w:rsid w:val="00CA424B"/>
    <w:rsid w:val="00CA44E4"/>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353D"/>
    <w:rsid w:val="00CD4BD7"/>
    <w:rsid w:val="00CD4C31"/>
    <w:rsid w:val="00CD4D32"/>
    <w:rsid w:val="00CD582F"/>
    <w:rsid w:val="00CD60E3"/>
    <w:rsid w:val="00CD66A6"/>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2CA9"/>
    <w:rsid w:val="00CF3355"/>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5E49"/>
    <w:rsid w:val="00D17D6A"/>
    <w:rsid w:val="00D20472"/>
    <w:rsid w:val="00D20766"/>
    <w:rsid w:val="00D2323C"/>
    <w:rsid w:val="00D239A7"/>
    <w:rsid w:val="00D23F47"/>
    <w:rsid w:val="00D2450E"/>
    <w:rsid w:val="00D3107A"/>
    <w:rsid w:val="00D31A4C"/>
    <w:rsid w:val="00D34D96"/>
    <w:rsid w:val="00D3599B"/>
    <w:rsid w:val="00D36BB2"/>
    <w:rsid w:val="00D36E71"/>
    <w:rsid w:val="00D37186"/>
    <w:rsid w:val="00D37D87"/>
    <w:rsid w:val="00D40B33"/>
    <w:rsid w:val="00D42994"/>
    <w:rsid w:val="00D4318F"/>
    <w:rsid w:val="00D438BF"/>
    <w:rsid w:val="00D43A95"/>
    <w:rsid w:val="00D440F8"/>
    <w:rsid w:val="00D4644F"/>
    <w:rsid w:val="00D500FF"/>
    <w:rsid w:val="00D50E40"/>
    <w:rsid w:val="00D50F97"/>
    <w:rsid w:val="00D5231F"/>
    <w:rsid w:val="00D52419"/>
    <w:rsid w:val="00D53CED"/>
    <w:rsid w:val="00D546FF"/>
    <w:rsid w:val="00D55AD5"/>
    <w:rsid w:val="00D56D2D"/>
    <w:rsid w:val="00D576CA"/>
    <w:rsid w:val="00D61AF5"/>
    <w:rsid w:val="00D61F8F"/>
    <w:rsid w:val="00D622F8"/>
    <w:rsid w:val="00D63670"/>
    <w:rsid w:val="00D63913"/>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23C6"/>
    <w:rsid w:val="00D855A7"/>
    <w:rsid w:val="00D86CA3"/>
    <w:rsid w:val="00D871CE"/>
    <w:rsid w:val="00D916CD"/>
    <w:rsid w:val="00D9196D"/>
    <w:rsid w:val="00D92982"/>
    <w:rsid w:val="00D95003"/>
    <w:rsid w:val="00D96C11"/>
    <w:rsid w:val="00D973C1"/>
    <w:rsid w:val="00D97EEA"/>
    <w:rsid w:val="00DA0996"/>
    <w:rsid w:val="00DA2672"/>
    <w:rsid w:val="00DA29B0"/>
    <w:rsid w:val="00DA305E"/>
    <w:rsid w:val="00DA5417"/>
    <w:rsid w:val="00DA55EB"/>
    <w:rsid w:val="00DA56E8"/>
    <w:rsid w:val="00DA72F2"/>
    <w:rsid w:val="00DA7816"/>
    <w:rsid w:val="00DB0A9F"/>
    <w:rsid w:val="00DB1F9C"/>
    <w:rsid w:val="00DB2E53"/>
    <w:rsid w:val="00DB377D"/>
    <w:rsid w:val="00DB39D9"/>
    <w:rsid w:val="00DB562C"/>
    <w:rsid w:val="00DB6E61"/>
    <w:rsid w:val="00DB7191"/>
    <w:rsid w:val="00DC2D36"/>
    <w:rsid w:val="00DC2D80"/>
    <w:rsid w:val="00DC3716"/>
    <w:rsid w:val="00DC53EF"/>
    <w:rsid w:val="00DD000A"/>
    <w:rsid w:val="00DD021D"/>
    <w:rsid w:val="00DD11F7"/>
    <w:rsid w:val="00DD1310"/>
    <w:rsid w:val="00DD1F38"/>
    <w:rsid w:val="00DD2E2E"/>
    <w:rsid w:val="00DD389A"/>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1796"/>
    <w:rsid w:val="00DF31B7"/>
    <w:rsid w:val="00DF37A0"/>
    <w:rsid w:val="00DF3B23"/>
    <w:rsid w:val="00DF4917"/>
    <w:rsid w:val="00DF5998"/>
    <w:rsid w:val="00DF61FA"/>
    <w:rsid w:val="00DF6A67"/>
    <w:rsid w:val="00DF7BA6"/>
    <w:rsid w:val="00E03ED9"/>
    <w:rsid w:val="00E069B8"/>
    <w:rsid w:val="00E110E7"/>
    <w:rsid w:val="00E11A7C"/>
    <w:rsid w:val="00E11B20"/>
    <w:rsid w:val="00E13096"/>
    <w:rsid w:val="00E133E9"/>
    <w:rsid w:val="00E14FB8"/>
    <w:rsid w:val="00E17984"/>
    <w:rsid w:val="00E17FA2"/>
    <w:rsid w:val="00E20741"/>
    <w:rsid w:val="00E20F2D"/>
    <w:rsid w:val="00E21084"/>
    <w:rsid w:val="00E211A4"/>
    <w:rsid w:val="00E21714"/>
    <w:rsid w:val="00E217BE"/>
    <w:rsid w:val="00E22330"/>
    <w:rsid w:val="00E23EAA"/>
    <w:rsid w:val="00E24548"/>
    <w:rsid w:val="00E24AEA"/>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4A51"/>
    <w:rsid w:val="00E4575E"/>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48"/>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2640"/>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2F92"/>
    <w:rsid w:val="00EC3F39"/>
    <w:rsid w:val="00EC4037"/>
    <w:rsid w:val="00EC4207"/>
    <w:rsid w:val="00EC4378"/>
    <w:rsid w:val="00EC4E30"/>
    <w:rsid w:val="00EC5653"/>
    <w:rsid w:val="00EC57C2"/>
    <w:rsid w:val="00EC5A81"/>
    <w:rsid w:val="00EC6117"/>
    <w:rsid w:val="00EC7041"/>
    <w:rsid w:val="00EC71CE"/>
    <w:rsid w:val="00EC78F2"/>
    <w:rsid w:val="00ED1006"/>
    <w:rsid w:val="00ED23E2"/>
    <w:rsid w:val="00ED29D4"/>
    <w:rsid w:val="00ED3BA3"/>
    <w:rsid w:val="00ED3EB3"/>
    <w:rsid w:val="00ED4531"/>
    <w:rsid w:val="00ED7F70"/>
    <w:rsid w:val="00EE22C6"/>
    <w:rsid w:val="00EE3A7B"/>
    <w:rsid w:val="00EE43C7"/>
    <w:rsid w:val="00EE4928"/>
    <w:rsid w:val="00EE5060"/>
    <w:rsid w:val="00EE66C7"/>
    <w:rsid w:val="00EE7C8B"/>
    <w:rsid w:val="00EE7DBF"/>
    <w:rsid w:val="00EF0684"/>
    <w:rsid w:val="00EF18FE"/>
    <w:rsid w:val="00EF191A"/>
    <w:rsid w:val="00EF1EA9"/>
    <w:rsid w:val="00EF28C1"/>
    <w:rsid w:val="00EF4F8D"/>
    <w:rsid w:val="00EF5787"/>
    <w:rsid w:val="00EF5838"/>
    <w:rsid w:val="00EF59D2"/>
    <w:rsid w:val="00EF60D0"/>
    <w:rsid w:val="00EF7623"/>
    <w:rsid w:val="00F02322"/>
    <w:rsid w:val="00F02373"/>
    <w:rsid w:val="00F02DB2"/>
    <w:rsid w:val="00F02EAC"/>
    <w:rsid w:val="00F0320F"/>
    <w:rsid w:val="00F03BED"/>
    <w:rsid w:val="00F03D6C"/>
    <w:rsid w:val="00F0528D"/>
    <w:rsid w:val="00F060C8"/>
    <w:rsid w:val="00F06C67"/>
    <w:rsid w:val="00F06DFD"/>
    <w:rsid w:val="00F071D1"/>
    <w:rsid w:val="00F07533"/>
    <w:rsid w:val="00F078E5"/>
    <w:rsid w:val="00F10629"/>
    <w:rsid w:val="00F115D0"/>
    <w:rsid w:val="00F1318F"/>
    <w:rsid w:val="00F141ED"/>
    <w:rsid w:val="00F14EBB"/>
    <w:rsid w:val="00F15343"/>
    <w:rsid w:val="00F15FA5"/>
    <w:rsid w:val="00F201CC"/>
    <w:rsid w:val="00F209B7"/>
    <w:rsid w:val="00F233DA"/>
    <w:rsid w:val="00F2376F"/>
    <w:rsid w:val="00F243D8"/>
    <w:rsid w:val="00F26531"/>
    <w:rsid w:val="00F26D1C"/>
    <w:rsid w:val="00F305FF"/>
    <w:rsid w:val="00F30828"/>
    <w:rsid w:val="00F313D6"/>
    <w:rsid w:val="00F32B3E"/>
    <w:rsid w:val="00F35794"/>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158A"/>
    <w:rsid w:val="00FA2A00"/>
    <w:rsid w:val="00FA2BB3"/>
    <w:rsid w:val="00FA3791"/>
    <w:rsid w:val="00FA46B8"/>
    <w:rsid w:val="00FA5448"/>
    <w:rsid w:val="00FA6F0B"/>
    <w:rsid w:val="00FA7657"/>
    <w:rsid w:val="00FB00EE"/>
    <w:rsid w:val="00FB0938"/>
    <w:rsid w:val="00FB1DEC"/>
    <w:rsid w:val="00FB2E98"/>
    <w:rsid w:val="00FB40B5"/>
    <w:rsid w:val="00FB4C80"/>
    <w:rsid w:val="00FB5C67"/>
    <w:rsid w:val="00FB6A6A"/>
    <w:rsid w:val="00FC37BF"/>
    <w:rsid w:val="00FC7429"/>
    <w:rsid w:val="00FD0620"/>
    <w:rsid w:val="00FD07F6"/>
    <w:rsid w:val="00FD1EC8"/>
    <w:rsid w:val="00FD2256"/>
    <w:rsid w:val="00FD47ED"/>
    <w:rsid w:val="00FD48B8"/>
    <w:rsid w:val="00FD5DD1"/>
    <w:rsid w:val="00FD74DB"/>
    <w:rsid w:val="00FD7660"/>
    <w:rsid w:val="00FE0393"/>
    <w:rsid w:val="00FE0655"/>
    <w:rsid w:val="00FE18C3"/>
    <w:rsid w:val="00FE2365"/>
    <w:rsid w:val="00FE4C7B"/>
    <w:rsid w:val="00FE6989"/>
    <w:rsid w:val="00FE69FA"/>
    <w:rsid w:val="00FE7336"/>
    <w:rsid w:val="00FE787C"/>
    <w:rsid w:val="00FF1171"/>
    <w:rsid w:val="00FF12BE"/>
    <w:rsid w:val="00FF17B8"/>
    <w:rsid w:val="00FF2FA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3F39"/>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BC565D"/>
    <w:pPr>
      <w:keepNext/>
      <w:keepLines/>
      <w:numPr>
        <w:numId w:val="10"/>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2,h2,DO NOT USE_h2,h21,Head2A,2,UNDERRUBRIK 1-2,H2 Char,h2 Char"/>
    <w:basedOn w:val="Heading1"/>
    <w:next w:val="Normal"/>
    <w:link w:val="Heading2Char"/>
    <w:unhideWhenUsed/>
    <w:qFormat/>
    <w:rsid w:val="00BC565D"/>
    <w:pPr>
      <w:numPr>
        <w:numId w:val="0"/>
      </w:numPr>
      <w:spacing w:before="240"/>
      <w:ind w:left="504" w:hanging="504"/>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nhideWhenUsed/>
    <w:qFormat/>
    <w:rsid w:val="00BC565D"/>
    <w:pPr>
      <w:ind w:left="648" w:hanging="648"/>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nhideWhenUsed/>
    <w:qFormat/>
    <w:rsid w:val="00BC565D"/>
    <w:pPr>
      <w:ind w:left="792" w:hanging="792"/>
      <w:outlineLvl w:val="3"/>
    </w:pPr>
    <w:rPr>
      <w:b w:val="0"/>
      <w:bCs w:val="0"/>
      <w:iCs/>
    </w:rPr>
  </w:style>
  <w:style w:type="paragraph" w:styleId="Heading5">
    <w:name w:val="heading 5"/>
    <w:aliases w:val="h5,Heading5"/>
    <w:basedOn w:val="Heading4"/>
    <w:next w:val="Normal"/>
    <w:link w:val="Heading5Char"/>
    <w:uiPriority w:val="9"/>
    <w:unhideWhenUsed/>
    <w:qFormat/>
    <w:rsid w:val="00BC565D"/>
    <w:pPr>
      <w:ind w:left="936" w:hanging="936"/>
      <w:outlineLvl w:val="4"/>
    </w:pPr>
    <w:rPr>
      <w:i/>
      <w:color w:val="1F4D78" w:themeColor="accent1" w:themeShade="7F"/>
    </w:rPr>
  </w:style>
  <w:style w:type="paragraph" w:styleId="Heading6">
    <w:name w:val="heading 6"/>
    <w:basedOn w:val="Normal"/>
    <w:next w:val="Normal"/>
    <w:link w:val="Heading6Char"/>
    <w:uiPriority w:val="9"/>
    <w:unhideWhenUsed/>
    <w:qFormat/>
    <w:rsid w:val="00BC565D"/>
    <w:pPr>
      <w:keepNext/>
      <w:keepLines/>
      <w:numPr>
        <w:ilvl w:val="5"/>
        <w:numId w:val="10"/>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C565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C565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C565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EC3F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3F39"/>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link w:val="FooterChar"/>
    <w:uiPriority w:val="99"/>
    <w:rsid w:val="00D50F97"/>
    <w:pPr>
      <w:jc w:val="center"/>
    </w:pPr>
    <w:rPr>
      <w:i/>
      <w:iCs/>
    </w:rPr>
  </w:style>
  <w:style w:type="paragraph" w:customStyle="1" w:styleId="Reference">
    <w:name w:val="Reference"/>
    <w:basedOn w:val="Normal"/>
    <w:link w:val="ReferenceChar"/>
    <w:qFormat/>
    <w:rsid w:val="00D50F97"/>
    <w:pPr>
      <w:numPr>
        <w:numId w:val="1"/>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qFormat/>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BC565D"/>
    <w:rPr>
      <w:rFonts w:ascii="Corbel" w:eastAsiaTheme="majorEastAsia" w:hAnsi="Corbel" w:cstheme="majorBidi"/>
      <w:b/>
      <w:bCs/>
      <w:color w:val="2E74B5" w:themeColor="accent1" w:themeShade="BF"/>
      <w:sz w:val="28"/>
      <w:szCs w:val="28"/>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BC565D"/>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
    <w:basedOn w:val="DefaultParagraphFont"/>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Heading2Char">
    <w:name w:val="Heading 2 Char"/>
    <w:aliases w:val="H2 Char2,h2 Char2,DO NOT USE_h2 Char1,h21 Char1,Head2A Char1,2 Char1,UNDERRUBRIK 1-2 Char1,H2 Char Char1,h2 Char Char1"/>
    <w:basedOn w:val="DefaultParagraphFont"/>
    <w:link w:val="Heading2"/>
    <w:uiPriority w:val="9"/>
    <w:rsid w:val="00BC565D"/>
    <w:rPr>
      <w:rFonts w:ascii="Corbel" w:eastAsiaTheme="majorEastAsia" w:hAnsi="Corbel" w:cstheme="majorBidi"/>
      <w:color w:val="5B9BD5" w:themeColor="accent1"/>
      <w:sz w:val="26"/>
      <w:szCs w:val="26"/>
    </w:rPr>
  </w:style>
  <w:style w:type="numbering" w:customStyle="1" w:styleId="baseHeadings">
    <w:name w:val="baseHeadings"/>
    <w:uiPriority w:val="99"/>
    <w:rsid w:val="00BC565D"/>
    <w:pPr>
      <w:numPr>
        <w:numId w:val="9"/>
      </w:numPr>
    </w:pPr>
  </w:style>
  <w:style w:type="paragraph" w:styleId="NoSpacing">
    <w:name w:val="No Spacing"/>
    <w:uiPriority w:val="1"/>
    <w:qFormat/>
    <w:rsid w:val="00BC565D"/>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BC565D"/>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565D"/>
    <w:rPr>
      <w:rFonts w:ascii="Corbel" w:eastAsiaTheme="majorEastAsia" w:hAnsi="Corbel" w:cstheme="majorBidi"/>
      <w:iCs/>
      <w:color w:val="5B9BD5" w:themeColor="accent1"/>
      <w:sz w:val="26"/>
      <w:szCs w:val="26"/>
    </w:rPr>
  </w:style>
  <w:style w:type="character" w:customStyle="1" w:styleId="Heading5Char">
    <w:name w:val="Heading 5 Char"/>
    <w:aliases w:val="h5 Char,Heading5 Char"/>
    <w:basedOn w:val="DefaultParagraphFont"/>
    <w:link w:val="Heading5"/>
    <w:uiPriority w:val="9"/>
    <w:rsid w:val="00BC565D"/>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BC565D"/>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BC565D"/>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BC565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BC565D"/>
    <w:rPr>
      <w:rFonts w:asciiTheme="majorHAnsi" w:eastAsiaTheme="majorEastAsia" w:hAnsiTheme="majorHAnsi" w:cstheme="majorBidi"/>
      <w:i/>
      <w:iCs/>
      <w:color w:val="404040" w:themeColor="text1" w:themeTint="BF"/>
    </w:rPr>
  </w:style>
  <w:style w:type="numbering" w:customStyle="1" w:styleId="NoList1">
    <w:name w:val="No List1"/>
    <w:next w:val="NoList"/>
    <w:uiPriority w:val="99"/>
    <w:semiHidden/>
    <w:unhideWhenUsed/>
    <w:rsid w:val="00B31848"/>
  </w:style>
  <w:style w:type="paragraph" w:customStyle="1" w:styleId="H6">
    <w:name w:val="H6"/>
    <w:basedOn w:val="Heading5"/>
    <w:next w:val="Normal"/>
    <w:rsid w:val="00B31848"/>
    <w:pPr>
      <w:spacing w:before="120" w:after="180"/>
      <w:ind w:left="1985" w:hanging="1985"/>
      <w:outlineLvl w:val="9"/>
    </w:pPr>
    <w:rPr>
      <w:rFonts w:ascii="Arial" w:eastAsia="Times New Roman" w:hAnsi="Arial" w:cs="Times New Roman"/>
      <w:i w:val="0"/>
      <w:iCs w:val="0"/>
      <w:color w:val="auto"/>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B31848"/>
    <w:rPr>
      <w:rFonts w:ascii="Arial" w:hAnsi="Arial" w:cs="Arial"/>
      <w:b/>
      <w:bCs/>
      <w:noProof/>
      <w:sz w:val="18"/>
      <w:szCs w:val="18"/>
      <w:lang w:eastAsia="zh-CN"/>
    </w:rPr>
  </w:style>
  <w:style w:type="character" w:customStyle="1" w:styleId="FooterChar">
    <w:name w:val="Footer Char"/>
    <w:basedOn w:val="DefaultParagraphFont"/>
    <w:link w:val="Footer"/>
    <w:uiPriority w:val="99"/>
    <w:rsid w:val="00B31848"/>
    <w:rPr>
      <w:rFonts w:ascii="Arial" w:hAnsi="Arial" w:cs="Arial"/>
      <w:b/>
      <w:bCs/>
      <w:i/>
      <w:iCs/>
      <w:noProof/>
      <w:sz w:val="18"/>
      <w:szCs w:val="18"/>
      <w:lang w:eastAsia="zh-CN"/>
    </w:rPr>
  </w:style>
  <w:style w:type="paragraph" w:customStyle="1" w:styleId="NF">
    <w:name w:val="NF"/>
    <w:basedOn w:val="NO"/>
    <w:rsid w:val="00B31848"/>
    <w:pPr>
      <w:keepNext/>
      <w:spacing w:after="0"/>
    </w:pPr>
    <w:rPr>
      <w:rFonts w:ascii="Arial" w:hAnsi="Arial"/>
      <w:sz w:val="18"/>
    </w:rPr>
  </w:style>
  <w:style w:type="paragraph" w:customStyle="1" w:styleId="NO">
    <w:name w:val="NO"/>
    <w:basedOn w:val="Normal"/>
    <w:rsid w:val="00B31848"/>
    <w:pPr>
      <w:keepLines/>
      <w:spacing w:after="180"/>
      <w:ind w:left="1135" w:hanging="851"/>
    </w:pPr>
    <w:rPr>
      <w:rFonts w:ascii="Times New Roman"/>
      <w:sz w:val="20"/>
      <w:szCs w:val="20"/>
      <w:lang w:val="en-GB"/>
    </w:rPr>
  </w:style>
  <w:style w:type="paragraph" w:customStyle="1" w:styleId="PL">
    <w:name w:val="PL"/>
    <w:link w:val="PLChar"/>
    <w:rsid w:val="00B3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B31848"/>
    <w:pPr>
      <w:keepNext/>
      <w:keepLines/>
      <w:spacing w:line="180" w:lineRule="exact"/>
    </w:pPr>
    <w:rPr>
      <w:rFonts w:ascii="Courier New" w:hAnsi="Courier New"/>
      <w:noProof/>
      <w:lang w:val="en-GB"/>
    </w:rPr>
  </w:style>
  <w:style w:type="paragraph" w:customStyle="1" w:styleId="NW">
    <w:name w:val="NW"/>
    <w:basedOn w:val="NO"/>
    <w:rsid w:val="00B31848"/>
    <w:pPr>
      <w:spacing w:after="0"/>
    </w:pPr>
  </w:style>
  <w:style w:type="paragraph" w:customStyle="1" w:styleId="TAJ">
    <w:name w:val="TAJ"/>
    <w:basedOn w:val="TH"/>
    <w:rsid w:val="00B31848"/>
    <w:rPr>
      <w:rFonts w:ascii="Arial" w:hAnsi="Arial"/>
      <w:sz w:val="20"/>
      <w:szCs w:val="20"/>
      <w:lang w:val="en-GB"/>
    </w:rPr>
  </w:style>
  <w:style w:type="paragraph" w:customStyle="1" w:styleId="Guidance">
    <w:name w:val="Guidance"/>
    <w:basedOn w:val="Normal"/>
    <w:rsid w:val="00B31848"/>
    <w:pPr>
      <w:spacing w:after="180"/>
    </w:pPr>
    <w:rPr>
      <w:rFonts w:ascii="Times New Roman"/>
      <w:i/>
      <w:color w:val="0000FF"/>
      <w:sz w:val="20"/>
      <w:szCs w:val="20"/>
      <w:lang w:val="en-GB"/>
    </w:rPr>
  </w:style>
  <w:style w:type="character" w:customStyle="1" w:styleId="B1Zchn">
    <w:name w:val="B1 Zchn"/>
    <w:rsid w:val="00B31848"/>
    <w:rPr>
      <w:lang w:val="x-none"/>
    </w:rPr>
  </w:style>
  <w:style w:type="character" w:customStyle="1" w:styleId="B2Char">
    <w:name w:val="B2 Char"/>
    <w:link w:val="B2"/>
    <w:rsid w:val="00B31848"/>
    <w:rPr>
      <w:rFonts w:asciiTheme="minorHAnsi" w:hAnsi="Times New Roman"/>
      <w:sz w:val="22"/>
      <w:szCs w:val="22"/>
    </w:rPr>
  </w:style>
  <w:style w:type="character" w:customStyle="1" w:styleId="B2Car">
    <w:name w:val="B2 Car"/>
    <w:rsid w:val="00B31848"/>
    <w:rPr>
      <w:lang w:val="en-GB" w:eastAsia="en-US"/>
    </w:rPr>
  </w:style>
  <w:style w:type="character" w:customStyle="1" w:styleId="CommentSubjectChar">
    <w:name w:val="Comment Subject Char"/>
    <w:basedOn w:val="CommentTextChar"/>
    <w:link w:val="CommentSubject"/>
    <w:uiPriority w:val="99"/>
    <w:rsid w:val="00B31848"/>
    <w:rPr>
      <w:rFonts w:asciiTheme="minorHAnsi" w:hAnsi="Times New Roman"/>
      <w:b/>
      <w:bCs/>
      <w:sz w:val="22"/>
      <w:szCs w:val="22"/>
      <w:lang w:val="en-GB" w:eastAsia="zh-CN"/>
    </w:rPr>
  </w:style>
  <w:style w:type="character" w:customStyle="1" w:styleId="BalloonTextChar">
    <w:name w:val="Balloon Text Char"/>
    <w:basedOn w:val="DefaultParagraphFont"/>
    <w:link w:val="BalloonText"/>
    <w:uiPriority w:val="99"/>
    <w:rsid w:val="00B31848"/>
    <w:rPr>
      <w:rFonts w:ascii="Tahoma" w:hAnsi="Tahoma" w:cs="Tahoma"/>
      <w:sz w:val="16"/>
      <w:szCs w:val="16"/>
    </w:rPr>
  </w:style>
  <w:style w:type="character" w:customStyle="1" w:styleId="TALChar">
    <w:name w:val="TAL Char"/>
    <w:link w:val="TAL"/>
    <w:rsid w:val="00B31848"/>
    <w:rPr>
      <w:rFonts w:asciiTheme="minorHAnsi" w:hAnsi="Times New Roman"/>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1848"/>
    <w:rPr>
      <w:rFonts w:asciiTheme="minorHAnsi" w:hAnsi="Times New Roman"/>
      <w:sz w:val="16"/>
      <w:szCs w:val="16"/>
    </w:rPr>
  </w:style>
  <w:style w:type="character" w:customStyle="1" w:styleId="B1Char1">
    <w:name w:val="B1 Char1"/>
    <w:rsid w:val="00B31848"/>
    <w:rPr>
      <w:rFonts w:eastAsia="Times New Roman"/>
    </w:rPr>
  </w:style>
  <w:style w:type="character" w:customStyle="1" w:styleId="THChar">
    <w:name w:val="TH Char"/>
    <w:link w:val="TH"/>
    <w:rsid w:val="00B31848"/>
    <w:rPr>
      <w:rFonts w:asciiTheme="minorHAnsi" w:hAnsi="Times New Roman"/>
      <w:b/>
      <w:sz w:val="22"/>
      <w:szCs w:val="22"/>
    </w:rPr>
  </w:style>
  <w:style w:type="paragraph" w:styleId="IndexHeading">
    <w:name w:val="index heading"/>
    <w:basedOn w:val="Normal"/>
    <w:next w:val="Normal"/>
    <w:rsid w:val="00B31848"/>
    <w:pPr>
      <w:pBdr>
        <w:top w:val="single" w:sz="12" w:space="0" w:color="auto"/>
      </w:pBdr>
      <w:overflowPunct w:val="0"/>
      <w:autoSpaceDE w:val="0"/>
      <w:autoSpaceDN w:val="0"/>
      <w:adjustRightInd w:val="0"/>
      <w:spacing w:before="360" w:after="240"/>
      <w:textAlignment w:val="baseline"/>
    </w:pPr>
    <w:rPr>
      <w:rFonts w:ascii="Times New Roman"/>
      <w:b/>
      <w:i/>
      <w:sz w:val="26"/>
      <w:szCs w:val="20"/>
      <w:lang w:val="en-GB" w:eastAsia="en-GB"/>
    </w:rPr>
  </w:style>
  <w:style w:type="paragraph" w:customStyle="1" w:styleId="INDENT1">
    <w:name w:val="INDENT1"/>
    <w:basedOn w:val="Normal"/>
    <w:rsid w:val="00B31848"/>
    <w:pPr>
      <w:overflowPunct w:val="0"/>
      <w:autoSpaceDE w:val="0"/>
      <w:autoSpaceDN w:val="0"/>
      <w:adjustRightInd w:val="0"/>
      <w:spacing w:after="180"/>
      <w:ind w:left="851"/>
      <w:textAlignment w:val="baseline"/>
    </w:pPr>
    <w:rPr>
      <w:rFonts w:ascii="Times New Roman"/>
      <w:sz w:val="20"/>
      <w:szCs w:val="20"/>
      <w:lang w:val="en-GB" w:eastAsia="en-GB"/>
    </w:rPr>
  </w:style>
  <w:style w:type="paragraph" w:customStyle="1" w:styleId="INDENT2">
    <w:name w:val="INDENT2"/>
    <w:basedOn w:val="Normal"/>
    <w:rsid w:val="00B31848"/>
    <w:pPr>
      <w:overflowPunct w:val="0"/>
      <w:autoSpaceDE w:val="0"/>
      <w:autoSpaceDN w:val="0"/>
      <w:adjustRightInd w:val="0"/>
      <w:spacing w:after="180"/>
      <w:ind w:left="1135" w:hanging="284"/>
      <w:textAlignment w:val="baseline"/>
    </w:pPr>
    <w:rPr>
      <w:rFonts w:ascii="Times New Roman"/>
      <w:sz w:val="20"/>
      <w:szCs w:val="20"/>
      <w:lang w:val="en-GB" w:eastAsia="en-GB"/>
    </w:rPr>
  </w:style>
  <w:style w:type="paragraph" w:customStyle="1" w:styleId="INDENT3">
    <w:name w:val="INDENT3"/>
    <w:basedOn w:val="Normal"/>
    <w:rsid w:val="00B31848"/>
    <w:pPr>
      <w:overflowPunct w:val="0"/>
      <w:autoSpaceDE w:val="0"/>
      <w:autoSpaceDN w:val="0"/>
      <w:adjustRightInd w:val="0"/>
      <w:spacing w:after="180"/>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B31848"/>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ascii="Times New Roman"/>
      <w:b/>
      <w:sz w:val="24"/>
      <w:szCs w:val="20"/>
      <w:lang w:val="en-GB" w:eastAsia="en-GB"/>
    </w:rPr>
  </w:style>
  <w:style w:type="paragraph" w:customStyle="1" w:styleId="RecCCITT">
    <w:name w:val="Rec_CCITT_#"/>
    <w:basedOn w:val="Normal"/>
    <w:rsid w:val="00B31848"/>
    <w:pPr>
      <w:keepNext/>
      <w:keepLines/>
      <w:overflowPunct w:val="0"/>
      <w:autoSpaceDE w:val="0"/>
      <w:autoSpaceDN w:val="0"/>
      <w:adjustRightInd w:val="0"/>
      <w:spacing w:after="180"/>
      <w:textAlignment w:val="baseline"/>
    </w:pPr>
    <w:rPr>
      <w:rFonts w:ascii="Times New Roman"/>
      <w:b/>
      <w:sz w:val="20"/>
      <w:szCs w:val="20"/>
      <w:lang w:val="en-GB" w:eastAsia="en-GB"/>
    </w:rPr>
  </w:style>
  <w:style w:type="paragraph" w:customStyle="1" w:styleId="enumlev2">
    <w:name w:val="enumlev2"/>
    <w:basedOn w:val="Normal"/>
    <w:rsid w:val="00B31848"/>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sz w:val="20"/>
      <w:szCs w:val="20"/>
      <w:lang w:eastAsia="en-GB"/>
    </w:rPr>
  </w:style>
  <w:style w:type="paragraph" w:customStyle="1" w:styleId="CouvRecTitle">
    <w:name w:val="Couv Rec Title"/>
    <w:basedOn w:val="Normal"/>
    <w:rsid w:val="00B31848"/>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customStyle="1" w:styleId="DocumentMapChar">
    <w:name w:val="Document Map Char"/>
    <w:basedOn w:val="DefaultParagraphFont"/>
    <w:link w:val="DocumentMap"/>
    <w:uiPriority w:val="99"/>
    <w:rsid w:val="00B31848"/>
    <w:rPr>
      <w:rFonts w:ascii="Tahoma" w:hAnsi="Tahoma" w:cs="Tahoma"/>
      <w:sz w:val="22"/>
      <w:szCs w:val="22"/>
      <w:shd w:val="clear" w:color="auto" w:fill="000080"/>
    </w:rPr>
  </w:style>
  <w:style w:type="paragraph" w:styleId="PlainText">
    <w:name w:val="Plain Text"/>
    <w:basedOn w:val="Normal"/>
    <w:link w:val="PlainTextChar"/>
    <w:rsid w:val="00B31848"/>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B31848"/>
    <w:rPr>
      <w:rFonts w:ascii="Courier New" w:hAnsi="Courier New"/>
      <w:lang w:val="nb-NO" w:eastAsia="en-GB"/>
    </w:rPr>
  </w:style>
  <w:style w:type="paragraph" w:styleId="BodyText2">
    <w:name w:val="Body Text 2"/>
    <w:basedOn w:val="Normal"/>
    <w:link w:val="BodyText2Char"/>
    <w:rsid w:val="00B31848"/>
    <w:pPr>
      <w:widowControl w:val="0"/>
      <w:tabs>
        <w:tab w:val="left" w:pos="2205"/>
      </w:tabs>
      <w:overflowPunct w:val="0"/>
      <w:autoSpaceDE w:val="0"/>
      <w:autoSpaceDN w:val="0"/>
      <w:adjustRightInd w:val="0"/>
      <w:ind w:left="630"/>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B31848"/>
    <w:rPr>
      <w:rFonts w:ascii="Times New Roman" w:hAnsi="Times New Roman"/>
      <w:kern w:val="2"/>
      <w:sz w:val="21"/>
      <w:lang w:val="x-none" w:eastAsia="x-none"/>
    </w:rPr>
  </w:style>
  <w:style w:type="paragraph" w:styleId="BodyTextIndent2">
    <w:name w:val="Body Text Indent 2"/>
    <w:basedOn w:val="Normal"/>
    <w:link w:val="BodyTextIndent2Char"/>
    <w:rsid w:val="00B31848"/>
    <w:pPr>
      <w:widowControl w:val="0"/>
      <w:tabs>
        <w:tab w:val="left" w:pos="2205"/>
      </w:tabs>
      <w:overflowPunct w:val="0"/>
      <w:autoSpaceDE w:val="0"/>
      <w:autoSpaceDN w:val="0"/>
      <w:adjustRightInd w:val="0"/>
      <w:ind w:left="200"/>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B31848"/>
    <w:rPr>
      <w:rFonts w:ascii="Times New Roman" w:hAnsi="Times New Roman"/>
      <w:kern w:val="2"/>
      <w:lang w:val="x-none" w:eastAsia="x-none"/>
    </w:rPr>
  </w:style>
  <w:style w:type="paragraph" w:styleId="BodyTextIndent3">
    <w:name w:val="Body Text Indent 3"/>
    <w:basedOn w:val="Normal"/>
    <w:link w:val="BodyTextIndent3Char"/>
    <w:rsid w:val="00B31848"/>
    <w:pPr>
      <w:overflowPunct w:val="0"/>
      <w:autoSpaceDE w:val="0"/>
      <w:autoSpaceDN w:val="0"/>
      <w:adjustRightInd w:val="0"/>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B31848"/>
    <w:rPr>
      <w:rFonts w:ascii="Times New Roman" w:hAnsi="Times New Roman"/>
      <w:lang w:eastAsia="ja-JP"/>
    </w:rPr>
  </w:style>
  <w:style w:type="paragraph" w:customStyle="1" w:styleId="numberedlist">
    <w:name w:val="numbered list"/>
    <w:basedOn w:val="ListBullet"/>
    <w:rsid w:val="00B318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ascii="Times New Roman"/>
      <w:sz w:val="20"/>
      <w:szCs w:val="20"/>
      <w:lang w:val="en-GB" w:eastAsia="ja-JP"/>
    </w:rPr>
  </w:style>
  <w:style w:type="paragraph" w:customStyle="1" w:styleId="CRfront">
    <w:name w:val="CR_front"/>
    <w:next w:val="Normal"/>
    <w:rsid w:val="00B31848"/>
    <w:rPr>
      <w:rFonts w:ascii="Arial" w:eastAsia="MS Mincho" w:hAnsi="Arial"/>
      <w:lang w:val="en-GB"/>
    </w:rPr>
  </w:style>
  <w:style w:type="paragraph" w:customStyle="1" w:styleId="TabList">
    <w:name w:val="TabList"/>
    <w:basedOn w:val="Normal"/>
    <w:rsid w:val="00B31848"/>
    <w:pPr>
      <w:tabs>
        <w:tab w:val="left" w:pos="1134"/>
      </w:tabs>
      <w:overflowPunct w:val="0"/>
      <w:autoSpaceDE w:val="0"/>
      <w:autoSpaceDN w:val="0"/>
      <w:adjustRightInd w:val="0"/>
      <w:textAlignment w:val="baseline"/>
    </w:pPr>
    <w:rPr>
      <w:rFonts w:ascii="Times New Roman" w:eastAsia="MS Mincho"/>
      <w:sz w:val="20"/>
      <w:szCs w:val="20"/>
      <w:lang w:val="en-GB" w:eastAsia="en-GB"/>
    </w:rPr>
  </w:style>
  <w:style w:type="paragraph" w:customStyle="1" w:styleId="tabletext">
    <w:name w:val="table text"/>
    <w:basedOn w:val="Normal"/>
    <w:next w:val="table"/>
    <w:rsid w:val="00B31848"/>
    <w:pPr>
      <w:overflowPunct w:val="0"/>
      <w:autoSpaceDE w:val="0"/>
      <w:autoSpaceDN w:val="0"/>
      <w:adjustRightInd w:val="0"/>
      <w:textAlignment w:val="baseline"/>
    </w:pPr>
    <w:rPr>
      <w:rFonts w:ascii="Times New Roman" w:eastAsia="MS Mincho"/>
      <w:i/>
      <w:sz w:val="20"/>
      <w:szCs w:val="20"/>
      <w:lang w:val="en-GB" w:eastAsia="en-GB"/>
    </w:rPr>
  </w:style>
  <w:style w:type="paragraph" w:customStyle="1" w:styleId="table">
    <w:name w:val="table"/>
    <w:basedOn w:val="Normal"/>
    <w:next w:val="Normal"/>
    <w:rsid w:val="00B31848"/>
    <w:pPr>
      <w:overflowPunct w:val="0"/>
      <w:autoSpaceDE w:val="0"/>
      <w:autoSpaceDN w:val="0"/>
      <w:adjustRightInd w:val="0"/>
      <w:jc w:val="center"/>
      <w:textAlignment w:val="baseline"/>
    </w:pPr>
    <w:rPr>
      <w:rFonts w:ascii="Times New Roman" w:eastAsia="MS Mincho"/>
      <w:sz w:val="20"/>
      <w:szCs w:val="20"/>
      <w:lang w:eastAsia="en-GB"/>
    </w:rPr>
  </w:style>
  <w:style w:type="paragraph" w:customStyle="1" w:styleId="HE">
    <w:name w:val="HE"/>
    <w:basedOn w:val="Normal"/>
    <w:rsid w:val="00B31848"/>
    <w:pPr>
      <w:overflowPunct w:val="0"/>
      <w:autoSpaceDE w:val="0"/>
      <w:autoSpaceDN w:val="0"/>
      <w:adjustRightInd w:val="0"/>
      <w:textAlignment w:val="baseline"/>
    </w:pPr>
    <w:rPr>
      <w:rFonts w:ascii="Times New Roman" w:eastAsia="MS Mincho"/>
      <w:b/>
      <w:sz w:val="20"/>
      <w:szCs w:val="20"/>
      <w:lang w:val="en-GB" w:eastAsia="en-GB"/>
    </w:rPr>
  </w:style>
  <w:style w:type="paragraph" w:customStyle="1" w:styleId="text">
    <w:name w:val="text"/>
    <w:basedOn w:val="Normal"/>
    <w:link w:val="textChar"/>
    <w:qFormat/>
    <w:rsid w:val="00B31848"/>
    <w:pPr>
      <w:widowControl w:val="0"/>
      <w:overflowPunct w:val="0"/>
      <w:autoSpaceDE w:val="0"/>
      <w:autoSpaceDN w:val="0"/>
      <w:adjustRightInd w:val="0"/>
      <w:spacing w:after="240"/>
      <w:textAlignment w:val="baseline"/>
    </w:pPr>
    <w:rPr>
      <w:rFonts w:ascii="Times New Roman"/>
      <w:sz w:val="24"/>
      <w:szCs w:val="20"/>
      <w:lang w:val="en-AU" w:eastAsia="en-GB"/>
    </w:rPr>
  </w:style>
  <w:style w:type="paragraph" w:customStyle="1" w:styleId="berschrift1H1">
    <w:name w:val="Überschrift 1.H1"/>
    <w:basedOn w:val="Normal"/>
    <w:next w:val="Normal"/>
    <w:rsid w:val="00B31848"/>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B31848"/>
    <w:pPr>
      <w:widowControl/>
      <w:numPr>
        <w:numId w:val="11"/>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B31848"/>
    <w:pPr>
      <w:widowControl/>
      <w:numPr>
        <w:numId w:val="12"/>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B31848"/>
    <w:pPr>
      <w:widowControl/>
      <w:numPr>
        <w:numId w:val="13"/>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B31848"/>
    <w:pPr>
      <w:widowControl w:val="0"/>
      <w:numPr>
        <w:numId w:val="15"/>
      </w:numPr>
      <w:overflowPunct w:val="0"/>
      <w:autoSpaceDE w:val="0"/>
      <w:autoSpaceDN w:val="0"/>
      <w:adjustRightInd w:val="0"/>
      <w:spacing w:before="60" w:after="60"/>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B31848"/>
    <w:pPr>
      <w:keepLines w:val="0"/>
      <w:numPr>
        <w:numId w:val="16"/>
      </w:numPr>
      <w:overflowPunct w:val="0"/>
      <w:autoSpaceDE w:val="0"/>
      <w:autoSpaceDN w:val="0"/>
      <w:adjustRightInd w:val="0"/>
      <w:spacing w:before="240"/>
      <w:textAlignment w:val="baseline"/>
    </w:pPr>
    <w:rPr>
      <w:rFonts w:ascii="Arial" w:eastAsia="Times New Roman" w:hAnsi="Arial" w:cs="Times New Roman"/>
      <w:bCs w:val="0"/>
      <w:noProof/>
      <w:color w:val="auto"/>
      <w:kern w:val="28"/>
      <w:sz w:val="24"/>
      <w:szCs w:val="20"/>
      <w:lang w:eastAsia="en-GB"/>
    </w:rPr>
  </w:style>
  <w:style w:type="paragraph" w:styleId="Date">
    <w:name w:val="Date"/>
    <w:basedOn w:val="Normal"/>
    <w:next w:val="Normal"/>
    <w:link w:val="DateChar"/>
    <w:rsid w:val="00B31848"/>
    <w:pPr>
      <w:overflowPunct w:val="0"/>
      <w:autoSpaceDE w:val="0"/>
      <w:autoSpaceDN w:val="0"/>
      <w:adjustRightInd w:val="0"/>
      <w:textAlignment w:val="baseline"/>
    </w:pPr>
    <w:rPr>
      <w:rFonts w:ascii="Times New Roman"/>
      <w:sz w:val="20"/>
      <w:szCs w:val="20"/>
      <w:lang w:val="en-GB" w:eastAsia="en-GB"/>
    </w:rPr>
  </w:style>
  <w:style w:type="character" w:customStyle="1" w:styleId="DateChar">
    <w:name w:val="Date Char"/>
    <w:basedOn w:val="DefaultParagraphFont"/>
    <w:link w:val="Date"/>
    <w:rsid w:val="00B31848"/>
    <w:rPr>
      <w:rFonts w:ascii="Times New Roman" w:hAnsi="Times New Roman"/>
      <w:lang w:val="en-GB" w:eastAsia="en-GB"/>
    </w:rPr>
  </w:style>
  <w:style w:type="paragraph" w:customStyle="1" w:styleId="Meetingcaption">
    <w:name w:val="Meeting caption"/>
    <w:basedOn w:val="Normal"/>
    <w:rsid w:val="00B318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snapToGrid w:val="0"/>
      <w:szCs w:val="20"/>
      <w:lang w:val="fr-FR" w:eastAsia="en-GB"/>
    </w:rPr>
  </w:style>
  <w:style w:type="paragraph" w:customStyle="1" w:styleId="para">
    <w:name w:val="para"/>
    <w:basedOn w:val="Normal"/>
    <w:rsid w:val="00B31848"/>
    <w:pPr>
      <w:overflowPunct w:val="0"/>
      <w:autoSpaceDE w:val="0"/>
      <w:autoSpaceDN w:val="0"/>
      <w:adjustRightInd w:val="0"/>
      <w:spacing w:after="240"/>
      <w:textAlignment w:val="baseline"/>
    </w:pPr>
    <w:rPr>
      <w:rFonts w:ascii="Helvetica" w:hAnsi="Helvetica"/>
      <w:sz w:val="20"/>
      <w:szCs w:val="20"/>
      <w:lang w:val="en-GB" w:eastAsia="en-GB"/>
    </w:rPr>
  </w:style>
  <w:style w:type="paragraph" w:customStyle="1" w:styleId="Cell">
    <w:name w:val="Cell"/>
    <w:basedOn w:val="Normal"/>
    <w:rsid w:val="00B31848"/>
    <w:pPr>
      <w:overflowPunct w:val="0"/>
      <w:autoSpaceDE w:val="0"/>
      <w:autoSpaceDN w:val="0"/>
      <w:adjustRightInd w:val="0"/>
      <w:spacing w:line="240" w:lineRule="exact"/>
      <w:jc w:val="center"/>
      <w:textAlignment w:val="baseline"/>
    </w:pPr>
    <w:rPr>
      <w:rFonts w:ascii="Times New Roman"/>
      <w:sz w:val="16"/>
      <w:szCs w:val="20"/>
      <w:lang w:eastAsia="ja-JP"/>
    </w:rPr>
  </w:style>
  <w:style w:type="paragraph" w:customStyle="1" w:styleId="h60">
    <w:name w:val="h6"/>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b10">
    <w:name w:val="b1"/>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tah0">
    <w:name w:val="tah"/>
    <w:basedOn w:val="Normal"/>
    <w:rsid w:val="00B31848"/>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B31848"/>
    <w:rPr>
      <w:i/>
      <w:color w:val="0000FF"/>
      <w:lang w:val="en-GB" w:eastAsia="ja-JP" w:bidi="ar-SA"/>
    </w:rPr>
  </w:style>
  <w:style w:type="paragraph" w:customStyle="1" w:styleId="CharCharCharChar">
    <w:name w:val="Char Char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31848"/>
    <w:rPr>
      <w:rFonts w:ascii="Arial" w:hAnsi="Arial"/>
      <w:sz w:val="24"/>
      <w:lang w:val="en-GB" w:eastAsia="ja-JP" w:bidi="ar-SA"/>
    </w:rPr>
  </w:style>
  <w:style w:type="table" w:customStyle="1" w:styleId="TableGrid1">
    <w:name w:val="Table Grid1"/>
    <w:basedOn w:val="TableNormal"/>
    <w:next w:val="TableGrid"/>
    <w:uiPriority w:val="59"/>
    <w:rsid w:val="00B31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1848"/>
    <w:pPr>
      <w:tabs>
        <w:tab w:val="num" w:pos="2560"/>
      </w:tabs>
      <w:spacing w:after="180"/>
      <w:ind w:left="2560" w:hanging="357"/>
    </w:pPr>
    <w:rPr>
      <w:rFonts w:ascii="Times New Roman"/>
      <w:sz w:val="20"/>
      <w:szCs w:val="20"/>
      <w:lang w:val="en-AU" w:eastAsia="ko-KR"/>
    </w:rPr>
  </w:style>
  <w:style w:type="character" w:customStyle="1" w:styleId="FigureCaption1">
    <w:name w:val="Figure Caption1"/>
    <w:aliases w:val="fc Char1,Figure Caption Char Char"/>
    <w:rsid w:val="00B31848"/>
    <w:rPr>
      <w:rFonts w:ascii="Arial" w:eastAsia="????" w:hAnsi="Arial" w:cs="Arial"/>
      <w:color w:val="0000FF"/>
      <w:kern w:val="2"/>
      <w:lang w:val="en-US" w:eastAsia="en-US" w:bidi="ar-SA"/>
    </w:rPr>
  </w:style>
  <w:style w:type="character" w:customStyle="1" w:styleId="CharChar5">
    <w:name w:val="Char Char5"/>
    <w:semiHidden/>
    <w:rsid w:val="00B3184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B31848"/>
    <w:rPr>
      <w:rFonts w:ascii="Arial" w:hAnsi="Arial"/>
      <w:sz w:val="32"/>
      <w:lang w:val="en-GB"/>
    </w:rPr>
  </w:style>
  <w:style w:type="character" w:customStyle="1" w:styleId="ListChar">
    <w:name w:val="List Char"/>
    <w:link w:val="List"/>
    <w:rsid w:val="00B31848"/>
    <w:rPr>
      <w:rFonts w:asciiTheme="minorHAnsi" w:hAnsi="Times New Roman"/>
      <w:sz w:val="22"/>
      <w:szCs w:val="22"/>
    </w:rPr>
  </w:style>
  <w:style w:type="character" w:customStyle="1" w:styleId="PLChar">
    <w:name w:val="PL Char"/>
    <w:link w:val="PL"/>
    <w:locked/>
    <w:rsid w:val="00B31848"/>
    <w:rPr>
      <w:rFonts w:ascii="Courier New" w:hAnsi="Courier New"/>
      <w:noProof/>
      <w:sz w:val="16"/>
      <w:lang w:val="en-GB"/>
    </w:rPr>
  </w:style>
  <w:style w:type="character" w:customStyle="1" w:styleId="List2Char">
    <w:name w:val="List 2 Char"/>
    <w:link w:val="List2"/>
    <w:rsid w:val="00B31848"/>
    <w:rPr>
      <w:rFonts w:asciiTheme="minorHAnsi" w:hAnsi="Times New Roman"/>
      <w:sz w:val="22"/>
      <w:szCs w:val="22"/>
    </w:rPr>
  </w:style>
  <w:style w:type="character" w:customStyle="1" w:styleId="List3Char">
    <w:name w:val="List 3 Char"/>
    <w:link w:val="List3"/>
    <w:rsid w:val="00B31848"/>
    <w:rPr>
      <w:rFonts w:asciiTheme="minorHAnsi" w:hAnsi="Times New Roman"/>
      <w:sz w:val="22"/>
      <w:szCs w:val="22"/>
    </w:rPr>
  </w:style>
  <w:style w:type="character" w:customStyle="1" w:styleId="B3Char">
    <w:name w:val="B3 Char"/>
    <w:link w:val="B3"/>
    <w:rsid w:val="00B31848"/>
    <w:rPr>
      <w:rFonts w:asciiTheme="minorHAnsi" w:hAnsi="Times New Roman"/>
      <w:sz w:val="22"/>
      <w:szCs w:val="22"/>
    </w:rPr>
  </w:style>
  <w:style w:type="paragraph" w:customStyle="1" w:styleId="tdoc-header">
    <w:name w:val="tdoc-header"/>
    <w:rsid w:val="00B31848"/>
    <w:rPr>
      <w:rFonts w:ascii="Arial" w:hAnsi="Arial"/>
      <w:noProof/>
      <w:sz w:val="24"/>
      <w:lang w:val="en-GB"/>
    </w:rPr>
  </w:style>
  <w:style w:type="paragraph" w:customStyle="1" w:styleId="CharChar3CharCharCharCharCharChar">
    <w:name w:val="Char Char3 Char Char Char Char Char Char"/>
    <w:semiHidden/>
    <w:rsid w:val="00B318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31848"/>
    <w:rPr>
      <w:rFonts w:ascii="Times New Roman" w:hAnsi="Times New Roman"/>
      <w:lang w:eastAsia="en-US"/>
    </w:rPr>
  </w:style>
  <w:style w:type="character" w:customStyle="1" w:styleId="TACChar">
    <w:name w:val="TAC Char"/>
    <w:link w:val="TAC"/>
    <w:locked/>
    <w:rsid w:val="00B31848"/>
    <w:rPr>
      <w:rFonts w:asciiTheme="minorHAnsi" w:hAnsi="Times New Roman"/>
      <w:sz w:val="18"/>
      <w:szCs w:val="22"/>
    </w:rPr>
  </w:style>
  <w:style w:type="paragraph" w:customStyle="1" w:styleId="TableCell">
    <w:name w:val="Table Cell"/>
    <w:basedOn w:val="TAC"/>
    <w:link w:val="TableCellChar"/>
    <w:qFormat/>
    <w:rsid w:val="00B31848"/>
    <w:pPr>
      <w:overflowPunct w:val="0"/>
      <w:autoSpaceDE w:val="0"/>
      <w:autoSpaceDN w:val="0"/>
      <w:adjustRightInd w:val="0"/>
    </w:pPr>
    <w:rPr>
      <w:rFonts w:ascii="Arial" w:eastAsia="SimSun" w:hAnsi="Arial"/>
      <w:szCs w:val="20"/>
      <w:lang w:val="en-GB" w:eastAsia="zh-CN"/>
    </w:rPr>
  </w:style>
  <w:style w:type="character" w:customStyle="1" w:styleId="TableCellChar">
    <w:name w:val="Table Cell Char"/>
    <w:link w:val="TableCell"/>
    <w:rsid w:val="00B31848"/>
    <w:rPr>
      <w:rFonts w:ascii="Arial" w:eastAsia="SimSun" w:hAnsi="Arial"/>
      <w:sz w:val="18"/>
      <w:lang w:val="en-GB" w:eastAsia="zh-CN"/>
    </w:rPr>
  </w:style>
  <w:style w:type="character" w:customStyle="1" w:styleId="TAHCar">
    <w:name w:val="TAH Car"/>
    <w:link w:val="TAH"/>
    <w:rsid w:val="00B31848"/>
    <w:rPr>
      <w:rFonts w:asciiTheme="minorHAnsi" w:hAnsi="Times New Roman"/>
      <w:b/>
      <w:sz w:val="18"/>
      <w:szCs w:val="22"/>
    </w:rPr>
  </w:style>
  <w:style w:type="character" w:customStyle="1" w:styleId="B11">
    <w:name w:val="B1 (文字)"/>
    <w:uiPriority w:val="99"/>
    <w:locked/>
    <w:rsid w:val="00B31848"/>
    <w:rPr>
      <w:rFonts w:ascii="Times New Roman" w:hAnsi="Times New Roman"/>
      <w:lang w:val="en-GB" w:eastAsia="en-US"/>
    </w:rPr>
  </w:style>
  <w:style w:type="character" w:customStyle="1" w:styleId="TALCar">
    <w:name w:val="TAL Car"/>
    <w:rsid w:val="00B31848"/>
    <w:rPr>
      <w:rFonts w:ascii="Arial" w:hAnsi="Arial"/>
      <w:sz w:val="18"/>
      <w:lang w:eastAsia="en-US"/>
    </w:rPr>
  </w:style>
  <w:style w:type="paragraph" w:customStyle="1" w:styleId="MTDisplayEquation">
    <w:name w:val="MTDisplayEquation"/>
    <w:basedOn w:val="Normal"/>
    <w:next w:val="Normal"/>
    <w:link w:val="MTDisplayEquationChar"/>
    <w:rsid w:val="00B31848"/>
    <w:pPr>
      <w:tabs>
        <w:tab w:val="center" w:pos="4680"/>
        <w:tab w:val="right" w:pos="9360"/>
      </w:tabs>
    </w:pPr>
    <w:rPr>
      <w:rFonts w:ascii="Times New Roman" w:eastAsia="Calibri"/>
      <w:sz w:val="20"/>
      <w:lang w:val="x-none" w:eastAsia="x-none"/>
    </w:rPr>
  </w:style>
  <w:style w:type="character" w:customStyle="1" w:styleId="MTDisplayEquationChar">
    <w:name w:val="MTDisplayEquation Char"/>
    <w:link w:val="MTDisplayEquation"/>
    <w:rsid w:val="00B31848"/>
    <w:rPr>
      <w:rFonts w:ascii="Times New Roman" w:eastAsia="Calibri" w:hAnsi="Times New Roman"/>
      <w:szCs w:val="22"/>
      <w:lang w:val="x-none" w:eastAsia="x-none"/>
    </w:rPr>
  </w:style>
  <w:style w:type="paragraph" w:customStyle="1" w:styleId="Doc-text2">
    <w:name w:val="Doc-text2"/>
    <w:basedOn w:val="Normal"/>
    <w:link w:val="Doc-text2Char"/>
    <w:qFormat/>
    <w:rsid w:val="00B31848"/>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B31848"/>
    <w:rPr>
      <w:rFonts w:ascii="Arial" w:eastAsia="MS Mincho" w:hAnsi="Arial"/>
      <w:szCs w:val="24"/>
      <w:lang w:val="en-GB" w:eastAsia="en-GB"/>
    </w:rPr>
  </w:style>
  <w:style w:type="paragraph" w:customStyle="1" w:styleId="Default">
    <w:name w:val="Default"/>
    <w:rsid w:val="00B31848"/>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B31848"/>
    <w:rPr>
      <w:rFonts w:ascii="Times New Roman" w:hAnsi="Times New Roman"/>
      <w:sz w:val="24"/>
      <w:lang w:val="en-AU" w:eastAsia="en-GB"/>
    </w:rPr>
  </w:style>
  <w:style w:type="paragraph" w:customStyle="1" w:styleId="bullet1">
    <w:name w:val="bullet1"/>
    <w:basedOn w:val="text"/>
    <w:link w:val="bullet1Char"/>
    <w:qFormat/>
    <w:rsid w:val="00B31848"/>
    <w:pPr>
      <w:widowControl/>
      <w:numPr>
        <w:numId w:val="17"/>
      </w:numPr>
      <w:overflowPunct/>
      <w:autoSpaceDE/>
      <w:autoSpaceDN/>
      <w:adjustRightInd/>
      <w:spacing w:after="0"/>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31848"/>
    <w:pPr>
      <w:widowControl/>
      <w:numPr>
        <w:ilvl w:val="1"/>
        <w:numId w:val="17"/>
      </w:numPr>
      <w:overflowPunct/>
      <w:autoSpaceDE/>
      <w:autoSpaceDN/>
      <w:adjustRightInd/>
      <w:spacing w:after="0"/>
      <w:textAlignment w:val="auto"/>
    </w:pPr>
    <w:rPr>
      <w:rFonts w:ascii="Times" w:eastAsia="SimSun" w:hAnsi="Times"/>
      <w:kern w:val="2"/>
      <w:szCs w:val="24"/>
      <w:lang w:val="en-GB" w:eastAsia="zh-CN"/>
    </w:rPr>
  </w:style>
  <w:style w:type="character" w:customStyle="1" w:styleId="bullet1Char">
    <w:name w:val="bullet1 Char"/>
    <w:link w:val="bullet1"/>
    <w:rsid w:val="00B31848"/>
    <w:rPr>
      <w:rFonts w:ascii="Calibri" w:eastAsia="SimSun" w:hAnsi="Calibri" w:cstheme="minorBidi"/>
      <w:kern w:val="2"/>
      <w:sz w:val="24"/>
      <w:szCs w:val="24"/>
      <w:lang w:val="en-GB" w:eastAsia="zh-CN"/>
    </w:rPr>
  </w:style>
  <w:style w:type="paragraph" w:customStyle="1" w:styleId="bullet3">
    <w:name w:val="bullet3"/>
    <w:basedOn w:val="text"/>
    <w:qFormat/>
    <w:rsid w:val="00B31848"/>
    <w:pPr>
      <w:widowControl/>
      <w:numPr>
        <w:ilvl w:val="2"/>
        <w:numId w:val="17"/>
      </w:numPr>
      <w:overflowPunct/>
      <w:autoSpaceDE/>
      <w:autoSpaceDN/>
      <w:adjustRightInd/>
      <w:spacing w:after="0"/>
      <w:textAlignment w:val="auto"/>
    </w:pPr>
    <w:rPr>
      <w:rFonts w:ascii="Times" w:eastAsia="Batang" w:hAnsi="Times"/>
      <w:sz w:val="20"/>
      <w:szCs w:val="24"/>
      <w:lang w:val="en-GB" w:eastAsia="en-US"/>
    </w:rPr>
  </w:style>
  <w:style w:type="character" w:customStyle="1" w:styleId="bullet2Char">
    <w:name w:val="bullet2 Char"/>
    <w:link w:val="bullet2"/>
    <w:rsid w:val="00B31848"/>
    <w:rPr>
      <w:rFonts w:ascii="Times" w:eastAsia="SimSun" w:hAnsi="Times" w:cstheme="minorBidi"/>
      <w:kern w:val="2"/>
      <w:sz w:val="24"/>
      <w:szCs w:val="24"/>
      <w:lang w:val="en-GB" w:eastAsia="zh-CN"/>
    </w:rPr>
  </w:style>
  <w:style w:type="paragraph" w:customStyle="1" w:styleId="bullet4">
    <w:name w:val="bullet4"/>
    <w:basedOn w:val="text"/>
    <w:qFormat/>
    <w:rsid w:val="00B31848"/>
    <w:pPr>
      <w:widowControl/>
      <w:numPr>
        <w:ilvl w:val="3"/>
        <w:numId w:val="17"/>
      </w:numPr>
      <w:overflowPunct/>
      <w:autoSpaceDE/>
      <w:autoSpaceDN/>
      <w:adjustRightInd/>
      <w:spacing w:after="0"/>
      <w:textAlignment w:val="auto"/>
    </w:pPr>
    <w:rPr>
      <w:rFonts w:ascii="Times" w:eastAsia="Batang" w:hAnsi="Times"/>
      <w:sz w:val="20"/>
      <w:szCs w:val="24"/>
      <w:lang w:val="en-GB" w:eastAsia="en-US"/>
    </w:rPr>
  </w:style>
  <w:style w:type="paragraph" w:customStyle="1" w:styleId="SpecTextNum">
    <w:name w:val="Spec Text Num"/>
    <w:basedOn w:val="Normal"/>
    <w:rsid w:val="00B31848"/>
    <w:pPr>
      <w:numPr>
        <w:numId w:val="18"/>
      </w:numPr>
    </w:pPr>
    <w:rPr>
      <w:rFonts w:ascii="Times New Roman" w:eastAsia="MS Mincho"/>
      <w:sz w:val="24"/>
      <w:szCs w:val="24"/>
      <w:lang w:eastAsia="ja-JP"/>
    </w:rPr>
  </w:style>
  <w:style w:type="paragraph" w:customStyle="1" w:styleId="Comments">
    <w:name w:val="Comments"/>
    <w:basedOn w:val="Normal"/>
    <w:link w:val="CommentsChar"/>
    <w:qFormat/>
    <w:rsid w:val="00B31848"/>
    <w:pPr>
      <w:spacing w:before="40"/>
    </w:pPr>
    <w:rPr>
      <w:rFonts w:ascii="Arial" w:eastAsia="MS Mincho" w:hAnsi="Arial"/>
      <w:i/>
      <w:sz w:val="18"/>
      <w:szCs w:val="24"/>
      <w:lang w:val="en-GB" w:eastAsia="en-GB"/>
    </w:rPr>
  </w:style>
  <w:style w:type="character" w:customStyle="1" w:styleId="CommentsChar">
    <w:name w:val="Comments Char"/>
    <w:link w:val="Comments"/>
    <w:rsid w:val="00B31848"/>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B31848"/>
    <w:pPr>
      <w:numPr>
        <w:numId w:val="19"/>
      </w:numPr>
    </w:pPr>
    <w:rPr>
      <w:rFonts w:ascii="Times New Roman"/>
      <w:sz w:val="20"/>
      <w:szCs w:val="24"/>
      <w:lang w:val="x-none" w:eastAsia="x-none"/>
    </w:rPr>
  </w:style>
  <w:style w:type="character" w:customStyle="1" w:styleId="bulletChar">
    <w:name w:val="bullet Char"/>
    <w:link w:val="bullet"/>
    <w:uiPriority w:val="99"/>
    <w:rsid w:val="00B31848"/>
    <w:rPr>
      <w:rFonts w:ascii="Times New Roman" w:eastAsiaTheme="minorHAnsi" w:hAnsiTheme="minorHAnsi" w:cstheme="minorBidi"/>
      <w:szCs w:val="24"/>
      <w:lang w:val="x-none" w:eastAsia="x-none"/>
    </w:rPr>
  </w:style>
  <w:style w:type="character" w:customStyle="1" w:styleId="ProposalChar">
    <w:name w:val="Proposal Char"/>
    <w:link w:val="Proposal"/>
    <w:rsid w:val="00B31848"/>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71120846">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93422388">
      <w:bodyDiv w:val="1"/>
      <w:marLeft w:val="0"/>
      <w:marRight w:val="0"/>
      <w:marTop w:val="0"/>
      <w:marBottom w:val="0"/>
      <w:divBdr>
        <w:top w:val="none" w:sz="0" w:space="0" w:color="auto"/>
        <w:left w:val="none" w:sz="0" w:space="0" w:color="auto"/>
        <w:bottom w:val="none" w:sz="0" w:space="0" w:color="auto"/>
        <w:right w:val="none" w:sz="0" w:space="0" w:color="auto"/>
      </w:divBdr>
    </w:div>
    <w:div w:id="201404128">
      <w:bodyDiv w:val="1"/>
      <w:marLeft w:val="0"/>
      <w:marRight w:val="0"/>
      <w:marTop w:val="0"/>
      <w:marBottom w:val="0"/>
      <w:divBdr>
        <w:top w:val="none" w:sz="0" w:space="0" w:color="auto"/>
        <w:left w:val="none" w:sz="0" w:space="0" w:color="auto"/>
        <w:bottom w:val="none" w:sz="0" w:space="0" w:color="auto"/>
        <w:right w:val="none" w:sz="0" w:space="0" w:color="auto"/>
      </w:divBdr>
      <w:divsChild>
        <w:div w:id="1890998127">
          <w:marLeft w:val="547"/>
          <w:marRight w:val="0"/>
          <w:marTop w:val="106"/>
          <w:marBottom w:val="0"/>
          <w:divBdr>
            <w:top w:val="none" w:sz="0" w:space="0" w:color="auto"/>
            <w:left w:val="none" w:sz="0" w:space="0" w:color="auto"/>
            <w:bottom w:val="none" w:sz="0" w:space="0" w:color="auto"/>
            <w:right w:val="none" w:sz="0" w:space="0" w:color="auto"/>
          </w:divBdr>
        </w:div>
        <w:div w:id="1293946830">
          <w:marLeft w:val="1166"/>
          <w:marRight w:val="0"/>
          <w:marTop w:val="96"/>
          <w:marBottom w:val="0"/>
          <w:divBdr>
            <w:top w:val="none" w:sz="0" w:space="0" w:color="auto"/>
            <w:left w:val="none" w:sz="0" w:space="0" w:color="auto"/>
            <w:bottom w:val="none" w:sz="0" w:space="0" w:color="auto"/>
            <w:right w:val="none" w:sz="0" w:space="0" w:color="auto"/>
          </w:divBdr>
        </w:div>
        <w:div w:id="1593709469">
          <w:marLeft w:val="547"/>
          <w:marRight w:val="0"/>
          <w:marTop w:val="106"/>
          <w:marBottom w:val="0"/>
          <w:divBdr>
            <w:top w:val="none" w:sz="0" w:space="0" w:color="auto"/>
            <w:left w:val="none" w:sz="0" w:space="0" w:color="auto"/>
            <w:bottom w:val="none" w:sz="0" w:space="0" w:color="auto"/>
            <w:right w:val="none" w:sz="0" w:space="0" w:color="auto"/>
          </w:divBdr>
        </w:div>
        <w:div w:id="2073691776">
          <w:marLeft w:val="1166"/>
          <w:marRight w:val="0"/>
          <w:marTop w:val="96"/>
          <w:marBottom w:val="0"/>
          <w:divBdr>
            <w:top w:val="none" w:sz="0" w:space="0" w:color="auto"/>
            <w:left w:val="none" w:sz="0" w:space="0" w:color="auto"/>
            <w:bottom w:val="none" w:sz="0" w:space="0" w:color="auto"/>
            <w:right w:val="none" w:sz="0" w:space="0" w:color="auto"/>
          </w:divBdr>
        </w:div>
        <w:div w:id="594182">
          <w:marLeft w:val="1800"/>
          <w:marRight w:val="0"/>
          <w:marTop w:val="82"/>
          <w:marBottom w:val="0"/>
          <w:divBdr>
            <w:top w:val="none" w:sz="0" w:space="0" w:color="auto"/>
            <w:left w:val="none" w:sz="0" w:space="0" w:color="auto"/>
            <w:bottom w:val="none" w:sz="0" w:space="0" w:color="auto"/>
            <w:right w:val="none" w:sz="0" w:space="0" w:color="auto"/>
          </w:divBdr>
        </w:div>
        <w:div w:id="1585605147">
          <w:marLeft w:val="1800"/>
          <w:marRight w:val="0"/>
          <w:marTop w:val="82"/>
          <w:marBottom w:val="0"/>
          <w:divBdr>
            <w:top w:val="none" w:sz="0" w:space="0" w:color="auto"/>
            <w:left w:val="none" w:sz="0" w:space="0" w:color="auto"/>
            <w:bottom w:val="none" w:sz="0" w:space="0" w:color="auto"/>
            <w:right w:val="none" w:sz="0" w:space="0" w:color="auto"/>
          </w:divBdr>
        </w:div>
        <w:div w:id="759833276">
          <w:marLeft w:val="547"/>
          <w:marRight w:val="0"/>
          <w:marTop w:val="106"/>
          <w:marBottom w:val="0"/>
          <w:divBdr>
            <w:top w:val="none" w:sz="0" w:space="0" w:color="auto"/>
            <w:left w:val="none" w:sz="0" w:space="0" w:color="auto"/>
            <w:bottom w:val="none" w:sz="0" w:space="0" w:color="auto"/>
            <w:right w:val="none" w:sz="0" w:space="0" w:color="auto"/>
          </w:divBdr>
        </w:div>
        <w:div w:id="1756591566">
          <w:marLeft w:val="547"/>
          <w:marRight w:val="0"/>
          <w:marTop w:val="106"/>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52268105">
      <w:bodyDiv w:val="1"/>
      <w:marLeft w:val="0"/>
      <w:marRight w:val="0"/>
      <w:marTop w:val="0"/>
      <w:marBottom w:val="0"/>
      <w:divBdr>
        <w:top w:val="none" w:sz="0" w:space="0" w:color="auto"/>
        <w:left w:val="none" w:sz="0" w:space="0" w:color="auto"/>
        <w:bottom w:val="none" w:sz="0" w:space="0" w:color="auto"/>
        <w:right w:val="none" w:sz="0" w:space="0" w:color="auto"/>
      </w:divBdr>
    </w:div>
    <w:div w:id="43132347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88730758">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76546503">
      <w:bodyDiv w:val="1"/>
      <w:marLeft w:val="0"/>
      <w:marRight w:val="0"/>
      <w:marTop w:val="0"/>
      <w:marBottom w:val="0"/>
      <w:divBdr>
        <w:top w:val="none" w:sz="0" w:space="0" w:color="auto"/>
        <w:left w:val="none" w:sz="0" w:space="0" w:color="auto"/>
        <w:bottom w:val="none" w:sz="0" w:space="0" w:color="auto"/>
        <w:right w:val="none" w:sz="0" w:space="0" w:color="auto"/>
      </w:divBdr>
    </w:div>
    <w:div w:id="1015957315">
      <w:bodyDiv w:val="1"/>
      <w:marLeft w:val="0"/>
      <w:marRight w:val="0"/>
      <w:marTop w:val="0"/>
      <w:marBottom w:val="0"/>
      <w:divBdr>
        <w:top w:val="none" w:sz="0" w:space="0" w:color="auto"/>
        <w:left w:val="none" w:sz="0" w:space="0" w:color="auto"/>
        <w:bottom w:val="none" w:sz="0" w:space="0" w:color="auto"/>
        <w:right w:val="none" w:sz="0" w:space="0" w:color="auto"/>
      </w:divBdr>
    </w:div>
    <w:div w:id="1071582258">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26840761">
      <w:bodyDiv w:val="1"/>
      <w:marLeft w:val="0"/>
      <w:marRight w:val="0"/>
      <w:marTop w:val="0"/>
      <w:marBottom w:val="0"/>
      <w:divBdr>
        <w:top w:val="none" w:sz="0" w:space="0" w:color="auto"/>
        <w:left w:val="none" w:sz="0" w:space="0" w:color="auto"/>
        <w:bottom w:val="none" w:sz="0" w:space="0" w:color="auto"/>
        <w:right w:val="none" w:sz="0" w:space="0" w:color="auto"/>
      </w:divBdr>
    </w:div>
    <w:div w:id="1393848696">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50274992">
      <w:bodyDiv w:val="1"/>
      <w:marLeft w:val="0"/>
      <w:marRight w:val="0"/>
      <w:marTop w:val="0"/>
      <w:marBottom w:val="0"/>
      <w:divBdr>
        <w:top w:val="none" w:sz="0" w:space="0" w:color="auto"/>
        <w:left w:val="none" w:sz="0" w:space="0" w:color="auto"/>
        <w:bottom w:val="none" w:sz="0" w:space="0" w:color="auto"/>
        <w:right w:val="none" w:sz="0" w:space="0" w:color="auto"/>
      </w:divBdr>
    </w:div>
    <w:div w:id="1534004037">
      <w:bodyDiv w:val="1"/>
      <w:marLeft w:val="0"/>
      <w:marRight w:val="0"/>
      <w:marTop w:val="0"/>
      <w:marBottom w:val="0"/>
      <w:divBdr>
        <w:top w:val="none" w:sz="0" w:space="0" w:color="auto"/>
        <w:left w:val="none" w:sz="0" w:space="0" w:color="auto"/>
        <w:bottom w:val="none" w:sz="0" w:space="0" w:color="auto"/>
        <w:right w:val="none" w:sz="0" w:space="0" w:color="auto"/>
      </w:divBdr>
    </w:div>
    <w:div w:id="1543206026">
      <w:bodyDiv w:val="1"/>
      <w:marLeft w:val="0"/>
      <w:marRight w:val="0"/>
      <w:marTop w:val="0"/>
      <w:marBottom w:val="0"/>
      <w:divBdr>
        <w:top w:val="none" w:sz="0" w:space="0" w:color="auto"/>
        <w:left w:val="none" w:sz="0" w:space="0" w:color="auto"/>
        <w:bottom w:val="none" w:sz="0" w:space="0" w:color="auto"/>
        <w:right w:val="none" w:sz="0" w:space="0" w:color="auto"/>
      </w:divBdr>
    </w:div>
    <w:div w:id="1591964290">
      <w:bodyDiv w:val="1"/>
      <w:marLeft w:val="0"/>
      <w:marRight w:val="0"/>
      <w:marTop w:val="0"/>
      <w:marBottom w:val="0"/>
      <w:divBdr>
        <w:top w:val="none" w:sz="0" w:space="0" w:color="auto"/>
        <w:left w:val="none" w:sz="0" w:space="0" w:color="auto"/>
        <w:bottom w:val="none" w:sz="0" w:space="0" w:color="auto"/>
        <w:right w:val="none" w:sz="0" w:space="0" w:color="auto"/>
      </w:divBdr>
    </w:div>
    <w:div w:id="1645114819">
      <w:bodyDiv w:val="1"/>
      <w:marLeft w:val="0"/>
      <w:marRight w:val="0"/>
      <w:marTop w:val="0"/>
      <w:marBottom w:val="0"/>
      <w:divBdr>
        <w:top w:val="none" w:sz="0" w:space="0" w:color="auto"/>
        <w:left w:val="none" w:sz="0" w:space="0" w:color="auto"/>
        <w:bottom w:val="none" w:sz="0" w:space="0" w:color="auto"/>
        <w:right w:val="none" w:sz="0" w:space="0" w:color="auto"/>
      </w:divBdr>
      <w:divsChild>
        <w:div w:id="978068349">
          <w:marLeft w:val="547"/>
          <w:marRight w:val="0"/>
          <w:marTop w:val="106"/>
          <w:marBottom w:val="0"/>
          <w:divBdr>
            <w:top w:val="none" w:sz="0" w:space="0" w:color="auto"/>
            <w:left w:val="none" w:sz="0" w:space="0" w:color="auto"/>
            <w:bottom w:val="none" w:sz="0" w:space="0" w:color="auto"/>
            <w:right w:val="none" w:sz="0" w:space="0" w:color="auto"/>
          </w:divBdr>
        </w:div>
        <w:div w:id="1944412047">
          <w:marLeft w:val="1166"/>
          <w:marRight w:val="0"/>
          <w:marTop w:val="96"/>
          <w:marBottom w:val="0"/>
          <w:divBdr>
            <w:top w:val="none" w:sz="0" w:space="0" w:color="auto"/>
            <w:left w:val="none" w:sz="0" w:space="0" w:color="auto"/>
            <w:bottom w:val="none" w:sz="0" w:space="0" w:color="auto"/>
            <w:right w:val="none" w:sz="0" w:space="0" w:color="auto"/>
          </w:divBdr>
        </w:div>
        <w:div w:id="498229778">
          <w:marLeft w:val="547"/>
          <w:marRight w:val="0"/>
          <w:marTop w:val="106"/>
          <w:marBottom w:val="0"/>
          <w:divBdr>
            <w:top w:val="none" w:sz="0" w:space="0" w:color="auto"/>
            <w:left w:val="none" w:sz="0" w:space="0" w:color="auto"/>
            <w:bottom w:val="none" w:sz="0" w:space="0" w:color="auto"/>
            <w:right w:val="none" w:sz="0" w:space="0" w:color="auto"/>
          </w:divBdr>
        </w:div>
        <w:div w:id="625739129">
          <w:marLeft w:val="1166"/>
          <w:marRight w:val="0"/>
          <w:marTop w:val="96"/>
          <w:marBottom w:val="0"/>
          <w:divBdr>
            <w:top w:val="none" w:sz="0" w:space="0" w:color="auto"/>
            <w:left w:val="none" w:sz="0" w:space="0" w:color="auto"/>
            <w:bottom w:val="none" w:sz="0" w:space="0" w:color="auto"/>
            <w:right w:val="none" w:sz="0" w:space="0" w:color="auto"/>
          </w:divBdr>
        </w:div>
        <w:div w:id="297608145">
          <w:marLeft w:val="1800"/>
          <w:marRight w:val="0"/>
          <w:marTop w:val="82"/>
          <w:marBottom w:val="0"/>
          <w:divBdr>
            <w:top w:val="none" w:sz="0" w:space="0" w:color="auto"/>
            <w:left w:val="none" w:sz="0" w:space="0" w:color="auto"/>
            <w:bottom w:val="none" w:sz="0" w:space="0" w:color="auto"/>
            <w:right w:val="none" w:sz="0" w:space="0" w:color="auto"/>
          </w:divBdr>
        </w:div>
        <w:div w:id="1696038075">
          <w:marLeft w:val="1800"/>
          <w:marRight w:val="0"/>
          <w:marTop w:val="82"/>
          <w:marBottom w:val="0"/>
          <w:divBdr>
            <w:top w:val="none" w:sz="0" w:space="0" w:color="auto"/>
            <w:left w:val="none" w:sz="0" w:space="0" w:color="auto"/>
            <w:bottom w:val="none" w:sz="0" w:space="0" w:color="auto"/>
            <w:right w:val="none" w:sz="0" w:space="0" w:color="auto"/>
          </w:divBdr>
        </w:div>
        <w:div w:id="130489333">
          <w:marLeft w:val="547"/>
          <w:marRight w:val="0"/>
          <w:marTop w:val="106"/>
          <w:marBottom w:val="0"/>
          <w:divBdr>
            <w:top w:val="none" w:sz="0" w:space="0" w:color="auto"/>
            <w:left w:val="none" w:sz="0" w:space="0" w:color="auto"/>
            <w:bottom w:val="none" w:sz="0" w:space="0" w:color="auto"/>
            <w:right w:val="none" w:sz="0" w:space="0" w:color="auto"/>
          </w:divBdr>
        </w:div>
        <w:div w:id="884561695">
          <w:marLeft w:val="547"/>
          <w:marRight w:val="0"/>
          <w:marTop w:val="106"/>
          <w:marBottom w:val="0"/>
          <w:divBdr>
            <w:top w:val="none" w:sz="0" w:space="0" w:color="auto"/>
            <w:left w:val="none" w:sz="0" w:space="0" w:color="auto"/>
            <w:bottom w:val="none" w:sz="0" w:space="0" w:color="auto"/>
            <w:right w:val="none" w:sz="0" w:space="0" w:color="auto"/>
          </w:divBdr>
        </w:div>
      </w:divsChild>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2054678">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67FEC-591F-4E19-9985-1D3F39090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1946</Words>
  <Characters>11095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2018-09-29T04:54:00Z</dcterms:created>
  <dcterms:modified xsi:type="dcterms:W3CDTF">2018-09-29T04:59:00Z</dcterms:modified>
</cp:coreProperties>
</file>