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1348150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EF4161">
        <w:rPr>
          <w:rFonts w:eastAsia="ＭＳ ゴシック" w:cs="Arial"/>
          <w:noProof w:val="0"/>
          <w:sz w:val="28"/>
          <w:szCs w:val="28"/>
          <w:lang w:val="en-US"/>
        </w:rPr>
        <w:t>4</w:t>
      </w:r>
      <w:r w:rsidR="00795EC5">
        <w:rPr>
          <w:rFonts w:eastAsia="ＭＳ ゴシック" w:cs="Arial"/>
          <w:noProof w:val="0"/>
          <w:sz w:val="28"/>
          <w:szCs w:val="28"/>
          <w:lang w:val="en-US"/>
        </w:rPr>
        <w:t>bis</w:t>
      </w:r>
      <w:r w:rsidRPr="004266BD">
        <w:rPr>
          <w:rFonts w:cs="Arial"/>
          <w:noProof w:val="0"/>
          <w:sz w:val="28"/>
          <w:szCs w:val="28"/>
          <w:lang w:val="en-US"/>
        </w:rPr>
        <w:tab/>
      </w:r>
      <w:r w:rsidR="00AE0452" w:rsidRPr="00342F60">
        <w:rPr>
          <w:rFonts w:cs="Arial"/>
          <w:noProof w:val="0"/>
          <w:sz w:val="28"/>
          <w:szCs w:val="28"/>
          <w:lang w:val="en-US"/>
        </w:rPr>
        <w:t>R1-</w:t>
      </w:r>
      <w:r w:rsidR="00F43379" w:rsidRPr="00342F60">
        <w:rPr>
          <w:rFonts w:cs="Arial"/>
          <w:noProof w:val="0"/>
          <w:sz w:val="28"/>
          <w:szCs w:val="28"/>
          <w:lang w:val="en-US"/>
        </w:rPr>
        <w:t>1</w:t>
      </w:r>
      <w:r w:rsidR="00F43379">
        <w:rPr>
          <w:rFonts w:cs="Arial"/>
          <w:noProof w:val="0"/>
          <w:sz w:val="28"/>
          <w:szCs w:val="28"/>
          <w:lang w:val="en-US"/>
        </w:rPr>
        <w:t>811158</w:t>
      </w:r>
    </w:p>
    <w:p w14:paraId="7A7325BA" w14:textId="76797E2C" w:rsidR="00A26C9B" w:rsidRPr="004266BD" w:rsidRDefault="00795EC5" w:rsidP="00A26C9B">
      <w:pPr>
        <w:pStyle w:val="a3"/>
        <w:rPr>
          <w:rFonts w:cs="Arial"/>
          <w:bCs/>
          <w:sz w:val="28"/>
          <w:lang w:val="en-US"/>
        </w:rPr>
      </w:pPr>
      <w:r>
        <w:rPr>
          <w:rFonts w:cs="Arial"/>
          <w:noProof w:val="0"/>
          <w:sz w:val="28"/>
          <w:szCs w:val="28"/>
          <w:lang w:val="en-US"/>
        </w:rPr>
        <w:t>Chengdu</w:t>
      </w:r>
      <w:r w:rsidR="00781345" w:rsidRPr="00A20D5F">
        <w:rPr>
          <w:rFonts w:cs="Arial"/>
          <w:noProof w:val="0"/>
          <w:sz w:val="28"/>
          <w:szCs w:val="28"/>
          <w:lang w:val="en-US"/>
        </w:rPr>
        <w:t xml:space="preserve">, </w:t>
      </w:r>
      <w:r>
        <w:rPr>
          <w:rFonts w:cs="Arial"/>
          <w:noProof w:val="0"/>
          <w:sz w:val="28"/>
          <w:szCs w:val="28"/>
          <w:lang w:val="en-US"/>
        </w:rPr>
        <w:t>China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October</w:t>
      </w:r>
      <w:r w:rsidR="00CB4C27">
        <w:rPr>
          <w:rFonts w:cs="Arial"/>
          <w:noProof w:val="0"/>
          <w:sz w:val="28"/>
          <w:szCs w:val="28"/>
          <w:lang w:val="en-US"/>
        </w:rPr>
        <w:t xml:space="preserve"> </w:t>
      </w:r>
      <w:r>
        <w:rPr>
          <w:rFonts w:cs="Arial"/>
          <w:noProof w:val="0"/>
          <w:sz w:val="28"/>
          <w:szCs w:val="28"/>
          <w:lang w:val="en-US"/>
        </w:rPr>
        <w:t>8</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12</w:t>
      </w:r>
      <w:r w:rsidR="00252FFA" w:rsidRPr="0045157E">
        <w:rPr>
          <w:rFonts w:cs="Arial" w:hint="eastAsia"/>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BF05540" w:rsidR="00004B52" w:rsidRPr="001D107F"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040520" w:rsidRPr="00EC1AF5">
        <w:rPr>
          <w:rFonts w:ascii="Arial" w:hAnsi="Arial" w:cs="Arial"/>
          <w:b/>
          <w:sz w:val="28"/>
          <w:szCs w:val="28"/>
          <w:lang w:val="en-US"/>
        </w:rPr>
        <w:t xml:space="preserve">Evaluation Results of </w:t>
      </w:r>
      <w:r w:rsidR="00CA045A" w:rsidRPr="00EC1AF5">
        <w:rPr>
          <w:rFonts w:ascii="Arial" w:hAnsi="Arial" w:cs="Arial"/>
          <w:b/>
          <w:sz w:val="28"/>
          <w:szCs w:val="28"/>
          <w:lang w:val="en-US"/>
        </w:rPr>
        <w:t xml:space="preserve">Area </w:t>
      </w:r>
      <w:r w:rsidR="00A355EB" w:rsidRPr="00EC1AF5">
        <w:rPr>
          <w:rFonts w:ascii="Arial" w:hAnsi="Arial" w:cs="Arial"/>
          <w:b/>
          <w:sz w:val="28"/>
          <w:szCs w:val="28"/>
          <w:lang w:val="en-US"/>
        </w:rPr>
        <w:t>t</w:t>
      </w:r>
      <w:r w:rsidR="00CA045A" w:rsidRPr="00EC1AF5">
        <w:rPr>
          <w:rFonts w:ascii="Arial" w:hAnsi="Arial" w:cs="Arial"/>
          <w:b/>
          <w:sz w:val="28"/>
          <w:szCs w:val="28"/>
          <w:lang w:val="en-US"/>
        </w:rPr>
        <w:t xml:space="preserve">raffic </w:t>
      </w:r>
      <w:r w:rsidR="00A355EB" w:rsidRPr="00EC1AF5">
        <w:rPr>
          <w:rFonts w:ascii="Arial" w:hAnsi="Arial" w:cs="Arial"/>
          <w:b/>
          <w:sz w:val="28"/>
          <w:szCs w:val="28"/>
          <w:lang w:val="en-US"/>
        </w:rPr>
        <w:t>c</w:t>
      </w:r>
      <w:r w:rsidR="00CA045A" w:rsidRPr="00EC1AF5">
        <w:rPr>
          <w:rFonts w:ascii="Arial" w:hAnsi="Arial" w:cs="Arial"/>
          <w:b/>
          <w:sz w:val="28"/>
          <w:szCs w:val="28"/>
          <w:lang w:val="en-US"/>
        </w:rPr>
        <w:t>apacity</w:t>
      </w:r>
      <w:r w:rsidR="00EF4161" w:rsidRPr="00EC1AF5">
        <w:rPr>
          <w:rFonts w:ascii="Arial" w:hAnsi="Arial" w:cs="Arial"/>
          <w:b/>
          <w:sz w:val="28"/>
          <w:szCs w:val="28"/>
          <w:lang w:val="en-US"/>
        </w:rPr>
        <w:t xml:space="preserve"> </w:t>
      </w:r>
      <w:r w:rsidR="003B0464" w:rsidRPr="00EC1AF5">
        <w:rPr>
          <w:rFonts w:ascii="Arial" w:hAnsi="Arial" w:cs="Arial"/>
          <w:b/>
          <w:sz w:val="28"/>
          <w:szCs w:val="28"/>
          <w:lang w:val="en-US"/>
        </w:rPr>
        <w:t>for IMT-2020 self-evaluation</w:t>
      </w:r>
    </w:p>
    <w:p w14:paraId="26DC8AEB" w14:textId="77777777"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DFC1FD8" w:rsidR="00004B52" w:rsidRPr="004266BD" w:rsidRDefault="003C3F6D" w:rsidP="005544D4">
      <w:pPr>
        <w:pStyle w:val="10"/>
        <w:adjustRightInd w:val="0"/>
        <w:spacing w:before="100" w:beforeAutospacing="1" w:afterLines="0"/>
        <w:rPr>
          <w:lang w:val="en-US"/>
        </w:rPr>
      </w:pPr>
      <w:r>
        <w:rPr>
          <w:lang w:val="en-US"/>
        </w:rPr>
        <w:t>Introduction</w:t>
      </w:r>
    </w:p>
    <w:p w14:paraId="072D63E1" w14:textId="5ACD16AB" w:rsidR="00BE6591" w:rsidRDefault="005507CD" w:rsidP="00D2416B">
      <w:pPr>
        <w:autoSpaceDE w:val="0"/>
        <w:autoSpaceDN w:val="0"/>
        <w:adjustRightInd w:val="0"/>
        <w:spacing w:after="0" w:afterAutospacing="0"/>
        <w:rPr>
          <w:rFonts w:eastAsiaTheme="minorEastAsia" w:cs="Arial"/>
          <w:szCs w:val="24"/>
        </w:rPr>
      </w:pPr>
      <w:r>
        <w:rPr>
          <w:rFonts w:eastAsiaTheme="minorEastAsia" w:cs="Arial" w:hint="eastAsia"/>
          <w:szCs w:val="24"/>
        </w:rPr>
        <w:t>In</w:t>
      </w:r>
      <w:r>
        <w:rPr>
          <w:rFonts w:eastAsiaTheme="minorEastAsia" w:cs="Arial"/>
          <w:szCs w:val="24"/>
        </w:rPr>
        <w:t xml:space="preserve"> RAN#81, the evaluation data of eMBB, mMTC, and URLLC </w:t>
      </w:r>
      <w:r w:rsidR="00405AC9">
        <w:rPr>
          <w:rFonts w:eastAsiaTheme="minorEastAsia" w:cs="Arial"/>
          <w:szCs w:val="24"/>
        </w:rPr>
        <w:t xml:space="preserve">were </w:t>
      </w:r>
      <w:r>
        <w:rPr>
          <w:rFonts w:eastAsiaTheme="minorEastAsia" w:cs="Arial"/>
          <w:szCs w:val="24"/>
        </w:rPr>
        <w:t xml:space="preserve">collected for initial ITU submission. The evaluation needs to continue and update for </w:t>
      </w:r>
      <w:r w:rsidR="00405AC9">
        <w:rPr>
          <w:rFonts w:eastAsiaTheme="minorEastAsia" w:cs="Arial"/>
          <w:szCs w:val="24"/>
        </w:rPr>
        <w:t xml:space="preserve">the </w:t>
      </w:r>
      <w:r>
        <w:rPr>
          <w:rFonts w:eastAsiaTheme="minorEastAsia" w:cs="Arial"/>
          <w:szCs w:val="24"/>
        </w:rPr>
        <w:t xml:space="preserve">final ITU submission. </w:t>
      </w:r>
      <w:r w:rsidR="00BE6591">
        <w:rPr>
          <w:rFonts w:eastAsiaTheme="minorEastAsia" w:cs="Arial"/>
          <w:szCs w:val="24"/>
        </w:rPr>
        <w:t>In this contribution, we</w:t>
      </w:r>
      <w:r w:rsidR="00BE6591">
        <w:rPr>
          <w:rFonts w:eastAsiaTheme="minorEastAsia" w:cs="Arial" w:hint="eastAsia"/>
          <w:szCs w:val="24"/>
        </w:rPr>
        <w:t xml:space="preserve"> provide </w:t>
      </w:r>
      <w:r w:rsidR="00860CB3">
        <w:rPr>
          <w:rFonts w:eastAsiaTheme="minorEastAsia" w:cs="Arial" w:hint="eastAsia"/>
          <w:szCs w:val="24"/>
        </w:rPr>
        <w:t>our</w:t>
      </w:r>
      <w:r w:rsidR="00BE6591">
        <w:rPr>
          <w:rFonts w:eastAsiaTheme="minorEastAsia" w:cs="Arial" w:hint="eastAsia"/>
          <w:szCs w:val="24"/>
        </w:rPr>
        <w:t xml:space="preserve"> </w:t>
      </w:r>
      <w:r w:rsidR="00353BD7">
        <w:rPr>
          <w:rFonts w:eastAsiaTheme="minorEastAsia" w:cs="Arial"/>
          <w:szCs w:val="24"/>
        </w:rPr>
        <w:t>evaluation</w:t>
      </w:r>
      <w:r w:rsidR="00BE6591">
        <w:rPr>
          <w:rFonts w:eastAsiaTheme="minorEastAsia" w:cs="Arial" w:hint="eastAsia"/>
          <w:szCs w:val="24"/>
        </w:rPr>
        <w:t xml:space="preserve"> result of </w:t>
      </w:r>
      <w:r w:rsidR="00353BD7">
        <w:rPr>
          <w:rFonts w:eastAsiaTheme="minorEastAsia" w:cs="Arial"/>
          <w:szCs w:val="24"/>
        </w:rPr>
        <w:t>area traffic capacity</w:t>
      </w:r>
      <w:r w:rsidR="00BE6591">
        <w:rPr>
          <w:rFonts w:eastAsiaTheme="minorEastAsia" w:cs="Arial"/>
          <w:szCs w:val="24"/>
        </w:rPr>
        <w:t>.</w:t>
      </w:r>
    </w:p>
    <w:p w14:paraId="209AD4DE" w14:textId="77777777" w:rsidR="00855FEE" w:rsidRPr="001F25F0" w:rsidRDefault="00855FEE" w:rsidP="001F25F0"/>
    <w:p w14:paraId="4C770C3D" w14:textId="57A30721" w:rsidR="008B56DE" w:rsidRDefault="008B56DE" w:rsidP="008B56DE">
      <w:pPr>
        <w:pStyle w:val="10"/>
        <w:spacing w:after="180"/>
        <w:rPr>
          <w:lang w:val="en-US"/>
        </w:rPr>
      </w:pPr>
      <w:r>
        <w:rPr>
          <w:rFonts w:hint="eastAsia"/>
          <w:lang w:val="en-US"/>
        </w:rPr>
        <w:t>Area tr</w:t>
      </w:r>
      <w:r w:rsidR="00063F30">
        <w:rPr>
          <w:lang w:val="en-US"/>
        </w:rPr>
        <w:t>affic capacity</w:t>
      </w:r>
    </w:p>
    <w:p w14:paraId="31E5CCCB" w14:textId="5F39C1A5" w:rsidR="00161148" w:rsidRPr="00161148" w:rsidRDefault="006F364E" w:rsidP="00161148">
      <w:pPr>
        <w:rPr>
          <w:lang w:val="en-US"/>
        </w:rPr>
      </w:pPr>
      <w:r>
        <w:rPr>
          <w:lang w:val="en-US"/>
        </w:rPr>
        <w:t>As defined in [1], t</w:t>
      </w:r>
      <w:r w:rsidR="00161148">
        <w:rPr>
          <w:rFonts w:hint="eastAsia"/>
          <w:lang w:val="en-US"/>
        </w:rPr>
        <w:t xml:space="preserve">he </w:t>
      </w:r>
      <w:r w:rsidR="00161148">
        <w:rPr>
          <w:lang w:val="en-US"/>
        </w:rPr>
        <w:t>area traffic capacity is calcula</w:t>
      </w:r>
      <w:bookmarkStart w:id="3" w:name="_GoBack"/>
      <w:bookmarkEnd w:id="3"/>
      <w:r w:rsidR="00161148">
        <w:rPr>
          <w:lang w:val="en-US"/>
        </w:rPr>
        <w:t xml:space="preserve">ted using a TRxP </w:t>
      </w:r>
      <w:r w:rsidR="00FB256F">
        <w:rPr>
          <w:lang w:val="en-US"/>
        </w:rPr>
        <w:t>density</w:t>
      </w:r>
      <w:r w:rsidR="00161148">
        <w:rPr>
          <w:lang w:val="en-US"/>
        </w:rPr>
        <w:t>, a channel bandwidth, and a DL average spectral efficiency.</w:t>
      </w:r>
      <w:r w:rsidR="000742DC">
        <w:rPr>
          <w:lang w:val="en-US"/>
        </w:rPr>
        <w:t xml:space="preserve"> The minimum requirement of area traffic capacity is defined in [2].</w:t>
      </w:r>
    </w:p>
    <w:p w14:paraId="4CC32404" w14:textId="6DAB29B0" w:rsidR="00161148" w:rsidRDefault="00216AC6" w:rsidP="00DC6F53">
      <w:pPr>
        <w:rPr>
          <w:lang w:val="en-US"/>
        </w:rPr>
      </w:pPr>
      <w:r>
        <w:rPr>
          <w:rFonts w:hint="eastAsia"/>
          <w:lang w:val="en-US"/>
        </w:rPr>
        <w:t>In InH-eMBB</w:t>
      </w:r>
      <w:r>
        <w:rPr>
          <w:lang w:val="en-US"/>
        </w:rPr>
        <w:t xml:space="preserve"> test environment</w:t>
      </w:r>
      <w:r>
        <w:rPr>
          <w:rFonts w:hint="eastAsia"/>
          <w:lang w:val="en-US"/>
        </w:rPr>
        <w:t xml:space="preserve">, TRxPs are placed in </w:t>
      </w:r>
      <w:r>
        <w:rPr>
          <w:lang w:val="en-US"/>
        </w:rPr>
        <w:t xml:space="preserve">simulation area of </w:t>
      </w:r>
      <m:oMath>
        <m:r>
          <m:rPr>
            <m:sty m:val="p"/>
          </m:rPr>
          <w:rPr>
            <w:rFonts w:ascii="Cambria Math" w:hAnsi="Cambria Math"/>
            <w:lang w:val="en-US"/>
          </w:rPr>
          <m:t>120 m ×50 m</m:t>
        </m:r>
      </m:oMath>
      <w:r>
        <w:rPr>
          <w:rFonts w:hint="eastAsia"/>
          <w:lang w:val="en-US"/>
        </w:rPr>
        <w:t xml:space="preserve"> [</w:t>
      </w:r>
      <w:r>
        <w:rPr>
          <w:lang w:val="en-US"/>
        </w:rPr>
        <w:t>1</w:t>
      </w:r>
      <w:r>
        <w:rPr>
          <w:rFonts w:hint="eastAsia"/>
          <w:lang w:val="en-US"/>
        </w:rPr>
        <w:t>]</w:t>
      </w:r>
      <w:r>
        <w:rPr>
          <w:lang w:val="en-US"/>
        </w:rPr>
        <w:t>. In 12 TRxPs case, the TRxP density equals to 0.002 (TRxP/m</w:t>
      </w:r>
      <w:r w:rsidRPr="00216AC6">
        <w:rPr>
          <w:vertAlign w:val="superscript"/>
          <w:lang w:val="en-US"/>
        </w:rPr>
        <w:t>2</w:t>
      </w:r>
      <w:r>
        <w:rPr>
          <w:lang w:val="en-US"/>
        </w:rPr>
        <w:t>).</w:t>
      </w:r>
      <w:r w:rsidR="00655BBE">
        <w:rPr>
          <w:lang w:val="en-US"/>
        </w:rPr>
        <w:t xml:space="preserve"> </w:t>
      </w:r>
      <w:r w:rsidR="00161148">
        <w:rPr>
          <w:lang w:val="en-US"/>
        </w:rPr>
        <w:t xml:space="preserve">The </w:t>
      </w:r>
      <w:r w:rsidR="008B56DE">
        <w:rPr>
          <w:lang w:val="en-US"/>
        </w:rPr>
        <w:t xml:space="preserve">DL average spectral efficiency </w:t>
      </w:r>
      <w:r w:rsidR="00161148">
        <w:rPr>
          <w:lang w:val="en-US"/>
        </w:rPr>
        <w:t xml:space="preserve">is </w:t>
      </w:r>
      <w:r w:rsidR="008B56DE">
        <w:rPr>
          <w:lang w:val="en-US"/>
        </w:rPr>
        <w:t xml:space="preserve">obtained from system level </w:t>
      </w:r>
      <w:r w:rsidR="005253D9">
        <w:rPr>
          <w:lang w:val="en-US"/>
        </w:rPr>
        <w:t>evaluation</w:t>
      </w:r>
      <w:r w:rsidR="00754652">
        <w:rPr>
          <w:lang w:val="en-US"/>
        </w:rPr>
        <w:t>, that is 11.029 (bit/s/Hz)</w:t>
      </w:r>
      <w:r w:rsidR="000742DC">
        <w:rPr>
          <w:lang w:val="en-US"/>
        </w:rPr>
        <w:t xml:space="preserve">. </w:t>
      </w:r>
      <w:r w:rsidR="005254E5">
        <w:rPr>
          <w:lang w:val="en-US"/>
        </w:rPr>
        <w:t xml:space="preserve">The </w:t>
      </w:r>
      <w:r w:rsidR="00754652">
        <w:rPr>
          <w:lang w:val="en-US"/>
        </w:rPr>
        <w:t xml:space="preserve">detailed </w:t>
      </w:r>
      <w:r w:rsidR="005254E5">
        <w:rPr>
          <w:lang w:val="en-US"/>
        </w:rPr>
        <w:t>e</w:t>
      </w:r>
      <w:r w:rsidR="005253D9">
        <w:rPr>
          <w:lang w:val="en-US"/>
        </w:rPr>
        <w:t xml:space="preserve">valuation </w:t>
      </w:r>
      <w:r w:rsidR="00C00DE5">
        <w:rPr>
          <w:lang w:val="en-US"/>
        </w:rPr>
        <w:t xml:space="preserve">results and corresponding </w:t>
      </w:r>
      <w:r w:rsidR="005253D9">
        <w:rPr>
          <w:lang w:val="en-US"/>
        </w:rPr>
        <w:t xml:space="preserve">assumptions </w:t>
      </w:r>
      <w:r w:rsidR="00C00DE5">
        <w:rPr>
          <w:lang w:val="en-US"/>
        </w:rPr>
        <w:t xml:space="preserve">under evaluation configuration for </w:t>
      </w:r>
      <w:r w:rsidR="005253D9">
        <w:rPr>
          <w:lang w:val="en-US"/>
        </w:rPr>
        <w:t xml:space="preserve">InH-eMBB config. B are </w:t>
      </w:r>
      <w:r w:rsidR="00161148">
        <w:rPr>
          <w:lang w:val="en-US"/>
        </w:rPr>
        <w:t xml:space="preserve">described in </w:t>
      </w:r>
      <w:r w:rsidR="00F942EE">
        <w:rPr>
          <w:lang w:val="en-US"/>
        </w:rPr>
        <w:t>our compan</w:t>
      </w:r>
      <w:r w:rsidR="00C00DE5">
        <w:rPr>
          <w:lang w:val="en-US"/>
        </w:rPr>
        <w:t>ion</w:t>
      </w:r>
      <w:r w:rsidR="00F942EE">
        <w:rPr>
          <w:lang w:val="en-US"/>
        </w:rPr>
        <w:t xml:space="preserve"> contribution [</w:t>
      </w:r>
      <w:r w:rsidR="000742DC">
        <w:rPr>
          <w:lang w:val="en-US"/>
        </w:rPr>
        <w:t>3</w:t>
      </w:r>
      <w:r w:rsidR="00161148">
        <w:rPr>
          <w:lang w:val="en-US"/>
        </w:rPr>
        <w:t>]</w:t>
      </w:r>
      <w:r w:rsidR="008B56DE">
        <w:rPr>
          <w:lang w:val="en-US"/>
        </w:rPr>
        <w:t xml:space="preserve">. </w:t>
      </w:r>
      <w:r w:rsidR="00C00DE5">
        <w:rPr>
          <w:lang w:val="en-US"/>
        </w:rPr>
        <w:t xml:space="preserve">With the evaluation results, </w:t>
      </w:r>
      <w:r w:rsidR="009F4191">
        <w:rPr>
          <w:lang w:val="en-US"/>
        </w:rPr>
        <w:t>using 2 component carriers with 400 MHz bandwidth as the maximum value for 120</w:t>
      </w:r>
      <w:r w:rsidR="009E7078">
        <w:rPr>
          <w:lang w:val="en-US"/>
        </w:rPr>
        <w:t xml:space="preserve"> </w:t>
      </w:r>
      <w:r w:rsidR="009F4191">
        <w:rPr>
          <w:lang w:val="en-US"/>
        </w:rPr>
        <w:t xml:space="preserve">kHz SCS, </w:t>
      </w:r>
      <w:r w:rsidR="00C00DE5">
        <w:rPr>
          <w:lang w:val="en-US"/>
        </w:rPr>
        <w:t>the area traffic capacity is calculated as</w:t>
      </w:r>
      <w:r w:rsidR="0049151A">
        <w:rPr>
          <w:lang w:val="en-US"/>
        </w:rPr>
        <w:t xml:space="preserve"> in </w:t>
      </w:r>
      <w:r w:rsidR="00E729A6">
        <w:rPr>
          <w:lang w:val="en-US"/>
        </w:rPr>
        <w:t xml:space="preserve">Table </w:t>
      </w:r>
      <w:r w:rsidR="0049151A">
        <w:rPr>
          <w:lang w:val="en-US"/>
        </w:rPr>
        <w:t>1.</w:t>
      </w:r>
    </w:p>
    <w:p w14:paraId="113FC395" w14:textId="4E6FFDFD" w:rsidR="008B56DE" w:rsidRDefault="008B56DE" w:rsidP="008B56DE">
      <w:pPr>
        <w:pStyle w:val="textintend2"/>
        <w:numPr>
          <w:ilvl w:val="0"/>
          <w:numId w:val="0"/>
        </w:numPr>
        <w:jc w:val="center"/>
        <w:rPr>
          <w:lang w:eastAsia="ja-JP"/>
        </w:rPr>
      </w:pPr>
      <w:r>
        <w:rPr>
          <w:rFonts w:hint="eastAsia"/>
          <w:lang w:eastAsia="ja-JP"/>
        </w:rPr>
        <w:t>T</w:t>
      </w:r>
      <w:r>
        <w:rPr>
          <w:lang w:eastAsia="ja-JP"/>
        </w:rPr>
        <w:t xml:space="preserve">able </w:t>
      </w:r>
      <w:r w:rsidR="00655BBE">
        <w:rPr>
          <w:lang w:eastAsia="ja-JP"/>
        </w:rPr>
        <w:t>1</w:t>
      </w:r>
      <w:r>
        <w:rPr>
          <w:lang w:eastAsia="ja-JP"/>
        </w:rPr>
        <w:t xml:space="preserve">. </w:t>
      </w:r>
      <w:r>
        <w:t>A</w:t>
      </w:r>
      <w:r w:rsidR="00342B12">
        <w:t>rea traffic capacity</w:t>
      </w:r>
    </w:p>
    <w:tbl>
      <w:tblPr>
        <w:tblW w:w="7695" w:type="dxa"/>
        <w:jc w:val="center"/>
        <w:tblLayout w:type="fixed"/>
        <w:tblCellMar>
          <w:left w:w="99" w:type="dxa"/>
          <w:right w:w="99" w:type="dxa"/>
        </w:tblCellMar>
        <w:tblLook w:val="04A0" w:firstRow="1" w:lastRow="0" w:firstColumn="1" w:lastColumn="0" w:noHBand="0" w:noVBand="1"/>
      </w:tblPr>
      <w:tblGrid>
        <w:gridCol w:w="1418"/>
        <w:gridCol w:w="1189"/>
        <w:gridCol w:w="1504"/>
        <w:gridCol w:w="1985"/>
        <w:gridCol w:w="1599"/>
      </w:tblGrid>
      <w:tr w:rsidR="007A116E" w:rsidRPr="000D5C28" w14:paraId="23C33B68" w14:textId="77777777" w:rsidTr="00F23523">
        <w:trPr>
          <w:trHeight w:val="270"/>
          <w:jc w:val="center"/>
        </w:trPr>
        <w:tc>
          <w:tcPr>
            <w:tcW w:w="7695" w:type="dxa"/>
            <w:gridSpan w:val="5"/>
            <w:tcBorders>
              <w:top w:val="single" w:sz="4" w:space="0" w:color="auto"/>
              <w:left w:val="nil"/>
              <w:bottom w:val="single" w:sz="4" w:space="0" w:color="auto"/>
              <w:right w:val="single" w:sz="4" w:space="0" w:color="auto"/>
            </w:tcBorders>
            <w:shd w:val="clear" w:color="auto" w:fill="A6A6A6" w:themeFill="background1" w:themeFillShade="A6"/>
          </w:tcPr>
          <w:p w14:paraId="45FA05F4" w14:textId="5480E627" w:rsidR="007A116E" w:rsidRPr="00290DDC" w:rsidRDefault="007A116E" w:rsidP="008F1F1A">
            <w:pPr>
              <w:snapToGrid/>
              <w:spacing w:after="0" w:afterAutospacing="0"/>
              <w:jc w:val="center"/>
              <w:rPr>
                <w:rFonts w:eastAsia="ＭＳ Ｐゴシック"/>
                <w:b/>
                <w:color w:val="000000"/>
                <w:sz w:val="20"/>
                <w:lang w:val="en-US"/>
              </w:rPr>
            </w:pPr>
            <w:r w:rsidRPr="00290DDC">
              <w:rPr>
                <w:rFonts w:eastAsia="ＭＳ Ｐゴシック"/>
                <w:b/>
                <w:color w:val="000000"/>
                <w:sz w:val="20"/>
                <w:lang w:val="en-US"/>
              </w:rPr>
              <w:t>InH-eMBB Config. B</w:t>
            </w:r>
          </w:p>
        </w:tc>
      </w:tr>
      <w:tr w:rsidR="00C00AA0" w:rsidRPr="000D5C28" w14:paraId="0DE583C0" w14:textId="77777777" w:rsidTr="00C00AA0">
        <w:trPr>
          <w:trHeight w:val="270"/>
          <w:jc w:val="center"/>
        </w:trPr>
        <w:tc>
          <w:tcPr>
            <w:tcW w:w="1418" w:type="dxa"/>
            <w:tcBorders>
              <w:top w:val="nil"/>
              <w:left w:val="nil"/>
              <w:bottom w:val="single" w:sz="4" w:space="0" w:color="auto"/>
              <w:right w:val="nil"/>
            </w:tcBorders>
            <w:shd w:val="clear" w:color="auto" w:fill="D9D9D9" w:themeFill="background1" w:themeFillShade="D9"/>
          </w:tcPr>
          <w:p w14:paraId="01895C01" w14:textId="77777777" w:rsidR="00F23523" w:rsidRPr="00BC78EE" w:rsidRDefault="00F23523" w:rsidP="00860CB3">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TRxP density</w:t>
            </w:r>
          </w:p>
          <w:p w14:paraId="555EFB61" w14:textId="0D9B4F95" w:rsidR="007A116E" w:rsidRDefault="007A116E" w:rsidP="00860CB3">
            <w:pPr>
              <w:snapToGrid/>
              <w:spacing w:after="0" w:afterAutospacing="0" w:line="240" w:lineRule="exact"/>
              <w:jc w:val="left"/>
              <w:rPr>
                <w:rFonts w:eastAsia="ＭＳ Ｐゴシック"/>
                <w:b/>
                <w:color w:val="000000"/>
                <w:sz w:val="18"/>
                <w:szCs w:val="18"/>
                <w:lang w:val="en-US"/>
              </w:rPr>
            </w:pPr>
            <w:r w:rsidRPr="00BC78EE">
              <w:rPr>
                <w:rFonts w:eastAsia="ＭＳ Ｐゴシック" w:hint="eastAsia"/>
                <w:b/>
                <w:color w:val="000000"/>
                <w:sz w:val="18"/>
                <w:szCs w:val="18"/>
                <w:lang w:val="en-US"/>
              </w:rPr>
              <w:t>(</w:t>
            </w:r>
            <w:r w:rsidRPr="00BC78EE">
              <w:rPr>
                <w:rFonts w:eastAsia="ＭＳ Ｐゴシック"/>
                <w:b/>
                <w:color w:val="000000"/>
                <w:sz w:val="18"/>
                <w:szCs w:val="18"/>
                <w:lang w:val="en-US"/>
              </w:rPr>
              <w:t>TRxP/m</w:t>
            </w:r>
            <w:r w:rsidRPr="00BC78EE">
              <w:rPr>
                <w:rFonts w:eastAsia="ＭＳ Ｐゴシック"/>
                <w:b/>
                <w:color w:val="000000"/>
                <w:sz w:val="18"/>
                <w:szCs w:val="18"/>
                <w:vertAlign w:val="superscript"/>
                <w:lang w:val="en-US"/>
              </w:rPr>
              <w:t>2</w:t>
            </w:r>
            <w:r w:rsidRPr="00BC78EE">
              <w:rPr>
                <w:rFonts w:eastAsia="ＭＳ Ｐゴシック"/>
                <w:b/>
                <w:color w:val="000000"/>
                <w:sz w:val="18"/>
                <w:szCs w:val="18"/>
                <w:lang w:val="en-US"/>
              </w:rPr>
              <w:t>)</w:t>
            </w:r>
          </w:p>
        </w:tc>
        <w:tc>
          <w:tcPr>
            <w:tcW w:w="1189" w:type="dxa"/>
            <w:tcBorders>
              <w:top w:val="nil"/>
              <w:left w:val="nil"/>
              <w:bottom w:val="single" w:sz="4" w:space="0" w:color="auto"/>
              <w:right w:val="nil"/>
            </w:tcBorders>
            <w:shd w:val="clear" w:color="auto" w:fill="D9D9D9" w:themeFill="background1" w:themeFillShade="D9"/>
          </w:tcPr>
          <w:p w14:paraId="216B3779" w14:textId="12A97C0E" w:rsidR="007A116E" w:rsidRPr="00BC78EE" w:rsidRDefault="007A116E" w:rsidP="00860CB3">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channel</w:t>
            </w:r>
            <w:r w:rsidRPr="00BC78EE">
              <w:rPr>
                <w:rFonts w:eastAsia="ＭＳ Ｐゴシック" w:hint="eastAsia"/>
                <w:b/>
                <w:color w:val="000000"/>
                <w:sz w:val="18"/>
                <w:szCs w:val="18"/>
                <w:lang w:val="en-US"/>
              </w:rPr>
              <w:t xml:space="preserve"> </w:t>
            </w:r>
            <w:r w:rsidRPr="00BC78EE">
              <w:rPr>
                <w:rFonts w:eastAsia="ＭＳ Ｐゴシック"/>
                <w:b/>
                <w:color w:val="000000"/>
                <w:sz w:val="18"/>
                <w:szCs w:val="18"/>
                <w:lang w:val="en-US"/>
              </w:rPr>
              <w:t>bandwidth (MHz)</w:t>
            </w:r>
          </w:p>
        </w:tc>
        <w:tc>
          <w:tcPr>
            <w:tcW w:w="1504" w:type="dxa"/>
            <w:tcBorders>
              <w:top w:val="nil"/>
              <w:left w:val="nil"/>
              <w:bottom w:val="single" w:sz="4" w:space="0" w:color="auto"/>
              <w:right w:val="nil"/>
            </w:tcBorders>
            <w:shd w:val="clear" w:color="auto" w:fill="D9D9D9" w:themeFill="background1" w:themeFillShade="D9"/>
          </w:tcPr>
          <w:p w14:paraId="1ED998D1" w14:textId="4EC7A62A" w:rsidR="007A116E" w:rsidRPr="00BC78EE" w:rsidRDefault="007A116E" w:rsidP="00860CB3">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A</w:t>
            </w:r>
            <w:r w:rsidRPr="00BC78EE">
              <w:rPr>
                <w:rFonts w:eastAsia="ＭＳ Ｐゴシック" w:hint="eastAsia"/>
                <w:b/>
                <w:color w:val="000000"/>
                <w:sz w:val="18"/>
                <w:szCs w:val="18"/>
                <w:lang w:val="en-US"/>
              </w:rPr>
              <w:t xml:space="preserve">verage </w:t>
            </w:r>
            <w:r w:rsidRPr="00BC78EE">
              <w:rPr>
                <w:rFonts w:eastAsia="ＭＳ Ｐゴシック"/>
                <w:b/>
                <w:color w:val="000000"/>
                <w:sz w:val="18"/>
                <w:szCs w:val="18"/>
                <w:lang w:val="en-US"/>
              </w:rPr>
              <w:t>spectral efficiency</w:t>
            </w:r>
            <w:r w:rsidR="00C00AA0" w:rsidRPr="00BC78EE">
              <w:rPr>
                <w:rFonts w:eastAsia="ＭＳ Ｐゴシック"/>
                <w:b/>
                <w:color w:val="000000"/>
                <w:sz w:val="18"/>
                <w:szCs w:val="18"/>
                <w:lang w:val="en-US"/>
              </w:rPr>
              <w:t xml:space="preserve"> (bit/s/Hz)</w:t>
            </w:r>
          </w:p>
        </w:tc>
        <w:tc>
          <w:tcPr>
            <w:tcW w:w="1985" w:type="dxa"/>
            <w:tcBorders>
              <w:top w:val="nil"/>
              <w:left w:val="nil"/>
              <w:bottom w:val="single" w:sz="4" w:space="0" w:color="auto"/>
              <w:right w:val="single" w:sz="4" w:space="0" w:color="auto"/>
            </w:tcBorders>
            <w:shd w:val="clear" w:color="auto" w:fill="D9D9D9" w:themeFill="background1" w:themeFillShade="D9"/>
            <w:noWrap/>
            <w:vAlign w:val="center"/>
            <w:hideMark/>
          </w:tcPr>
          <w:p w14:paraId="6686A58E" w14:textId="32AAC859" w:rsidR="007A116E" w:rsidRPr="00BC78EE" w:rsidRDefault="007A116E" w:rsidP="00B7377C">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Area traffic capacity</w:t>
            </w:r>
            <w:r w:rsidRPr="00BC78EE">
              <w:rPr>
                <w:rFonts w:eastAsia="ＭＳ Ｐゴシック"/>
                <w:color w:val="000000"/>
                <w:sz w:val="18"/>
                <w:szCs w:val="18"/>
                <w:lang w:val="en-US"/>
              </w:rPr>
              <w:t xml:space="preserve"> </w:t>
            </w:r>
            <w:r w:rsidRPr="00BC78EE">
              <w:rPr>
                <w:rFonts w:eastAsia="ＭＳ Ｐゴシック"/>
                <w:b/>
                <w:color w:val="000000"/>
                <w:sz w:val="18"/>
                <w:szCs w:val="18"/>
                <w:lang w:val="en-US"/>
              </w:rPr>
              <w:t>(Mbit/s/</w:t>
            </w:r>
            <w:r w:rsidR="00B7377C" w:rsidRPr="00BC78EE">
              <w:rPr>
                <w:rFonts w:eastAsia="ＭＳ Ｐゴシック"/>
                <w:b/>
                <w:color w:val="000000"/>
                <w:sz w:val="18"/>
                <w:szCs w:val="18"/>
                <w:lang w:val="en-US"/>
              </w:rPr>
              <w:t>m</w:t>
            </w:r>
            <w:r w:rsidR="00B7377C" w:rsidRPr="00BC78EE">
              <w:rPr>
                <w:rFonts w:eastAsia="ＭＳ Ｐゴシック"/>
                <w:b/>
                <w:color w:val="000000"/>
                <w:sz w:val="18"/>
                <w:szCs w:val="18"/>
                <w:vertAlign w:val="superscript"/>
                <w:lang w:val="en-US"/>
              </w:rPr>
              <w:t>2</w:t>
            </w:r>
            <w:r w:rsidRPr="00BC78EE">
              <w:rPr>
                <w:rFonts w:eastAsia="ＭＳ Ｐゴシック"/>
                <w:b/>
                <w:color w:val="000000"/>
                <w:sz w:val="18"/>
                <w:szCs w:val="18"/>
                <w:lang w:val="en-US"/>
              </w:rPr>
              <w:t>)</w:t>
            </w:r>
          </w:p>
        </w:tc>
        <w:tc>
          <w:tcPr>
            <w:tcW w:w="1599" w:type="dxa"/>
            <w:tcBorders>
              <w:top w:val="nil"/>
              <w:left w:val="nil"/>
              <w:bottom w:val="single" w:sz="4" w:space="0" w:color="auto"/>
              <w:right w:val="single" w:sz="4" w:space="0" w:color="auto"/>
            </w:tcBorders>
            <w:shd w:val="clear" w:color="auto" w:fill="D9D9D9" w:themeFill="background1" w:themeFillShade="D9"/>
            <w:noWrap/>
            <w:vAlign w:val="center"/>
            <w:hideMark/>
          </w:tcPr>
          <w:p w14:paraId="767BD44F" w14:textId="77777777" w:rsidR="00C00AA0" w:rsidRPr="00BC78EE" w:rsidRDefault="007A116E" w:rsidP="00860CB3">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R</w:t>
            </w:r>
            <w:r w:rsidRPr="00BC78EE">
              <w:rPr>
                <w:rFonts w:eastAsia="ＭＳ Ｐゴシック" w:hint="eastAsia"/>
                <w:b/>
                <w:color w:val="000000"/>
                <w:sz w:val="18"/>
                <w:szCs w:val="18"/>
                <w:lang w:val="en-US"/>
              </w:rPr>
              <w:t>equirement</w:t>
            </w:r>
          </w:p>
          <w:p w14:paraId="568A2CCC" w14:textId="5CD4C7C3" w:rsidR="007A116E" w:rsidRPr="00BC78EE" w:rsidRDefault="007A116E" w:rsidP="00B7377C">
            <w:pPr>
              <w:snapToGrid/>
              <w:spacing w:after="0" w:afterAutospacing="0" w:line="240" w:lineRule="exact"/>
              <w:jc w:val="left"/>
              <w:rPr>
                <w:rFonts w:eastAsia="ＭＳ Ｐゴシック"/>
                <w:b/>
                <w:color w:val="000000"/>
                <w:sz w:val="18"/>
                <w:szCs w:val="18"/>
                <w:lang w:val="en-US"/>
              </w:rPr>
            </w:pPr>
            <w:r w:rsidRPr="00BC78EE">
              <w:rPr>
                <w:rFonts w:eastAsia="ＭＳ Ｐゴシック"/>
                <w:b/>
                <w:color w:val="000000"/>
                <w:sz w:val="18"/>
                <w:szCs w:val="18"/>
                <w:lang w:val="en-US"/>
              </w:rPr>
              <w:t>(Mbit/s/</w:t>
            </w:r>
            <w:r w:rsidR="00B7377C" w:rsidRPr="00BC78EE">
              <w:rPr>
                <w:rFonts w:eastAsia="ＭＳ Ｐゴシック"/>
                <w:b/>
                <w:color w:val="000000"/>
                <w:sz w:val="18"/>
                <w:szCs w:val="18"/>
                <w:lang w:val="en-US"/>
              </w:rPr>
              <w:t>m</w:t>
            </w:r>
            <w:r w:rsidR="00B7377C" w:rsidRPr="00BC78EE">
              <w:rPr>
                <w:rFonts w:eastAsia="ＭＳ Ｐゴシック"/>
                <w:b/>
                <w:color w:val="000000"/>
                <w:sz w:val="18"/>
                <w:szCs w:val="18"/>
                <w:vertAlign w:val="superscript"/>
                <w:lang w:val="en-US"/>
              </w:rPr>
              <w:t>2</w:t>
            </w:r>
            <w:r w:rsidRPr="00BC78EE">
              <w:rPr>
                <w:rFonts w:eastAsia="ＭＳ Ｐゴシック"/>
                <w:b/>
                <w:color w:val="000000"/>
                <w:sz w:val="18"/>
                <w:szCs w:val="18"/>
                <w:lang w:val="en-US"/>
              </w:rPr>
              <w:t>)</w:t>
            </w:r>
          </w:p>
        </w:tc>
      </w:tr>
      <w:tr w:rsidR="007A116E" w:rsidRPr="000D5C28" w14:paraId="20690EFC" w14:textId="77777777" w:rsidTr="00C00AA0">
        <w:trPr>
          <w:trHeight w:val="270"/>
          <w:jc w:val="center"/>
        </w:trPr>
        <w:tc>
          <w:tcPr>
            <w:tcW w:w="1418" w:type="dxa"/>
            <w:tcBorders>
              <w:top w:val="nil"/>
              <w:left w:val="nil"/>
              <w:bottom w:val="single" w:sz="4" w:space="0" w:color="auto"/>
              <w:right w:val="nil"/>
            </w:tcBorders>
          </w:tcPr>
          <w:p w14:paraId="705D5D85" w14:textId="3ADA5A44" w:rsidR="007A116E" w:rsidRDefault="007A116E" w:rsidP="008F1F1A">
            <w:pPr>
              <w:snapToGrid/>
              <w:spacing w:after="0" w:afterAutospacing="0"/>
              <w:jc w:val="left"/>
              <w:rPr>
                <w:rFonts w:eastAsia="ＭＳ Ｐゴシック"/>
                <w:color w:val="000000"/>
                <w:sz w:val="18"/>
                <w:szCs w:val="18"/>
                <w:lang w:val="en-US"/>
              </w:rPr>
            </w:pPr>
            <w:r>
              <w:rPr>
                <w:rFonts w:eastAsia="ＭＳ Ｐゴシック" w:hint="eastAsia"/>
                <w:color w:val="000000"/>
                <w:sz w:val="18"/>
                <w:szCs w:val="18"/>
                <w:lang w:val="en-US"/>
              </w:rPr>
              <w:t>0.002</w:t>
            </w:r>
          </w:p>
        </w:tc>
        <w:tc>
          <w:tcPr>
            <w:tcW w:w="1189" w:type="dxa"/>
            <w:tcBorders>
              <w:top w:val="nil"/>
              <w:left w:val="nil"/>
              <w:bottom w:val="single" w:sz="4" w:space="0" w:color="auto"/>
              <w:right w:val="nil"/>
            </w:tcBorders>
          </w:tcPr>
          <w:p w14:paraId="7AA056FD" w14:textId="6A005DFA" w:rsidR="007A116E" w:rsidRPr="00860CB3" w:rsidRDefault="00CA43E2" w:rsidP="008F1F1A">
            <w:pPr>
              <w:snapToGrid/>
              <w:spacing w:after="0" w:afterAutospacing="0"/>
              <w:jc w:val="left"/>
              <w:rPr>
                <w:rFonts w:eastAsia="ＭＳ Ｐゴシック"/>
                <w:color w:val="000000"/>
                <w:sz w:val="22"/>
                <w:szCs w:val="22"/>
                <w:lang w:val="en-US"/>
              </w:rPr>
            </w:pPr>
            <w:r w:rsidRPr="00860CB3">
              <w:rPr>
                <w:rFonts w:eastAsia="ＭＳ Ｐゴシック"/>
                <w:color w:val="000000"/>
                <w:sz w:val="22"/>
                <w:szCs w:val="22"/>
                <w:lang w:val="en-US"/>
              </w:rPr>
              <w:t>8</w:t>
            </w:r>
            <w:r w:rsidRPr="00860CB3">
              <w:rPr>
                <w:rFonts w:eastAsia="ＭＳ Ｐゴシック" w:hint="eastAsia"/>
                <w:color w:val="000000"/>
                <w:sz w:val="22"/>
                <w:szCs w:val="22"/>
                <w:lang w:val="en-US"/>
              </w:rPr>
              <w:t>00</w:t>
            </w:r>
          </w:p>
        </w:tc>
        <w:tc>
          <w:tcPr>
            <w:tcW w:w="1504" w:type="dxa"/>
            <w:tcBorders>
              <w:top w:val="nil"/>
              <w:left w:val="nil"/>
              <w:bottom w:val="single" w:sz="4" w:space="0" w:color="auto"/>
              <w:right w:val="nil"/>
            </w:tcBorders>
          </w:tcPr>
          <w:p w14:paraId="4CC81D79" w14:textId="06BEAC98" w:rsidR="007A116E" w:rsidRPr="00860CB3" w:rsidRDefault="007A116E" w:rsidP="008F1F1A">
            <w:pPr>
              <w:snapToGrid/>
              <w:spacing w:after="0" w:afterAutospacing="0"/>
              <w:jc w:val="left"/>
              <w:rPr>
                <w:rFonts w:eastAsia="ＭＳ Ｐゴシック"/>
                <w:color w:val="000000"/>
                <w:sz w:val="22"/>
                <w:szCs w:val="22"/>
                <w:lang w:val="en-US"/>
              </w:rPr>
            </w:pPr>
            <w:r w:rsidRPr="00860CB3">
              <w:rPr>
                <w:rFonts w:eastAsia="ＭＳ Ｐゴシック" w:hint="eastAsia"/>
                <w:color w:val="000000"/>
                <w:sz w:val="22"/>
                <w:szCs w:val="22"/>
                <w:lang w:val="en-US"/>
              </w:rPr>
              <w:t>11.029</w:t>
            </w:r>
          </w:p>
        </w:tc>
        <w:tc>
          <w:tcPr>
            <w:tcW w:w="1985" w:type="dxa"/>
            <w:tcBorders>
              <w:top w:val="nil"/>
              <w:left w:val="nil"/>
              <w:bottom w:val="single" w:sz="4" w:space="0" w:color="auto"/>
              <w:right w:val="single" w:sz="4" w:space="0" w:color="auto"/>
            </w:tcBorders>
            <w:shd w:val="clear" w:color="auto" w:fill="auto"/>
            <w:noWrap/>
            <w:vAlign w:val="center"/>
          </w:tcPr>
          <w:p w14:paraId="3A0A071A" w14:textId="1CFA40D0" w:rsidR="007A116E" w:rsidRPr="00860CB3" w:rsidRDefault="00CA43E2" w:rsidP="00D64D2A">
            <w:pPr>
              <w:snapToGrid/>
              <w:spacing w:after="0" w:afterAutospacing="0"/>
              <w:jc w:val="left"/>
              <w:rPr>
                <w:rFonts w:eastAsia="ＭＳ Ｐゴシック"/>
                <w:color w:val="000000"/>
                <w:sz w:val="22"/>
                <w:szCs w:val="22"/>
                <w:lang w:val="en-US"/>
              </w:rPr>
            </w:pPr>
            <w:r w:rsidRPr="00860CB3">
              <w:rPr>
                <w:rFonts w:eastAsia="ＭＳ Ｐゴシック"/>
                <w:color w:val="000000"/>
                <w:sz w:val="22"/>
                <w:szCs w:val="22"/>
                <w:lang w:val="en-US"/>
              </w:rPr>
              <w:t>17.6</w:t>
            </w:r>
            <w:r w:rsidR="00D64D2A" w:rsidRPr="00860CB3">
              <w:rPr>
                <w:rFonts w:eastAsia="ＭＳ Ｐゴシック"/>
                <w:color w:val="000000"/>
                <w:sz w:val="22"/>
                <w:szCs w:val="22"/>
                <w:lang w:val="en-US"/>
              </w:rPr>
              <w:t>46</w:t>
            </w:r>
          </w:p>
        </w:tc>
        <w:tc>
          <w:tcPr>
            <w:tcW w:w="1599" w:type="dxa"/>
            <w:tcBorders>
              <w:top w:val="nil"/>
              <w:left w:val="nil"/>
              <w:bottom w:val="single" w:sz="4" w:space="0" w:color="auto"/>
              <w:right w:val="single" w:sz="4" w:space="0" w:color="auto"/>
            </w:tcBorders>
            <w:shd w:val="clear" w:color="auto" w:fill="auto"/>
            <w:noWrap/>
            <w:vAlign w:val="center"/>
          </w:tcPr>
          <w:p w14:paraId="2DBF5693" w14:textId="27118B97" w:rsidR="007A116E" w:rsidRPr="00860CB3" w:rsidRDefault="007A116E" w:rsidP="008F1F1A">
            <w:pPr>
              <w:snapToGrid/>
              <w:spacing w:after="0" w:afterAutospacing="0"/>
              <w:jc w:val="left"/>
              <w:rPr>
                <w:rFonts w:eastAsia="ＭＳ Ｐゴシック"/>
                <w:color w:val="000000"/>
                <w:sz w:val="22"/>
                <w:szCs w:val="22"/>
                <w:lang w:val="en-US"/>
              </w:rPr>
            </w:pPr>
            <w:r w:rsidRPr="00860CB3">
              <w:rPr>
                <w:rFonts w:eastAsia="ＭＳ Ｐゴシック"/>
                <w:color w:val="000000"/>
                <w:sz w:val="22"/>
                <w:szCs w:val="22"/>
                <w:lang w:val="en-US"/>
              </w:rPr>
              <w:t>10</w:t>
            </w:r>
          </w:p>
        </w:tc>
      </w:tr>
    </w:tbl>
    <w:p w14:paraId="07B6F774" w14:textId="77777777" w:rsidR="008B56DE" w:rsidRDefault="008B56DE" w:rsidP="00DC6F53">
      <w:pPr>
        <w:rPr>
          <w:lang w:val="en-US"/>
        </w:rPr>
      </w:pPr>
    </w:p>
    <w:p w14:paraId="0278AC4B" w14:textId="4795293A" w:rsidR="00985EA5" w:rsidRDefault="00985EA5" w:rsidP="00DC6F53">
      <w:pPr>
        <w:rPr>
          <w:lang w:val="en-US"/>
        </w:rPr>
      </w:pPr>
      <w:r w:rsidRPr="00EC1AF5">
        <w:rPr>
          <w:b/>
          <w:lang w:val="en-US"/>
        </w:rPr>
        <w:t xml:space="preserve">Observation </w:t>
      </w:r>
      <w:r w:rsidR="00673C37" w:rsidRPr="00EC1AF5">
        <w:rPr>
          <w:b/>
          <w:lang w:val="en-US"/>
        </w:rPr>
        <w:t>1</w:t>
      </w:r>
      <w:r w:rsidRPr="00EC1AF5">
        <w:rPr>
          <w:b/>
          <w:lang w:val="en-US"/>
        </w:rPr>
        <w:t xml:space="preserve">: NR satisfies the area traffic capacity in indoor hotspot-eMBB configuration B when </w:t>
      </w:r>
      <w:r w:rsidR="00437075" w:rsidRPr="00EC1AF5">
        <w:rPr>
          <w:b/>
          <w:lang w:val="en-US"/>
        </w:rPr>
        <w:t xml:space="preserve">assumed </w:t>
      </w:r>
      <w:r w:rsidRPr="00EC1AF5">
        <w:rPr>
          <w:b/>
          <w:lang w:val="en-US"/>
        </w:rPr>
        <w:t xml:space="preserve">channel bandwidth </w:t>
      </w:r>
      <w:r w:rsidR="00437075" w:rsidRPr="00EC1AF5">
        <w:rPr>
          <w:b/>
          <w:lang w:val="en-US"/>
        </w:rPr>
        <w:t>is</w:t>
      </w:r>
      <w:r w:rsidRPr="00EC1AF5">
        <w:rPr>
          <w:b/>
          <w:lang w:val="en-US"/>
        </w:rPr>
        <w:t xml:space="preserve"> </w:t>
      </w:r>
      <w:r w:rsidR="00CA43E2" w:rsidRPr="00EC1AF5">
        <w:rPr>
          <w:b/>
          <w:lang w:val="en-US"/>
        </w:rPr>
        <w:t xml:space="preserve">800 </w:t>
      </w:r>
      <w:r w:rsidRPr="00EC1AF5">
        <w:rPr>
          <w:b/>
          <w:lang w:val="en-US"/>
        </w:rPr>
        <w:t>MHz.</w:t>
      </w:r>
    </w:p>
    <w:p w14:paraId="2384CC5C" w14:textId="77777777" w:rsidR="00DC6F53" w:rsidRPr="00300652" w:rsidRDefault="00DC6F53" w:rsidP="00DC6F53">
      <w:pPr>
        <w:pStyle w:val="10"/>
        <w:spacing w:after="180"/>
        <w:rPr>
          <w:rFonts w:eastAsiaTheme="minorEastAsia"/>
          <w:lang w:val="en-US"/>
        </w:rPr>
      </w:pPr>
      <w:r w:rsidRPr="00300652">
        <w:rPr>
          <w:lang w:val="en-US" w:eastAsia="zh-CN"/>
        </w:rPr>
        <w:t>Conclusion</w:t>
      </w:r>
    </w:p>
    <w:p w14:paraId="38A0A928" w14:textId="405B82B7" w:rsidR="00DC6F53" w:rsidRPr="00300652" w:rsidRDefault="00DC6F53" w:rsidP="00DC6F53">
      <w:pPr>
        <w:rPr>
          <w:lang w:val="en-US"/>
        </w:rPr>
      </w:pPr>
      <w:r w:rsidRPr="00300652">
        <w:rPr>
          <w:lang w:val="en-US"/>
        </w:rPr>
        <w:t xml:space="preserve">In this contribution, we </w:t>
      </w:r>
      <w:r w:rsidR="00BC1504">
        <w:rPr>
          <w:rFonts w:hint="eastAsia"/>
          <w:lang w:val="en-US"/>
        </w:rPr>
        <w:t xml:space="preserve">show our evaluation results on area traffic capacity. </w:t>
      </w:r>
      <w:r w:rsidR="00BC1504">
        <w:rPr>
          <w:lang w:val="en-US"/>
        </w:rPr>
        <w:t xml:space="preserve">According to our results, we </w:t>
      </w:r>
      <w:r w:rsidRPr="00300652">
        <w:rPr>
          <w:lang w:val="en-US"/>
        </w:rPr>
        <w:t xml:space="preserve">have the following </w:t>
      </w:r>
      <w:r>
        <w:rPr>
          <w:lang w:val="en-US"/>
        </w:rPr>
        <w:t>observation</w:t>
      </w:r>
      <w:r w:rsidRPr="00300652">
        <w:rPr>
          <w:lang w:val="en-US"/>
        </w:rPr>
        <w:t>:</w:t>
      </w:r>
    </w:p>
    <w:p w14:paraId="0686452B" w14:textId="0A1F4260" w:rsidR="00DC6F53" w:rsidRDefault="00C174F6" w:rsidP="00DC6F53">
      <w:pPr>
        <w:rPr>
          <w:b/>
          <w:lang w:val="en-US"/>
        </w:rPr>
      </w:pPr>
      <w:r w:rsidRPr="00EC1AF5">
        <w:rPr>
          <w:b/>
          <w:lang w:val="en-US"/>
        </w:rPr>
        <w:lastRenderedPageBreak/>
        <w:t xml:space="preserve">Observation </w:t>
      </w:r>
      <w:r w:rsidR="00754652" w:rsidRPr="00EC1AF5">
        <w:rPr>
          <w:b/>
          <w:lang w:val="en-US"/>
        </w:rPr>
        <w:t>1</w:t>
      </w:r>
      <w:r w:rsidRPr="00EC1AF5">
        <w:rPr>
          <w:b/>
          <w:lang w:val="en-US"/>
        </w:rPr>
        <w:t xml:space="preserve">: NR satisfies the area traffic capacity in indoor hotspot-eMBB configuration B when assumed channel bandwidth is </w:t>
      </w:r>
      <w:r w:rsidR="00CA43E2" w:rsidRPr="00EC1AF5">
        <w:rPr>
          <w:b/>
          <w:lang w:val="en-US"/>
        </w:rPr>
        <w:t xml:space="preserve">800 </w:t>
      </w:r>
      <w:r w:rsidRPr="00EC1AF5">
        <w:rPr>
          <w:b/>
          <w:lang w:val="en-US"/>
        </w:rPr>
        <w:t>MHz.</w:t>
      </w:r>
    </w:p>
    <w:p w14:paraId="681829BB" w14:textId="77777777" w:rsidR="00DC6F53" w:rsidRPr="004266BD" w:rsidRDefault="00DC6F53" w:rsidP="00DC6F53">
      <w:pPr>
        <w:pStyle w:val="10"/>
        <w:adjustRightInd w:val="0"/>
        <w:spacing w:before="100" w:beforeAutospacing="1" w:afterLines="0" w:afterAutospacing="1"/>
        <w:rPr>
          <w:rStyle w:val="af5"/>
          <w:bCs w:val="0"/>
          <w:lang w:val="en-US"/>
        </w:rPr>
      </w:pPr>
      <w:r w:rsidRPr="004266BD">
        <w:rPr>
          <w:lang w:val="en-US"/>
        </w:rPr>
        <w:t>References</w:t>
      </w:r>
    </w:p>
    <w:p w14:paraId="155C4048" w14:textId="16E85CF0" w:rsidR="00053ABC" w:rsidRDefault="00063F30" w:rsidP="00DC6F53">
      <w:pPr>
        <w:pStyle w:val="textintend2"/>
        <w:widowControl w:val="0"/>
        <w:numPr>
          <w:ilvl w:val="0"/>
          <w:numId w:val="11"/>
        </w:numPr>
        <w:snapToGrid w:val="0"/>
        <w:spacing w:after="0"/>
        <w:ind w:left="720" w:hanging="720"/>
        <w:rPr>
          <w:szCs w:val="24"/>
        </w:rPr>
      </w:pPr>
      <w:r>
        <w:rPr>
          <w:szCs w:val="24"/>
        </w:rPr>
        <w:t xml:space="preserve">ITU-R </w:t>
      </w:r>
      <w:r w:rsidRPr="00E74DDC">
        <w:rPr>
          <w:szCs w:val="24"/>
        </w:rPr>
        <w:t>M</w:t>
      </w:r>
      <w:r>
        <w:rPr>
          <w:szCs w:val="24"/>
        </w:rPr>
        <w:t>2412-0,</w:t>
      </w:r>
      <w:r w:rsidRPr="007F6C35">
        <w:rPr>
          <w:szCs w:val="24"/>
        </w:rPr>
        <w:t xml:space="preserve"> </w:t>
      </w:r>
      <w:r w:rsidRPr="00E74DDC">
        <w:rPr>
          <w:szCs w:val="24"/>
        </w:rPr>
        <w:t>“Guidelines for evaluation of radio interface technologies for IMT-2020”</w:t>
      </w:r>
      <w:r>
        <w:rPr>
          <w:szCs w:val="24"/>
        </w:rPr>
        <w:t>, Oct. 2017.</w:t>
      </w:r>
    </w:p>
    <w:p w14:paraId="579A6E20" w14:textId="42F6665E" w:rsidR="00063F30" w:rsidRDefault="00063F30" w:rsidP="00053ABC">
      <w:pPr>
        <w:pStyle w:val="textintend2"/>
        <w:widowControl w:val="0"/>
        <w:numPr>
          <w:ilvl w:val="0"/>
          <w:numId w:val="11"/>
        </w:numPr>
        <w:snapToGrid w:val="0"/>
        <w:spacing w:after="0"/>
        <w:ind w:left="720" w:hanging="720"/>
        <w:rPr>
          <w:szCs w:val="24"/>
        </w:rPr>
      </w:pPr>
      <w:r>
        <w:rPr>
          <w:szCs w:val="24"/>
        </w:rPr>
        <w:t>ITU-R M2410-0, “Minimum requirements related to technical performance for IMT-2020 radio interface(s)”, Nov. 2017</w:t>
      </w:r>
      <w:r>
        <w:rPr>
          <w:szCs w:val="24"/>
          <w:lang w:eastAsia="ja-JP"/>
        </w:rPr>
        <w:t>.</w:t>
      </w:r>
    </w:p>
    <w:p w14:paraId="251635E3" w14:textId="5A6B2824" w:rsidR="0086035D" w:rsidRDefault="0086035D" w:rsidP="00053ABC">
      <w:pPr>
        <w:pStyle w:val="textintend2"/>
        <w:widowControl w:val="0"/>
        <w:numPr>
          <w:ilvl w:val="0"/>
          <w:numId w:val="11"/>
        </w:numPr>
        <w:snapToGrid w:val="0"/>
        <w:spacing w:after="0"/>
        <w:ind w:left="720" w:hanging="720"/>
        <w:rPr>
          <w:szCs w:val="24"/>
        </w:rPr>
      </w:pPr>
      <w:r>
        <w:rPr>
          <w:szCs w:val="24"/>
          <w:lang w:eastAsia="ja-JP"/>
        </w:rPr>
        <w:t>R</w:t>
      </w:r>
      <w:r>
        <w:rPr>
          <w:rFonts w:hint="eastAsia"/>
          <w:szCs w:val="24"/>
          <w:lang w:eastAsia="ja-JP"/>
        </w:rPr>
        <w:t>1-</w:t>
      </w:r>
      <w:r w:rsidR="00F43379">
        <w:rPr>
          <w:rFonts w:hint="eastAsia"/>
          <w:szCs w:val="24"/>
          <w:lang w:eastAsia="ja-JP"/>
        </w:rPr>
        <w:t>18</w:t>
      </w:r>
      <w:r w:rsidR="00F43379">
        <w:rPr>
          <w:szCs w:val="24"/>
          <w:lang w:eastAsia="ja-JP"/>
        </w:rPr>
        <w:t>1115</w:t>
      </w:r>
      <w:r w:rsidR="009611C4">
        <w:rPr>
          <w:szCs w:val="24"/>
          <w:lang w:eastAsia="ja-JP"/>
        </w:rPr>
        <w:t>7</w:t>
      </w:r>
      <w:r>
        <w:rPr>
          <w:szCs w:val="24"/>
          <w:lang w:eastAsia="ja-JP"/>
        </w:rPr>
        <w:t>, “</w:t>
      </w:r>
      <w:r w:rsidRPr="001E2600">
        <w:rPr>
          <w:szCs w:val="24"/>
          <w:lang w:eastAsia="ja-JP"/>
        </w:rPr>
        <w:t xml:space="preserve">Evaluation Results of </w:t>
      </w:r>
      <w:r w:rsidR="00F43379">
        <w:rPr>
          <w:szCs w:val="24"/>
          <w:lang w:eastAsia="ja-JP"/>
        </w:rPr>
        <w:t>S</w:t>
      </w:r>
      <w:r w:rsidR="00F43379" w:rsidRPr="001E2600">
        <w:rPr>
          <w:szCs w:val="24"/>
          <w:lang w:eastAsia="ja-JP"/>
        </w:rPr>
        <w:t xml:space="preserve">pectral </w:t>
      </w:r>
      <w:r w:rsidRPr="001E2600">
        <w:rPr>
          <w:szCs w:val="24"/>
          <w:lang w:eastAsia="ja-JP"/>
        </w:rPr>
        <w:t>efficiency in InH eMBB for IMT-2020 self-evaluation</w:t>
      </w:r>
      <w:r>
        <w:rPr>
          <w:szCs w:val="24"/>
          <w:lang w:eastAsia="ja-JP"/>
        </w:rPr>
        <w:t>”</w:t>
      </w:r>
      <w:r w:rsidR="00D90667">
        <w:rPr>
          <w:szCs w:val="24"/>
          <w:lang w:eastAsia="ja-JP"/>
        </w:rPr>
        <w:t>,</w:t>
      </w:r>
      <w:r>
        <w:rPr>
          <w:szCs w:val="24"/>
          <w:lang w:eastAsia="ja-JP"/>
        </w:rPr>
        <w:t xml:space="preserve"> sharp, 3GPP TSG RAN WG1 Meeting #94bis, Oct. 2018.</w:t>
      </w:r>
    </w:p>
    <w:p w14:paraId="3E31BE32" w14:textId="77777777" w:rsidR="00DC6F53" w:rsidRDefault="00DC6F53" w:rsidP="00EF4161">
      <w:pPr>
        <w:rPr>
          <w:lang w:val="en-US"/>
        </w:rPr>
      </w:pPr>
    </w:p>
    <w:sectPr w:rsidR="00DC6F5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D08EC" w14:textId="77777777" w:rsidR="00D24C03" w:rsidRDefault="00D24C03">
      <w:r>
        <w:separator/>
      </w:r>
    </w:p>
  </w:endnote>
  <w:endnote w:type="continuationSeparator" w:id="0">
    <w:p w14:paraId="680FE205" w14:textId="77777777" w:rsidR="00D24C03" w:rsidRDefault="00D24C03">
      <w:r>
        <w:continuationSeparator/>
      </w:r>
    </w:p>
  </w:endnote>
  <w:endnote w:type="continuationNotice" w:id="1">
    <w:p w14:paraId="05774826" w14:textId="77777777" w:rsidR="00D24C03" w:rsidRDefault="00D24C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3C3F6D" w:rsidRDefault="003C3F6D">
    <w:pPr>
      <w:pStyle w:val="ad"/>
      <w:jc w:val="center"/>
    </w:pPr>
    <w:r>
      <w:rPr>
        <w:b/>
        <w:szCs w:val="24"/>
      </w:rPr>
      <w:fldChar w:fldCharType="begin"/>
    </w:r>
    <w:r>
      <w:rPr>
        <w:b/>
      </w:rPr>
      <w:instrText>PAGE</w:instrText>
    </w:r>
    <w:r>
      <w:rPr>
        <w:b/>
        <w:szCs w:val="24"/>
      </w:rPr>
      <w:fldChar w:fldCharType="separate"/>
    </w:r>
    <w:r w:rsidR="00290DDC">
      <w:rPr>
        <w:b/>
        <w:noProof/>
      </w:rPr>
      <w:t>1</w:t>
    </w:r>
    <w:r>
      <w:rPr>
        <w:b/>
        <w:szCs w:val="24"/>
      </w:rPr>
      <w:fldChar w:fldCharType="end"/>
    </w:r>
  </w:p>
  <w:p w14:paraId="70645756" w14:textId="77777777" w:rsidR="003C3F6D" w:rsidRDefault="003C3F6D">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08FC5" w14:textId="77777777" w:rsidR="00D24C03" w:rsidRDefault="00D24C03">
      <w:r>
        <w:separator/>
      </w:r>
    </w:p>
  </w:footnote>
  <w:footnote w:type="continuationSeparator" w:id="0">
    <w:p w14:paraId="1A91F988" w14:textId="77777777" w:rsidR="00D24C03" w:rsidRDefault="00D24C03">
      <w:r>
        <w:continuationSeparator/>
      </w:r>
    </w:p>
  </w:footnote>
  <w:footnote w:type="continuationNotice" w:id="1">
    <w:p w14:paraId="4848ED04" w14:textId="77777777" w:rsidR="00D24C03" w:rsidRDefault="00D24C0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86526DC"/>
    <w:multiLevelType w:val="hybridMultilevel"/>
    <w:tmpl w:val="E70E9D20"/>
    <w:lvl w:ilvl="0" w:tplc="5A1439B6">
      <w:start w:val="1"/>
      <w:numFmt w:val="bullet"/>
      <w:lvlText w:val=""/>
      <w:lvlJc w:val="left"/>
      <w:pPr>
        <w:tabs>
          <w:tab w:val="num" w:pos="720"/>
        </w:tabs>
        <w:ind w:left="720" w:hanging="360"/>
      </w:pPr>
      <w:rPr>
        <w:rFonts w:ascii="Symbol" w:hAnsi="Symbol" w:hint="default"/>
      </w:rPr>
    </w:lvl>
    <w:lvl w:ilvl="1" w:tplc="5D68E1D6">
      <w:start w:val="260"/>
      <w:numFmt w:val="bullet"/>
      <w:lvlText w:val="•"/>
      <w:lvlJc w:val="left"/>
      <w:pPr>
        <w:tabs>
          <w:tab w:val="num" w:pos="1440"/>
        </w:tabs>
        <w:ind w:left="1440" w:hanging="360"/>
      </w:pPr>
      <w:rPr>
        <w:rFonts w:ascii="Arial" w:hAnsi="Arial" w:hint="default"/>
      </w:rPr>
    </w:lvl>
    <w:lvl w:ilvl="2" w:tplc="5D3C3242">
      <w:start w:val="260"/>
      <w:numFmt w:val="bullet"/>
      <w:lvlText w:val="•"/>
      <w:lvlJc w:val="left"/>
      <w:pPr>
        <w:tabs>
          <w:tab w:val="num" w:pos="2160"/>
        </w:tabs>
        <w:ind w:left="2160" w:hanging="360"/>
      </w:pPr>
      <w:rPr>
        <w:rFonts w:ascii="Arial" w:hAnsi="Arial" w:hint="default"/>
      </w:rPr>
    </w:lvl>
    <w:lvl w:ilvl="3" w:tplc="7DC08C8C" w:tentative="1">
      <w:start w:val="1"/>
      <w:numFmt w:val="bullet"/>
      <w:lvlText w:val=""/>
      <w:lvlJc w:val="left"/>
      <w:pPr>
        <w:tabs>
          <w:tab w:val="num" w:pos="2880"/>
        </w:tabs>
        <w:ind w:left="2880" w:hanging="360"/>
      </w:pPr>
      <w:rPr>
        <w:rFonts w:ascii="Symbol" w:hAnsi="Symbol" w:hint="default"/>
      </w:rPr>
    </w:lvl>
    <w:lvl w:ilvl="4" w:tplc="4A2279AE" w:tentative="1">
      <w:start w:val="1"/>
      <w:numFmt w:val="bullet"/>
      <w:lvlText w:val=""/>
      <w:lvlJc w:val="left"/>
      <w:pPr>
        <w:tabs>
          <w:tab w:val="num" w:pos="3600"/>
        </w:tabs>
        <w:ind w:left="3600" w:hanging="360"/>
      </w:pPr>
      <w:rPr>
        <w:rFonts w:ascii="Symbol" w:hAnsi="Symbol" w:hint="default"/>
      </w:rPr>
    </w:lvl>
    <w:lvl w:ilvl="5" w:tplc="684A6E50" w:tentative="1">
      <w:start w:val="1"/>
      <w:numFmt w:val="bullet"/>
      <w:lvlText w:val=""/>
      <w:lvlJc w:val="left"/>
      <w:pPr>
        <w:tabs>
          <w:tab w:val="num" w:pos="4320"/>
        </w:tabs>
        <w:ind w:left="4320" w:hanging="360"/>
      </w:pPr>
      <w:rPr>
        <w:rFonts w:ascii="Symbol" w:hAnsi="Symbol" w:hint="default"/>
      </w:rPr>
    </w:lvl>
    <w:lvl w:ilvl="6" w:tplc="5F48EBF6" w:tentative="1">
      <w:start w:val="1"/>
      <w:numFmt w:val="bullet"/>
      <w:lvlText w:val=""/>
      <w:lvlJc w:val="left"/>
      <w:pPr>
        <w:tabs>
          <w:tab w:val="num" w:pos="5040"/>
        </w:tabs>
        <w:ind w:left="5040" w:hanging="360"/>
      </w:pPr>
      <w:rPr>
        <w:rFonts w:ascii="Symbol" w:hAnsi="Symbol" w:hint="default"/>
      </w:rPr>
    </w:lvl>
    <w:lvl w:ilvl="7" w:tplc="05388056" w:tentative="1">
      <w:start w:val="1"/>
      <w:numFmt w:val="bullet"/>
      <w:lvlText w:val=""/>
      <w:lvlJc w:val="left"/>
      <w:pPr>
        <w:tabs>
          <w:tab w:val="num" w:pos="5760"/>
        </w:tabs>
        <w:ind w:left="5760" w:hanging="360"/>
      </w:pPr>
      <w:rPr>
        <w:rFonts w:ascii="Symbol" w:hAnsi="Symbol" w:hint="default"/>
      </w:rPr>
    </w:lvl>
    <w:lvl w:ilvl="8" w:tplc="066CAE0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0"/>
  </w:num>
  <w:num w:numId="6">
    <w:abstractNumId w:val="21"/>
  </w:num>
  <w:num w:numId="7">
    <w:abstractNumId w:val="18"/>
  </w:num>
  <w:num w:numId="8">
    <w:abstractNumId w:val="0"/>
  </w:num>
  <w:num w:numId="9">
    <w:abstractNumId w:val="36"/>
  </w:num>
  <w:num w:numId="10">
    <w:abstractNumId w:val="14"/>
  </w:num>
  <w:num w:numId="11">
    <w:abstractNumId w:val="16"/>
  </w:num>
  <w:num w:numId="12">
    <w:abstractNumId w:val="37"/>
  </w:num>
  <w:num w:numId="13">
    <w:abstractNumId w:val="15"/>
  </w:num>
  <w:num w:numId="14">
    <w:abstractNumId w:val="17"/>
  </w:num>
  <w:num w:numId="15">
    <w:abstractNumId w:val="33"/>
  </w:num>
  <w:num w:numId="16">
    <w:abstractNumId w:val="32"/>
  </w:num>
  <w:num w:numId="17">
    <w:abstractNumId w:val="12"/>
  </w:num>
  <w:num w:numId="18">
    <w:abstractNumId w:val="22"/>
  </w:num>
  <w:num w:numId="19">
    <w:abstractNumId w:val="6"/>
  </w:num>
  <w:num w:numId="20">
    <w:abstractNumId w:val="31"/>
  </w:num>
  <w:num w:numId="21">
    <w:abstractNumId w:val="5"/>
  </w:num>
  <w:num w:numId="22">
    <w:abstractNumId w:val="2"/>
  </w:num>
  <w:num w:numId="23">
    <w:abstractNumId w:val="23"/>
  </w:num>
  <w:num w:numId="24">
    <w:abstractNumId w:val="25"/>
  </w:num>
  <w:num w:numId="25">
    <w:abstractNumId w:val="3"/>
  </w:num>
  <w:num w:numId="26">
    <w:abstractNumId w:val="13"/>
  </w:num>
  <w:num w:numId="27">
    <w:abstractNumId w:val="4"/>
  </w:num>
  <w:num w:numId="28">
    <w:abstractNumId w:val="9"/>
  </w:num>
  <w:num w:numId="29">
    <w:abstractNumId w:val="8"/>
  </w:num>
  <w:num w:numId="30">
    <w:abstractNumId w:val="19"/>
  </w:num>
  <w:num w:numId="31">
    <w:abstractNumId w:val="27"/>
  </w:num>
  <w:num w:numId="32">
    <w:abstractNumId w:val="24"/>
  </w:num>
  <w:num w:numId="33">
    <w:abstractNumId w:val="10"/>
  </w:num>
  <w:num w:numId="34">
    <w:abstractNumId w:val="28"/>
  </w:num>
  <w:num w:numId="35">
    <w:abstractNumId w:val="26"/>
  </w:num>
  <w:num w:numId="36">
    <w:abstractNumId w:val="11"/>
  </w:num>
  <w:num w:numId="37">
    <w:abstractNumId w:val="30"/>
  </w:num>
  <w:num w:numId="38">
    <w:abstractNumId w:val="7"/>
  </w:num>
  <w:num w:numId="39">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07E"/>
    <w:rsid w:val="000011B6"/>
    <w:rsid w:val="000011BB"/>
    <w:rsid w:val="0000127B"/>
    <w:rsid w:val="00001AE5"/>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26D3"/>
    <w:rsid w:val="00014528"/>
    <w:rsid w:val="00014DFE"/>
    <w:rsid w:val="00014E62"/>
    <w:rsid w:val="00015075"/>
    <w:rsid w:val="00016A3C"/>
    <w:rsid w:val="00016BA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3FF"/>
    <w:rsid w:val="00034798"/>
    <w:rsid w:val="000347D2"/>
    <w:rsid w:val="00034948"/>
    <w:rsid w:val="00034A31"/>
    <w:rsid w:val="000356EC"/>
    <w:rsid w:val="00036189"/>
    <w:rsid w:val="00037050"/>
    <w:rsid w:val="00040145"/>
    <w:rsid w:val="0004029F"/>
    <w:rsid w:val="00040520"/>
    <w:rsid w:val="000405DD"/>
    <w:rsid w:val="000416C8"/>
    <w:rsid w:val="00042102"/>
    <w:rsid w:val="00042697"/>
    <w:rsid w:val="000428EC"/>
    <w:rsid w:val="00042C5C"/>
    <w:rsid w:val="00042EB2"/>
    <w:rsid w:val="00043005"/>
    <w:rsid w:val="0004309C"/>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AB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3F30"/>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2D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95D"/>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148"/>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D3B"/>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1B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600"/>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25F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AC6"/>
    <w:rsid w:val="00216C40"/>
    <w:rsid w:val="00217433"/>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0DDC"/>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AF0"/>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B7DFB"/>
    <w:rsid w:val="002C0138"/>
    <w:rsid w:val="002C0201"/>
    <w:rsid w:val="002C0220"/>
    <w:rsid w:val="002C0877"/>
    <w:rsid w:val="002C0CAA"/>
    <w:rsid w:val="002C0E94"/>
    <w:rsid w:val="002C13D4"/>
    <w:rsid w:val="002C14AF"/>
    <w:rsid w:val="002C1AA4"/>
    <w:rsid w:val="002C223C"/>
    <w:rsid w:val="002C2432"/>
    <w:rsid w:val="002C2478"/>
    <w:rsid w:val="002C2D6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21A"/>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42B"/>
    <w:rsid w:val="0030454B"/>
    <w:rsid w:val="003055E9"/>
    <w:rsid w:val="003063DE"/>
    <w:rsid w:val="00306945"/>
    <w:rsid w:val="00306C4C"/>
    <w:rsid w:val="003107E9"/>
    <w:rsid w:val="00310C71"/>
    <w:rsid w:val="00310FED"/>
    <w:rsid w:val="00311470"/>
    <w:rsid w:val="00311ABB"/>
    <w:rsid w:val="00312233"/>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0CB1"/>
    <w:rsid w:val="00331528"/>
    <w:rsid w:val="00331819"/>
    <w:rsid w:val="00331932"/>
    <w:rsid w:val="00331AFC"/>
    <w:rsid w:val="00331E96"/>
    <w:rsid w:val="0033235A"/>
    <w:rsid w:val="003335DF"/>
    <w:rsid w:val="00333805"/>
    <w:rsid w:val="00333DA7"/>
    <w:rsid w:val="00333EB3"/>
    <w:rsid w:val="00334189"/>
    <w:rsid w:val="00334724"/>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B1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3BD7"/>
    <w:rsid w:val="00354589"/>
    <w:rsid w:val="00356268"/>
    <w:rsid w:val="00356859"/>
    <w:rsid w:val="00357315"/>
    <w:rsid w:val="0035795B"/>
    <w:rsid w:val="00357D0A"/>
    <w:rsid w:val="003601C7"/>
    <w:rsid w:val="003613B8"/>
    <w:rsid w:val="0036152D"/>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84C"/>
    <w:rsid w:val="00381A21"/>
    <w:rsid w:val="00381F94"/>
    <w:rsid w:val="00381FC1"/>
    <w:rsid w:val="00382F01"/>
    <w:rsid w:val="003833DA"/>
    <w:rsid w:val="0038378D"/>
    <w:rsid w:val="00383A47"/>
    <w:rsid w:val="00383C24"/>
    <w:rsid w:val="00384394"/>
    <w:rsid w:val="003843BC"/>
    <w:rsid w:val="00384BD1"/>
    <w:rsid w:val="003869C1"/>
    <w:rsid w:val="003869DD"/>
    <w:rsid w:val="00386FD4"/>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464"/>
    <w:rsid w:val="003B09BF"/>
    <w:rsid w:val="003B115D"/>
    <w:rsid w:val="003B11C5"/>
    <w:rsid w:val="003B1356"/>
    <w:rsid w:val="003B1604"/>
    <w:rsid w:val="003B2F49"/>
    <w:rsid w:val="003B2F60"/>
    <w:rsid w:val="003B30D7"/>
    <w:rsid w:val="003B32AB"/>
    <w:rsid w:val="003B335B"/>
    <w:rsid w:val="003B37EC"/>
    <w:rsid w:val="003B3AAD"/>
    <w:rsid w:val="003B3D6B"/>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3F6D"/>
    <w:rsid w:val="003C4131"/>
    <w:rsid w:val="003C4315"/>
    <w:rsid w:val="003C46E5"/>
    <w:rsid w:val="003C4DEC"/>
    <w:rsid w:val="003C51DD"/>
    <w:rsid w:val="003C5A02"/>
    <w:rsid w:val="003C5AA0"/>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167D"/>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AC9"/>
    <w:rsid w:val="00405E18"/>
    <w:rsid w:val="00405E44"/>
    <w:rsid w:val="00405FD1"/>
    <w:rsid w:val="00406199"/>
    <w:rsid w:val="004065DA"/>
    <w:rsid w:val="004066A1"/>
    <w:rsid w:val="00406ED9"/>
    <w:rsid w:val="0040786F"/>
    <w:rsid w:val="0040796E"/>
    <w:rsid w:val="00407CB7"/>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17405"/>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075"/>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6F57"/>
    <w:rsid w:val="00460D1E"/>
    <w:rsid w:val="00460D6D"/>
    <w:rsid w:val="00461474"/>
    <w:rsid w:val="00461486"/>
    <w:rsid w:val="0046255A"/>
    <w:rsid w:val="00462D95"/>
    <w:rsid w:val="00462E40"/>
    <w:rsid w:val="00462F57"/>
    <w:rsid w:val="00463996"/>
    <w:rsid w:val="00463F4A"/>
    <w:rsid w:val="0046426A"/>
    <w:rsid w:val="00464657"/>
    <w:rsid w:val="00464921"/>
    <w:rsid w:val="00464BD5"/>
    <w:rsid w:val="00464E57"/>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151A"/>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22D"/>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4D8"/>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25F"/>
    <w:rsid w:val="005253D9"/>
    <w:rsid w:val="005254E5"/>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070B"/>
    <w:rsid w:val="005507C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136"/>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77E5B"/>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1CFC"/>
    <w:rsid w:val="00592649"/>
    <w:rsid w:val="005939A2"/>
    <w:rsid w:val="00593F55"/>
    <w:rsid w:val="0059401C"/>
    <w:rsid w:val="005941E4"/>
    <w:rsid w:val="00594BAF"/>
    <w:rsid w:val="0059517C"/>
    <w:rsid w:val="00595516"/>
    <w:rsid w:val="00595D75"/>
    <w:rsid w:val="005960F6"/>
    <w:rsid w:val="00597E6F"/>
    <w:rsid w:val="005A092A"/>
    <w:rsid w:val="005A0A95"/>
    <w:rsid w:val="005A0ABC"/>
    <w:rsid w:val="005A0FF1"/>
    <w:rsid w:val="005A108A"/>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25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9FA"/>
    <w:rsid w:val="006146F1"/>
    <w:rsid w:val="00614D55"/>
    <w:rsid w:val="00614DD7"/>
    <w:rsid w:val="0061510C"/>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51"/>
    <w:rsid w:val="0065424E"/>
    <w:rsid w:val="00654313"/>
    <w:rsid w:val="00654A5D"/>
    <w:rsid w:val="00654F3F"/>
    <w:rsid w:val="00655686"/>
    <w:rsid w:val="00655BBE"/>
    <w:rsid w:val="00655D02"/>
    <w:rsid w:val="00656624"/>
    <w:rsid w:val="00656F6D"/>
    <w:rsid w:val="00657B32"/>
    <w:rsid w:val="00657B48"/>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D35"/>
    <w:rsid w:val="00670EE3"/>
    <w:rsid w:val="00671011"/>
    <w:rsid w:val="00671420"/>
    <w:rsid w:val="00671DB7"/>
    <w:rsid w:val="00672014"/>
    <w:rsid w:val="006728DA"/>
    <w:rsid w:val="00672B9C"/>
    <w:rsid w:val="00673160"/>
    <w:rsid w:val="00673238"/>
    <w:rsid w:val="00673C37"/>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306C"/>
    <w:rsid w:val="00694345"/>
    <w:rsid w:val="006944CB"/>
    <w:rsid w:val="006945D2"/>
    <w:rsid w:val="00694AC3"/>
    <w:rsid w:val="00694E77"/>
    <w:rsid w:val="0069501B"/>
    <w:rsid w:val="00695CA2"/>
    <w:rsid w:val="00696020"/>
    <w:rsid w:val="0069611B"/>
    <w:rsid w:val="006962DA"/>
    <w:rsid w:val="006964EA"/>
    <w:rsid w:val="006967A0"/>
    <w:rsid w:val="0069799A"/>
    <w:rsid w:val="00697BCD"/>
    <w:rsid w:val="006A017A"/>
    <w:rsid w:val="006A0690"/>
    <w:rsid w:val="006A0991"/>
    <w:rsid w:val="006A1122"/>
    <w:rsid w:val="006A11D9"/>
    <w:rsid w:val="006A260F"/>
    <w:rsid w:val="006A2F53"/>
    <w:rsid w:val="006A30CC"/>
    <w:rsid w:val="006A311B"/>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6CFC"/>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364E"/>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20F"/>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8FA"/>
    <w:rsid w:val="00735ACD"/>
    <w:rsid w:val="00735B4A"/>
    <w:rsid w:val="00736118"/>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1549"/>
    <w:rsid w:val="00752835"/>
    <w:rsid w:val="0075372F"/>
    <w:rsid w:val="00753C24"/>
    <w:rsid w:val="007540A6"/>
    <w:rsid w:val="00754652"/>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5"/>
    <w:rsid w:val="0076189D"/>
    <w:rsid w:val="00761982"/>
    <w:rsid w:val="00761A46"/>
    <w:rsid w:val="0076276A"/>
    <w:rsid w:val="00762A2C"/>
    <w:rsid w:val="00763155"/>
    <w:rsid w:val="00763600"/>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7B5"/>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5EC5"/>
    <w:rsid w:val="00796701"/>
    <w:rsid w:val="0079680A"/>
    <w:rsid w:val="007977B1"/>
    <w:rsid w:val="00797BB7"/>
    <w:rsid w:val="00797D05"/>
    <w:rsid w:val="007A0326"/>
    <w:rsid w:val="007A05B7"/>
    <w:rsid w:val="007A0664"/>
    <w:rsid w:val="007A06A7"/>
    <w:rsid w:val="007A0930"/>
    <w:rsid w:val="007A0B8B"/>
    <w:rsid w:val="007A116E"/>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0DD9"/>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4B91"/>
    <w:rsid w:val="00805BF6"/>
    <w:rsid w:val="00805E11"/>
    <w:rsid w:val="008063F0"/>
    <w:rsid w:val="008065C3"/>
    <w:rsid w:val="00806647"/>
    <w:rsid w:val="00806B4B"/>
    <w:rsid w:val="00807192"/>
    <w:rsid w:val="00807BBB"/>
    <w:rsid w:val="00807CA1"/>
    <w:rsid w:val="008100AC"/>
    <w:rsid w:val="008103B5"/>
    <w:rsid w:val="008105FA"/>
    <w:rsid w:val="0081093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CA2"/>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0D50"/>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5FEE"/>
    <w:rsid w:val="00856062"/>
    <w:rsid w:val="008569BC"/>
    <w:rsid w:val="00856B21"/>
    <w:rsid w:val="00856E46"/>
    <w:rsid w:val="0086016C"/>
    <w:rsid w:val="0086035D"/>
    <w:rsid w:val="00860360"/>
    <w:rsid w:val="00860609"/>
    <w:rsid w:val="008609EE"/>
    <w:rsid w:val="00860CB3"/>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71C0"/>
    <w:rsid w:val="0087109A"/>
    <w:rsid w:val="00871774"/>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4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6DE"/>
    <w:rsid w:val="008B58DC"/>
    <w:rsid w:val="008B5AB0"/>
    <w:rsid w:val="008B6C83"/>
    <w:rsid w:val="008B6D72"/>
    <w:rsid w:val="008B6F10"/>
    <w:rsid w:val="008B7240"/>
    <w:rsid w:val="008B725B"/>
    <w:rsid w:val="008B7FE7"/>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0F2"/>
    <w:rsid w:val="008D6B14"/>
    <w:rsid w:val="008D6C30"/>
    <w:rsid w:val="008D6CAC"/>
    <w:rsid w:val="008D74F4"/>
    <w:rsid w:val="008D7762"/>
    <w:rsid w:val="008E011C"/>
    <w:rsid w:val="008E0947"/>
    <w:rsid w:val="008E0B81"/>
    <w:rsid w:val="008E1089"/>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B60"/>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1C4"/>
    <w:rsid w:val="0096132D"/>
    <w:rsid w:val="00961A0F"/>
    <w:rsid w:val="00961E17"/>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48F"/>
    <w:rsid w:val="00980D93"/>
    <w:rsid w:val="00981155"/>
    <w:rsid w:val="00981FB9"/>
    <w:rsid w:val="0098201C"/>
    <w:rsid w:val="00982BE5"/>
    <w:rsid w:val="00982CC1"/>
    <w:rsid w:val="009835E3"/>
    <w:rsid w:val="00983A0E"/>
    <w:rsid w:val="00983C2E"/>
    <w:rsid w:val="00984B4F"/>
    <w:rsid w:val="0098508B"/>
    <w:rsid w:val="00985EA5"/>
    <w:rsid w:val="00985FF8"/>
    <w:rsid w:val="0098650E"/>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0A"/>
    <w:rsid w:val="009B73A7"/>
    <w:rsid w:val="009B7EA8"/>
    <w:rsid w:val="009B7FEC"/>
    <w:rsid w:val="009C0286"/>
    <w:rsid w:val="009C2050"/>
    <w:rsid w:val="009C27E1"/>
    <w:rsid w:val="009C2E84"/>
    <w:rsid w:val="009C310E"/>
    <w:rsid w:val="009C32A1"/>
    <w:rsid w:val="009C32E0"/>
    <w:rsid w:val="009C34BF"/>
    <w:rsid w:val="009C36D6"/>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DCE"/>
    <w:rsid w:val="009D3EAE"/>
    <w:rsid w:val="009D48C2"/>
    <w:rsid w:val="009D4A93"/>
    <w:rsid w:val="009D53C3"/>
    <w:rsid w:val="009D56E8"/>
    <w:rsid w:val="009D5754"/>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078"/>
    <w:rsid w:val="009E75D5"/>
    <w:rsid w:val="009F0DE7"/>
    <w:rsid w:val="009F145D"/>
    <w:rsid w:val="009F2578"/>
    <w:rsid w:val="009F2F35"/>
    <w:rsid w:val="009F36D7"/>
    <w:rsid w:val="009F4191"/>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5EB"/>
    <w:rsid w:val="00A35747"/>
    <w:rsid w:val="00A35B58"/>
    <w:rsid w:val="00A360A2"/>
    <w:rsid w:val="00A361CA"/>
    <w:rsid w:val="00A374BE"/>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B99"/>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3A3"/>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67AA"/>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26FC0"/>
    <w:rsid w:val="00B30935"/>
    <w:rsid w:val="00B30BCC"/>
    <w:rsid w:val="00B3183B"/>
    <w:rsid w:val="00B327AF"/>
    <w:rsid w:val="00B328C9"/>
    <w:rsid w:val="00B32AE5"/>
    <w:rsid w:val="00B3320D"/>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7C"/>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2AC5"/>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87B88"/>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290"/>
    <w:rsid w:val="00BA1AB9"/>
    <w:rsid w:val="00BA21D0"/>
    <w:rsid w:val="00BA2722"/>
    <w:rsid w:val="00BA2A3A"/>
    <w:rsid w:val="00BA3CDD"/>
    <w:rsid w:val="00BA3D43"/>
    <w:rsid w:val="00BA451C"/>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253"/>
    <w:rsid w:val="00BB282D"/>
    <w:rsid w:val="00BB2946"/>
    <w:rsid w:val="00BB2DC7"/>
    <w:rsid w:val="00BB30F7"/>
    <w:rsid w:val="00BB3798"/>
    <w:rsid w:val="00BB3A1E"/>
    <w:rsid w:val="00BB3F98"/>
    <w:rsid w:val="00BB4952"/>
    <w:rsid w:val="00BB56C2"/>
    <w:rsid w:val="00BB660D"/>
    <w:rsid w:val="00BB69CF"/>
    <w:rsid w:val="00BB703C"/>
    <w:rsid w:val="00BB7501"/>
    <w:rsid w:val="00BB76C4"/>
    <w:rsid w:val="00BB799B"/>
    <w:rsid w:val="00BC0052"/>
    <w:rsid w:val="00BC0497"/>
    <w:rsid w:val="00BC0BF9"/>
    <w:rsid w:val="00BC0DA1"/>
    <w:rsid w:val="00BC0E49"/>
    <w:rsid w:val="00BC110B"/>
    <w:rsid w:val="00BC1504"/>
    <w:rsid w:val="00BC1668"/>
    <w:rsid w:val="00BC1826"/>
    <w:rsid w:val="00BC2132"/>
    <w:rsid w:val="00BC21B6"/>
    <w:rsid w:val="00BC23C3"/>
    <w:rsid w:val="00BC26E3"/>
    <w:rsid w:val="00BC2DEE"/>
    <w:rsid w:val="00BC3515"/>
    <w:rsid w:val="00BC3637"/>
    <w:rsid w:val="00BC382F"/>
    <w:rsid w:val="00BC3A7B"/>
    <w:rsid w:val="00BC3BB9"/>
    <w:rsid w:val="00BC3C25"/>
    <w:rsid w:val="00BC3EE7"/>
    <w:rsid w:val="00BC540D"/>
    <w:rsid w:val="00BC5545"/>
    <w:rsid w:val="00BC5D27"/>
    <w:rsid w:val="00BC68FE"/>
    <w:rsid w:val="00BC6ACE"/>
    <w:rsid w:val="00BC78E6"/>
    <w:rsid w:val="00BC78EE"/>
    <w:rsid w:val="00BC7E0F"/>
    <w:rsid w:val="00BD02EF"/>
    <w:rsid w:val="00BD0947"/>
    <w:rsid w:val="00BD17E1"/>
    <w:rsid w:val="00BD1D06"/>
    <w:rsid w:val="00BD1DBB"/>
    <w:rsid w:val="00BD2562"/>
    <w:rsid w:val="00BD28FF"/>
    <w:rsid w:val="00BD301D"/>
    <w:rsid w:val="00BD37CE"/>
    <w:rsid w:val="00BD38FB"/>
    <w:rsid w:val="00BD3B61"/>
    <w:rsid w:val="00BD46E9"/>
    <w:rsid w:val="00BD4DD3"/>
    <w:rsid w:val="00BD508A"/>
    <w:rsid w:val="00BD5293"/>
    <w:rsid w:val="00BD5BF5"/>
    <w:rsid w:val="00BD6603"/>
    <w:rsid w:val="00BD790F"/>
    <w:rsid w:val="00BE052C"/>
    <w:rsid w:val="00BE1527"/>
    <w:rsid w:val="00BE1B20"/>
    <w:rsid w:val="00BE22B0"/>
    <w:rsid w:val="00BE2ED3"/>
    <w:rsid w:val="00BE31C9"/>
    <w:rsid w:val="00BE39A5"/>
    <w:rsid w:val="00BE3E90"/>
    <w:rsid w:val="00BE3EDC"/>
    <w:rsid w:val="00BE4586"/>
    <w:rsid w:val="00BE48D1"/>
    <w:rsid w:val="00BE574C"/>
    <w:rsid w:val="00BE5BBD"/>
    <w:rsid w:val="00BE6591"/>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AA0"/>
    <w:rsid w:val="00C00C49"/>
    <w:rsid w:val="00C00DE5"/>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4F6"/>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0FAA"/>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27E8"/>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45A"/>
    <w:rsid w:val="00CA0AB7"/>
    <w:rsid w:val="00CA0C27"/>
    <w:rsid w:val="00CA1CF9"/>
    <w:rsid w:val="00CA1E2A"/>
    <w:rsid w:val="00CA1ED4"/>
    <w:rsid w:val="00CA22E0"/>
    <w:rsid w:val="00CA2504"/>
    <w:rsid w:val="00CA285C"/>
    <w:rsid w:val="00CA2C62"/>
    <w:rsid w:val="00CA32A3"/>
    <w:rsid w:val="00CA42F6"/>
    <w:rsid w:val="00CA43E2"/>
    <w:rsid w:val="00CA4D52"/>
    <w:rsid w:val="00CA5070"/>
    <w:rsid w:val="00CA536F"/>
    <w:rsid w:val="00CA633A"/>
    <w:rsid w:val="00CA7DEE"/>
    <w:rsid w:val="00CB08CA"/>
    <w:rsid w:val="00CB0CA0"/>
    <w:rsid w:val="00CB0DF8"/>
    <w:rsid w:val="00CB11CF"/>
    <w:rsid w:val="00CB1353"/>
    <w:rsid w:val="00CB1A83"/>
    <w:rsid w:val="00CB1F39"/>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231"/>
    <w:rsid w:val="00CE5DAE"/>
    <w:rsid w:val="00CE63BF"/>
    <w:rsid w:val="00CE73F2"/>
    <w:rsid w:val="00CE778C"/>
    <w:rsid w:val="00CE78B0"/>
    <w:rsid w:val="00CE7910"/>
    <w:rsid w:val="00CF058D"/>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4C03"/>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2A"/>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6BA5"/>
    <w:rsid w:val="00D878D0"/>
    <w:rsid w:val="00D87A07"/>
    <w:rsid w:val="00D87F43"/>
    <w:rsid w:val="00D90599"/>
    <w:rsid w:val="00D90667"/>
    <w:rsid w:val="00D90EFE"/>
    <w:rsid w:val="00D91054"/>
    <w:rsid w:val="00D915F8"/>
    <w:rsid w:val="00D91664"/>
    <w:rsid w:val="00D91B4D"/>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3CEA"/>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564"/>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BD"/>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1727E"/>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4F63"/>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AE0"/>
    <w:rsid w:val="00E56DE3"/>
    <w:rsid w:val="00E57AAD"/>
    <w:rsid w:val="00E60939"/>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969"/>
    <w:rsid w:val="00E72386"/>
    <w:rsid w:val="00E727C7"/>
    <w:rsid w:val="00E729A6"/>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1AF5"/>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523"/>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379"/>
    <w:rsid w:val="00F43596"/>
    <w:rsid w:val="00F43AD3"/>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A2D"/>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42EE"/>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56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4D7"/>
    <w:rsid w:val="00FE0AAC"/>
    <w:rsid w:val="00FE0BC3"/>
    <w:rsid w:val="00FE13CE"/>
    <w:rsid w:val="00FE1AAE"/>
    <w:rsid w:val="00FE2449"/>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 w:type="paragraph" w:customStyle="1" w:styleId="Equation">
    <w:name w:val="Equation"/>
    <w:aliases w:val="eq"/>
    <w:basedOn w:val="a"/>
    <w:link w:val="EquationeqChar"/>
    <w:rsid w:val="002B7DFB"/>
    <w:pPr>
      <w:tabs>
        <w:tab w:val="left" w:pos="1134"/>
        <w:tab w:val="center" w:pos="4820"/>
        <w:tab w:val="right" w:pos="9639"/>
      </w:tabs>
      <w:overflowPunct w:val="0"/>
      <w:autoSpaceDE w:val="0"/>
      <w:autoSpaceDN w:val="0"/>
      <w:adjustRightInd w:val="0"/>
      <w:snapToGrid/>
      <w:spacing w:before="120" w:after="0" w:afterAutospacing="0"/>
      <w:jc w:val="left"/>
      <w:textAlignment w:val="baseline"/>
    </w:pPr>
    <w:rPr>
      <w:rFonts w:eastAsia="ＭＳ 明朝"/>
      <w:lang w:eastAsia="en-US"/>
    </w:rPr>
  </w:style>
  <w:style w:type="character" w:customStyle="1" w:styleId="EquationeqChar">
    <w:name w:val="Equation.eq Char"/>
    <w:basedOn w:val="a0"/>
    <w:link w:val="Equation"/>
    <w:qFormat/>
    <w:locked/>
    <w:rsid w:val="002B7DFB"/>
    <w:rPr>
      <w:rFonts w:ascii="Times New Roman" w:eastAsia="ＭＳ 明朝" w:hAnsi="Times New Roman"/>
      <w:sz w:val="24"/>
      <w:lang w:val="en-GB" w:eastAsia="en-US"/>
    </w:rPr>
  </w:style>
  <w:style w:type="character" w:styleId="aff7">
    <w:name w:val="Placeholder Text"/>
    <w:basedOn w:val="a0"/>
    <w:uiPriority w:val="99"/>
    <w:semiHidden/>
    <w:rsid w:val="008B56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5AC97-D36D-4059-B478-97FB91EE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350</Words>
  <Characters>1998</Characters>
  <Application>Microsoft Office Word</Application>
  <DocSecurity>0</DocSecurity>
  <Lines>16</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S128585</cp:lastModifiedBy>
  <cp:revision>19</cp:revision>
  <cp:lastPrinted>2018-03-28T07:50:00Z</cp:lastPrinted>
  <dcterms:created xsi:type="dcterms:W3CDTF">2018-09-27T07:28:00Z</dcterms:created>
  <dcterms:modified xsi:type="dcterms:W3CDTF">2018-09-28T06:59:00Z</dcterms:modified>
</cp:coreProperties>
</file>