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EAB5C" w14:textId="224B513F" w:rsidR="000B35E3" w:rsidRDefault="00551F1E" w:rsidP="000B35E3">
      <w:pPr>
        <w:pStyle w:val="Header"/>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6F360B">
        <w:rPr>
          <w:rFonts w:eastAsia="ＭＳ ゴシック" w:cs="Arial" w:hint="eastAsia"/>
          <w:noProof w:val="0"/>
          <w:sz w:val="28"/>
          <w:szCs w:val="28"/>
          <w:lang w:val="en-US"/>
        </w:rPr>
        <w:t>#</w:t>
      </w:r>
      <w:r w:rsidR="00D86B38">
        <w:rPr>
          <w:rFonts w:eastAsia="ＭＳ ゴシック" w:cs="Arial" w:hint="eastAsia"/>
          <w:noProof w:val="0"/>
          <w:sz w:val="28"/>
          <w:szCs w:val="28"/>
          <w:lang w:val="en-US"/>
        </w:rPr>
        <w:t>9</w:t>
      </w:r>
      <w:r w:rsidR="00FF31BD">
        <w:rPr>
          <w:rFonts w:eastAsia="ＭＳ ゴシック" w:cs="Arial"/>
          <w:noProof w:val="0"/>
          <w:sz w:val="28"/>
          <w:szCs w:val="28"/>
          <w:lang w:val="en-US"/>
        </w:rPr>
        <w:t>4</w:t>
      </w:r>
      <w:r w:rsidR="00FF7677">
        <w:rPr>
          <w:rFonts w:eastAsia="ＭＳ ゴシック" w:cs="Arial"/>
          <w:noProof w:val="0"/>
          <w:sz w:val="28"/>
          <w:szCs w:val="28"/>
          <w:lang w:val="en-US"/>
        </w:rPr>
        <w:t>bis</w:t>
      </w:r>
      <w:r w:rsidR="00D86B38">
        <w:rPr>
          <w:rFonts w:eastAsia="ＭＳ ゴシック" w:cs="Arial"/>
          <w:noProof w:val="0"/>
          <w:sz w:val="28"/>
          <w:szCs w:val="28"/>
          <w:lang w:val="en-US"/>
        </w:rPr>
        <w:t xml:space="preserve"> </w:t>
      </w:r>
      <w:r w:rsidR="001C6136" w:rsidRPr="001C6136">
        <w:rPr>
          <w:rFonts w:eastAsia="ＭＳ ゴシック" w:cs="Arial"/>
          <w:noProof w:val="0"/>
          <w:sz w:val="28"/>
          <w:szCs w:val="28"/>
          <w:lang w:val="en-US"/>
        </w:rPr>
        <w:t>Meeting</w:t>
      </w:r>
      <w:r w:rsidR="000B35E3">
        <w:rPr>
          <w:rFonts w:eastAsia="ＭＳ ゴシック" w:cs="Arial"/>
          <w:noProof w:val="0"/>
          <w:sz w:val="28"/>
          <w:szCs w:val="28"/>
          <w:lang w:val="en-US"/>
        </w:rPr>
        <w:tab/>
      </w:r>
      <w:r w:rsidR="00EA3779" w:rsidRPr="00EA3779">
        <w:rPr>
          <w:rFonts w:eastAsia="ＭＳ ゴシック" w:cs="Arial"/>
          <w:iCs/>
          <w:noProof w:val="0"/>
          <w:sz w:val="28"/>
          <w:szCs w:val="28"/>
          <w:lang w:val="en-US"/>
        </w:rPr>
        <w:t>R1-</w:t>
      </w:r>
      <w:r w:rsidR="00D86B38" w:rsidRPr="00EA3779">
        <w:rPr>
          <w:rFonts w:eastAsia="ＭＳ ゴシック" w:cs="Arial"/>
          <w:iCs/>
          <w:noProof w:val="0"/>
          <w:sz w:val="28"/>
          <w:szCs w:val="28"/>
          <w:lang w:val="en-US"/>
        </w:rPr>
        <w:t>18</w:t>
      </w:r>
      <w:r w:rsidR="00CC07BF">
        <w:rPr>
          <w:rFonts w:eastAsia="ＭＳ ゴシック" w:cs="Arial"/>
          <w:iCs/>
          <w:noProof w:val="0"/>
          <w:sz w:val="28"/>
          <w:szCs w:val="28"/>
          <w:lang w:val="en-US"/>
        </w:rPr>
        <w:t>1</w:t>
      </w:r>
      <w:r w:rsidR="00827250">
        <w:rPr>
          <w:rFonts w:eastAsia="ＭＳ ゴシック" w:cs="Arial"/>
          <w:iCs/>
          <w:noProof w:val="0"/>
          <w:sz w:val="28"/>
          <w:szCs w:val="28"/>
          <w:lang w:val="en-US"/>
        </w:rPr>
        <w:t>1154</w:t>
      </w:r>
    </w:p>
    <w:p w14:paraId="167E3101" w14:textId="05769232" w:rsidR="00004B52" w:rsidRPr="0014090F" w:rsidRDefault="00FF7677" w:rsidP="000B35E3">
      <w:pPr>
        <w:pStyle w:val="Header"/>
        <w:tabs>
          <w:tab w:val="right" w:pos="9072"/>
          <w:tab w:val="right" w:pos="10206"/>
        </w:tabs>
        <w:spacing w:after="0" w:afterAutospacing="0"/>
        <w:rPr>
          <w:rFonts w:eastAsia="SimSun" w:cs="Arial"/>
          <w:noProof w:val="0"/>
          <w:sz w:val="28"/>
          <w:szCs w:val="28"/>
          <w:lang w:val="en-US" w:eastAsia="zh-CN"/>
        </w:rPr>
      </w:pPr>
      <w:r>
        <w:rPr>
          <w:rFonts w:cs="Arial"/>
          <w:bCs/>
          <w:sz w:val="28"/>
        </w:rPr>
        <w:t>Chengdu, China, October 8</w:t>
      </w:r>
      <w:r w:rsidRPr="007043DB">
        <w:rPr>
          <w:rFonts w:cs="Arial"/>
          <w:bCs/>
          <w:sz w:val="28"/>
          <w:vertAlign w:val="superscript"/>
        </w:rPr>
        <w:t>th</w:t>
      </w:r>
      <w:r>
        <w:rPr>
          <w:rFonts w:cs="Arial"/>
          <w:bCs/>
          <w:sz w:val="28"/>
        </w:rPr>
        <w:t xml:space="preserve"> – 12</w:t>
      </w:r>
      <w:r w:rsidRPr="007043DB">
        <w:rPr>
          <w:rFonts w:cs="Arial"/>
          <w:bCs/>
          <w:sz w:val="28"/>
          <w:vertAlign w:val="superscript"/>
        </w:rPr>
        <w:t>th</w:t>
      </w:r>
      <w:r>
        <w:rPr>
          <w:rFonts w:cs="Arial"/>
          <w:bCs/>
          <w:sz w:val="28"/>
        </w:rPr>
        <w:t>, 2018</w:t>
      </w:r>
    </w:p>
    <w:p w14:paraId="022AB4EE" w14:textId="77777777" w:rsidR="00004B52" w:rsidRPr="0014090F" w:rsidRDefault="00004B52" w:rsidP="0060799C">
      <w:pPr>
        <w:pStyle w:val="Header"/>
        <w:tabs>
          <w:tab w:val="right" w:pos="10206"/>
        </w:tabs>
        <w:spacing w:after="0" w:afterAutospacing="0"/>
        <w:rPr>
          <w:rFonts w:eastAsia="ＭＳ ゴシック" w:cs="Arial"/>
          <w:noProof w:val="0"/>
          <w:sz w:val="28"/>
          <w:szCs w:val="28"/>
          <w:lang w:val="en-US"/>
        </w:rPr>
      </w:pPr>
    </w:p>
    <w:p w14:paraId="3B6BBF77" w14:textId="61D5091B" w:rsidR="00004B52" w:rsidRPr="0014090F"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MS Mincho" w:hAnsi="Arial" w:cs="Arial"/>
          <w:b/>
          <w:sz w:val="28"/>
          <w:szCs w:val="28"/>
          <w:lang w:val="en-US"/>
        </w:rPr>
        <w:t>harp</w:t>
      </w:r>
    </w:p>
    <w:p w14:paraId="2F9D0A21" w14:textId="0382D9D2" w:rsidR="00004B52" w:rsidRPr="0014090F" w:rsidRDefault="00004B52" w:rsidP="0060799C">
      <w:pPr>
        <w:spacing w:after="0" w:afterAutospacing="0"/>
        <w:ind w:left="1985" w:hangingChars="706" w:hanging="1985"/>
        <w:rPr>
          <w:rFonts w:ascii="Arial" w:eastAsia="MS Mincho"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827250" w:rsidRPr="00827250">
        <w:rPr>
          <w:rFonts w:ascii="Arial" w:hAnsi="Arial" w:cs="Arial"/>
          <w:b/>
          <w:sz w:val="28"/>
          <w:szCs w:val="28"/>
          <w:lang w:val="en-US"/>
        </w:rPr>
        <w:t>Views on resource allocation for NR V2X</w:t>
      </w:r>
    </w:p>
    <w:p w14:paraId="369A72EC" w14:textId="2CEA4D25"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F10DB5">
        <w:rPr>
          <w:rFonts w:ascii="Arial" w:hAnsi="Arial" w:cs="Arial"/>
          <w:b/>
          <w:sz w:val="28"/>
          <w:szCs w:val="28"/>
          <w:lang w:val="en-US"/>
        </w:rPr>
        <w:t>7.</w:t>
      </w:r>
      <w:r w:rsidR="00194686">
        <w:rPr>
          <w:rFonts w:ascii="Arial" w:hAnsi="Arial" w:cs="Arial"/>
          <w:b/>
          <w:sz w:val="28"/>
          <w:szCs w:val="28"/>
          <w:lang w:val="en-US"/>
        </w:rPr>
        <w:t>2</w:t>
      </w:r>
      <w:r w:rsidR="00FF7677">
        <w:rPr>
          <w:rFonts w:ascii="Arial" w:hAnsi="Arial" w:cs="Arial"/>
          <w:b/>
          <w:sz w:val="28"/>
          <w:szCs w:val="28"/>
          <w:lang w:val="en-US"/>
        </w:rPr>
        <w:t>.</w:t>
      </w:r>
      <w:r w:rsidR="00194686">
        <w:rPr>
          <w:rFonts w:ascii="Arial" w:hAnsi="Arial" w:cs="Arial"/>
          <w:b/>
          <w:sz w:val="28"/>
          <w:szCs w:val="28"/>
          <w:lang w:val="en-US"/>
        </w:rPr>
        <w:t>4</w:t>
      </w:r>
      <w:r w:rsidR="00FF7677">
        <w:rPr>
          <w:rFonts w:ascii="Arial" w:hAnsi="Arial" w:cs="Arial"/>
          <w:b/>
          <w:sz w:val="28"/>
          <w:szCs w:val="28"/>
          <w:lang w:val="en-US"/>
        </w:rPr>
        <w:t>.</w:t>
      </w:r>
      <w:r w:rsidR="00194686">
        <w:rPr>
          <w:rFonts w:ascii="Arial" w:hAnsi="Arial" w:cs="Arial"/>
          <w:b/>
          <w:sz w:val="28"/>
          <w:szCs w:val="28"/>
          <w:lang w:val="en-US"/>
        </w:rPr>
        <w:t>1</w:t>
      </w:r>
      <w:r w:rsidR="00FF7677">
        <w:rPr>
          <w:rFonts w:ascii="Arial" w:hAnsi="Arial" w:cs="Arial"/>
          <w:b/>
          <w:sz w:val="28"/>
          <w:szCs w:val="28"/>
          <w:lang w:val="en-US"/>
        </w:rPr>
        <w:t>.</w:t>
      </w:r>
      <w:r w:rsidR="00194686">
        <w:rPr>
          <w:rFonts w:ascii="Arial" w:hAnsi="Arial" w:cs="Arial"/>
          <w:b/>
          <w:sz w:val="28"/>
          <w:szCs w:val="28"/>
          <w:lang w:val="en-US"/>
        </w:rPr>
        <w:t>4</w:t>
      </w:r>
      <w:bookmarkStart w:id="2" w:name="_GoBack"/>
      <w:bookmarkEnd w:id="2"/>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6C5BA8">
        <w:rPr>
          <w:rFonts w:ascii="Arial" w:hAnsi="Arial" w:cs="Arial"/>
          <w:b/>
          <w:sz w:val="28"/>
          <w:szCs w:val="28"/>
          <w:lang w:val="en-US"/>
        </w:rPr>
        <w:t xml:space="preserve"> and Decision</w:t>
      </w:r>
    </w:p>
    <w:p w14:paraId="180A6CE5" w14:textId="3D7C73FA" w:rsidR="00004B52" w:rsidRPr="0014090F" w:rsidRDefault="00004B52" w:rsidP="0060799C">
      <w:pPr>
        <w:pStyle w:val="Heading1"/>
        <w:spacing w:after="180"/>
        <w:rPr>
          <w:lang w:val="en-US"/>
        </w:rPr>
      </w:pPr>
      <w:r w:rsidRPr="0014090F">
        <w:rPr>
          <w:lang w:val="en-US"/>
        </w:rPr>
        <w:t>Introduction</w:t>
      </w:r>
      <w:bookmarkEnd w:id="1"/>
    </w:p>
    <w:p w14:paraId="63692B4F" w14:textId="04E372C1" w:rsidR="00971622" w:rsidRDefault="00971622" w:rsidP="00971622">
      <w:pPr>
        <w:spacing w:before="240" w:after="240" w:afterAutospacing="0"/>
        <w:rPr>
          <w:rFonts w:eastAsia="MS Mincho"/>
        </w:rPr>
      </w:pPr>
      <w:r>
        <w:rPr>
          <w:rFonts w:eastAsia="MS Mincho"/>
        </w:rPr>
        <w:t>In RAN1#94, NR V2X SI has started</w:t>
      </w:r>
      <w:r w:rsidR="00194686">
        <w:rPr>
          <w:rFonts w:eastAsia="MS Mincho"/>
        </w:rPr>
        <w:t>. According to the SID, the following objectives have been agreed [1].</w:t>
      </w:r>
    </w:p>
    <w:tbl>
      <w:tblPr>
        <w:tblStyle w:val="TableGrid"/>
        <w:tblW w:w="0" w:type="auto"/>
        <w:tblLook w:val="04A0" w:firstRow="1" w:lastRow="0" w:firstColumn="1" w:lastColumn="0" w:noHBand="0" w:noVBand="1"/>
      </w:tblPr>
      <w:tblGrid>
        <w:gridCol w:w="9954"/>
      </w:tblGrid>
      <w:tr w:rsidR="00194686" w14:paraId="128ADF61" w14:textId="77777777" w:rsidTr="00194686">
        <w:tc>
          <w:tcPr>
            <w:tcW w:w="9954" w:type="dxa"/>
          </w:tcPr>
          <w:p w14:paraId="15BBAF15" w14:textId="77777777" w:rsidR="00194686" w:rsidRPr="00194686" w:rsidRDefault="00194686" w:rsidP="00194686">
            <w:pPr>
              <w:spacing w:before="240" w:after="240" w:afterAutospacing="0"/>
              <w:rPr>
                <w:rFonts w:eastAsia="MS Mincho"/>
              </w:rPr>
            </w:pPr>
            <w:r w:rsidRPr="00194686">
              <w:rPr>
                <w:rFonts w:eastAsia="MS Mincho"/>
              </w:rPr>
              <w:t>Sidelink design [RAN1, RAN2]:</w:t>
            </w:r>
          </w:p>
          <w:p w14:paraId="5C387997" w14:textId="77777777" w:rsidR="00194686" w:rsidRPr="00194686" w:rsidRDefault="00194686" w:rsidP="00194686">
            <w:pPr>
              <w:spacing w:before="240" w:after="240" w:afterAutospacing="0"/>
              <w:rPr>
                <w:rFonts w:eastAsia="MS Mincho"/>
              </w:rPr>
            </w:pPr>
            <w:r w:rsidRPr="00194686">
              <w:rPr>
                <w:rFonts w:eastAsia="MS Mincho"/>
              </w:rPr>
              <w:t xml:space="preserve">Identify technical solutions for a NR sidelink design to meet the requirements of advanced V2X services, including </w:t>
            </w:r>
          </w:p>
          <w:p w14:paraId="7D9D8233" w14:textId="77777777" w:rsidR="00194686" w:rsidRPr="00194686" w:rsidRDefault="00194686" w:rsidP="00194686">
            <w:pPr>
              <w:spacing w:before="240" w:after="240" w:afterAutospacing="0"/>
              <w:rPr>
                <w:rFonts w:eastAsia="MS Mincho"/>
              </w:rPr>
            </w:pPr>
            <w:r w:rsidRPr="00194686">
              <w:rPr>
                <w:rFonts w:eastAsia="MS Mincho"/>
              </w:rPr>
              <w:t>-</w:t>
            </w:r>
            <w:r w:rsidRPr="00194686">
              <w:rPr>
                <w:rFonts w:eastAsia="MS Mincho"/>
              </w:rPr>
              <w:tab/>
              <w:t>Study the support of sidelink unicast, sidelink groupcast and sidelink broadcast</w:t>
            </w:r>
          </w:p>
          <w:p w14:paraId="1E98D165" w14:textId="77777777" w:rsidR="00194686" w:rsidRPr="00194686" w:rsidRDefault="00194686" w:rsidP="00194686">
            <w:pPr>
              <w:spacing w:before="240" w:after="240" w:afterAutospacing="0"/>
              <w:rPr>
                <w:rFonts w:eastAsia="MS Mincho"/>
              </w:rPr>
            </w:pPr>
            <w:r w:rsidRPr="00194686">
              <w:rPr>
                <w:rFonts w:eastAsia="MS Mincho"/>
              </w:rPr>
              <w:t>-</w:t>
            </w:r>
            <w:r w:rsidRPr="00194686">
              <w:rPr>
                <w:rFonts w:eastAsia="MS Mincho"/>
              </w:rPr>
              <w:tab/>
              <w:t>Study NR sidelink physical layer structures and procedure(s)</w:t>
            </w:r>
          </w:p>
          <w:p w14:paraId="67A5D4B3" w14:textId="77777777" w:rsidR="00194686" w:rsidRPr="00194686" w:rsidRDefault="00194686" w:rsidP="00194686">
            <w:pPr>
              <w:spacing w:before="240" w:after="240" w:afterAutospacing="0"/>
              <w:rPr>
                <w:rFonts w:eastAsia="MS Mincho"/>
              </w:rPr>
            </w:pPr>
            <w:r w:rsidRPr="00194686">
              <w:rPr>
                <w:rFonts w:eastAsia="MS Mincho"/>
              </w:rPr>
              <w:t>-</w:t>
            </w:r>
            <w:r w:rsidRPr="00194686">
              <w:rPr>
                <w:rFonts w:eastAsia="MS Mincho"/>
              </w:rPr>
              <w:tab/>
              <w:t>Study sidelink synchronization mechanism</w:t>
            </w:r>
          </w:p>
          <w:p w14:paraId="5FDDBC07" w14:textId="77777777" w:rsidR="00194686" w:rsidRPr="00194686" w:rsidRDefault="00194686" w:rsidP="00194686">
            <w:pPr>
              <w:spacing w:before="240" w:after="240" w:afterAutospacing="0"/>
              <w:rPr>
                <w:rFonts w:eastAsia="MS Mincho"/>
              </w:rPr>
            </w:pPr>
            <w:r w:rsidRPr="00194686">
              <w:rPr>
                <w:rFonts w:eastAsia="MS Mincho"/>
              </w:rPr>
              <w:t>-</w:t>
            </w:r>
            <w:r w:rsidRPr="00194686">
              <w:rPr>
                <w:rFonts w:eastAsia="MS Mincho"/>
              </w:rPr>
              <w:tab/>
              <w:t>Study sidelink resource allocation mechanism (also including objective 3)</w:t>
            </w:r>
          </w:p>
          <w:p w14:paraId="23F1E92B" w14:textId="5883530D" w:rsidR="00194686" w:rsidRDefault="00194686" w:rsidP="00194686">
            <w:pPr>
              <w:spacing w:before="240" w:after="240" w:afterAutospacing="0"/>
              <w:rPr>
                <w:rFonts w:eastAsia="MS Mincho"/>
              </w:rPr>
            </w:pPr>
            <w:r w:rsidRPr="00194686">
              <w:rPr>
                <w:rFonts w:eastAsia="MS Mincho"/>
              </w:rPr>
              <w:t>-</w:t>
            </w:r>
            <w:r w:rsidRPr="00194686">
              <w:rPr>
                <w:rFonts w:eastAsia="MS Mincho"/>
              </w:rPr>
              <w:tab/>
              <w:t>Study sidelink L2/L3 protocols</w:t>
            </w:r>
          </w:p>
        </w:tc>
      </w:tr>
    </w:tbl>
    <w:p w14:paraId="24B60ED6" w14:textId="5D5FB870" w:rsidR="00194686" w:rsidRDefault="00194686" w:rsidP="00971622">
      <w:pPr>
        <w:spacing w:before="240" w:after="240" w:afterAutospacing="0"/>
        <w:rPr>
          <w:rFonts w:eastAsia="MS Mincho"/>
        </w:rPr>
      </w:pPr>
      <w:r>
        <w:rPr>
          <w:rFonts w:eastAsia="MS Mincho"/>
        </w:rPr>
        <w:t>In this contribution, we share our initial views of resource allocation mechanisms.</w:t>
      </w:r>
    </w:p>
    <w:p w14:paraId="799361C8" w14:textId="09C19B22" w:rsidR="00D86B38" w:rsidRPr="0014090F" w:rsidRDefault="00971622" w:rsidP="00971622">
      <w:pPr>
        <w:spacing w:before="240" w:after="240" w:afterAutospacing="0"/>
        <w:rPr>
          <w:rFonts w:eastAsia="MS Mincho"/>
          <w:lang w:val="en-US"/>
        </w:rPr>
      </w:pPr>
      <w:r w:rsidRPr="0014090F">
        <w:rPr>
          <w:rFonts w:eastAsia="MS Mincho"/>
          <w:lang w:val="en-US"/>
        </w:rPr>
        <w:t xml:space="preserve"> </w:t>
      </w:r>
    </w:p>
    <w:p w14:paraId="0FCA085E" w14:textId="26C54765" w:rsidR="00DD5C00" w:rsidRPr="00DD5C00" w:rsidRDefault="00A56FC0" w:rsidP="00DD5C00">
      <w:pPr>
        <w:pStyle w:val="Heading1"/>
        <w:spacing w:after="180"/>
        <w:rPr>
          <w:lang w:val="en-US"/>
        </w:rPr>
      </w:pPr>
      <w:bookmarkStart w:id="4" w:name="OLE_LINK1"/>
      <w:r>
        <w:rPr>
          <w:lang w:val="en-US"/>
        </w:rPr>
        <w:t>Discussions</w:t>
      </w:r>
    </w:p>
    <w:p w14:paraId="658EB252" w14:textId="08322364" w:rsidR="003D3253" w:rsidRPr="00DD5C00" w:rsidRDefault="003D3253" w:rsidP="003D3253">
      <w:pPr>
        <w:pStyle w:val="Heading2"/>
        <w:rPr>
          <w:lang w:val="en-US"/>
        </w:rPr>
      </w:pPr>
      <w:r>
        <w:rPr>
          <w:lang w:val="en-US"/>
        </w:rPr>
        <w:t>Resource pool</w:t>
      </w:r>
    </w:p>
    <w:p w14:paraId="4627DCB0" w14:textId="54E898D7" w:rsidR="00194686" w:rsidRDefault="003D3253" w:rsidP="00971622">
      <w:pPr>
        <w:rPr>
          <w:lang w:val="en-US"/>
        </w:rPr>
      </w:pPr>
      <w:r>
        <w:rPr>
          <w:lang w:val="en-US"/>
        </w:rPr>
        <w:t>In the last meeting, the following agreements were made for transmission modes for NR V2X</w:t>
      </w:r>
    </w:p>
    <w:tbl>
      <w:tblPr>
        <w:tblStyle w:val="TableGrid"/>
        <w:tblW w:w="0" w:type="auto"/>
        <w:tblLook w:val="04A0" w:firstRow="1" w:lastRow="0" w:firstColumn="1" w:lastColumn="0" w:noHBand="0" w:noVBand="1"/>
      </w:tblPr>
      <w:tblGrid>
        <w:gridCol w:w="9954"/>
      </w:tblGrid>
      <w:tr w:rsidR="003D3253" w14:paraId="2E783A38" w14:textId="77777777" w:rsidTr="003D3253">
        <w:tc>
          <w:tcPr>
            <w:tcW w:w="9954" w:type="dxa"/>
          </w:tcPr>
          <w:p w14:paraId="11D2536C" w14:textId="77777777" w:rsidR="003D3253" w:rsidRPr="003D3253" w:rsidRDefault="003D3253" w:rsidP="003D3253">
            <w:pPr>
              <w:snapToGrid/>
              <w:spacing w:after="0" w:afterAutospacing="0"/>
              <w:ind w:left="720" w:hanging="720"/>
              <w:jc w:val="left"/>
              <w:rPr>
                <w:rFonts w:ascii="Times" w:eastAsia="Batang" w:hAnsi="Times"/>
                <w:b/>
                <w:sz w:val="20"/>
                <w:lang w:eastAsia="x-none"/>
              </w:rPr>
            </w:pPr>
            <w:r w:rsidRPr="003D3253">
              <w:rPr>
                <w:rFonts w:ascii="Times" w:eastAsia="Batang" w:hAnsi="Times"/>
                <w:sz w:val="20"/>
                <w:highlight w:val="green"/>
                <w:lang w:eastAsia="x-none"/>
              </w:rPr>
              <w:t>Agreements</w:t>
            </w:r>
            <w:r w:rsidRPr="003D3253">
              <w:rPr>
                <w:rFonts w:ascii="Times" w:eastAsia="Batang" w:hAnsi="Times"/>
                <w:b/>
                <w:sz w:val="20"/>
                <w:lang w:eastAsia="x-none"/>
              </w:rPr>
              <w:t>:</w:t>
            </w:r>
          </w:p>
          <w:p w14:paraId="4CD71B9E" w14:textId="77777777" w:rsidR="003D3253" w:rsidRPr="003D3253" w:rsidRDefault="003D3253" w:rsidP="003D3253">
            <w:pPr>
              <w:overflowPunct w:val="0"/>
              <w:autoSpaceDE w:val="0"/>
              <w:autoSpaceDN w:val="0"/>
              <w:adjustRightInd w:val="0"/>
              <w:snapToGrid/>
              <w:spacing w:before="60" w:after="60" w:afterAutospacing="0"/>
              <w:ind w:left="284" w:hanging="284"/>
              <w:textAlignment w:val="baseline"/>
              <w:rPr>
                <w:rFonts w:eastAsia="SimSun"/>
                <w:sz w:val="20"/>
                <w:lang w:val="en-US" w:eastAsia="zh-CN"/>
              </w:rPr>
            </w:pPr>
            <w:r w:rsidRPr="003D3253">
              <w:rPr>
                <w:rFonts w:eastAsia="SimSun" w:hint="eastAsia"/>
                <w:sz w:val="20"/>
                <w:lang w:val="en-US" w:eastAsia="zh-CN"/>
              </w:rPr>
              <w:t xml:space="preserve">At least two sidelink </w:t>
            </w:r>
            <w:r w:rsidRPr="003D3253">
              <w:rPr>
                <w:rFonts w:eastAsia="SimSun"/>
                <w:sz w:val="20"/>
                <w:lang w:val="en-US" w:eastAsia="zh-CN"/>
              </w:rPr>
              <w:t>resource allocation</w:t>
            </w:r>
            <w:r w:rsidRPr="003D3253">
              <w:rPr>
                <w:rFonts w:eastAsia="SimSun" w:hint="eastAsia"/>
                <w:sz w:val="20"/>
                <w:lang w:val="en-US" w:eastAsia="zh-CN"/>
              </w:rPr>
              <w:t xml:space="preserve"> modes are </w:t>
            </w:r>
            <w:r w:rsidRPr="003D3253">
              <w:rPr>
                <w:rFonts w:eastAsia="SimSun"/>
                <w:sz w:val="20"/>
                <w:lang w:val="en-US" w:eastAsia="zh-CN"/>
              </w:rPr>
              <w:t xml:space="preserve">defined for </w:t>
            </w:r>
            <w:r w:rsidRPr="003D3253">
              <w:rPr>
                <w:rFonts w:eastAsia="SimSun" w:hint="eastAsia"/>
                <w:sz w:val="20"/>
                <w:lang w:val="en-US" w:eastAsia="zh-CN"/>
              </w:rPr>
              <w:t>NR</w:t>
            </w:r>
            <w:r w:rsidRPr="003D3253">
              <w:rPr>
                <w:rFonts w:eastAsia="SimSun"/>
                <w:sz w:val="20"/>
                <w:lang w:val="en-US" w:eastAsia="zh-CN"/>
              </w:rPr>
              <w:t>-V2X sidelink communication</w:t>
            </w:r>
          </w:p>
          <w:p w14:paraId="734B5DE1" w14:textId="77777777" w:rsidR="003D3253" w:rsidRPr="003D3253" w:rsidRDefault="003D3253" w:rsidP="003D3253">
            <w:pPr>
              <w:numPr>
                <w:ilvl w:val="1"/>
                <w:numId w:val="16"/>
              </w:numPr>
              <w:overflowPunct w:val="0"/>
              <w:autoSpaceDE w:val="0"/>
              <w:autoSpaceDN w:val="0"/>
              <w:adjustRightInd w:val="0"/>
              <w:snapToGrid/>
              <w:spacing w:before="60" w:after="60" w:afterAutospacing="0"/>
              <w:jc w:val="left"/>
              <w:textAlignment w:val="baseline"/>
              <w:rPr>
                <w:rFonts w:eastAsia="SimSun"/>
                <w:sz w:val="20"/>
                <w:lang w:val="en-US" w:eastAsia="zh-CN"/>
              </w:rPr>
            </w:pPr>
            <w:r w:rsidRPr="003D3253">
              <w:rPr>
                <w:rFonts w:eastAsia="SimSun" w:hint="eastAsia"/>
                <w:sz w:val="20"/>
                <w:lang w:val="en-US" w:eastAsia="zh-CN"/>
              </w:rPr>
              <w:t xml:space="preserve">Mode 1: </w:t>
            </w:r>
            <w:r w:rsidRPr="003D3253">
              <w:rPr>
                <w:rFonts w:eastAsia="SimSun"/>
                <w:sz w:val="20"/>
                <w:lang w:val="en-US" w:eastAsia="zh-CN"/>
              </w:rPr>
              <w:t xml:space="preserve">Base station schedules sidelink </w:t>
            </w:r>
            <w:r w:rsidRPr="003D3253">
              <w:rPr>
                <w:rFonts w:eastAsia="SimSun" w:hint="eastAsia"/>
                <w:sz w:val="20"/>
                <w:lang w:val="en-US" w:eastAsia="zh-CN"/>
              </w:rPr>
              <w:t>resource</w:t>
            </w:r>
            <w:r w:rsidRPr="003D3253">
              <w:rPr>
                <w:rFonts w:eastAsia="SimSun"/>
                <w:sz w:val="20"/>
                <w:lang w:val="en-US" w:eastAsia="zh-CN"/>
              </w:rPr>
              <w:t>(s) to be used by UE for sidelink transmission(s)</w:t>
            </w:r>
          </w:p>
          <w:p w14:paraId="2D5D66A4" w14:textId="77777777" w:rsidR="003D3253" w:rsidRPr="003D3253" w:rsidRDefault="003D3253" w:rsidP="003D3253">
            <w:pPr>
              <w:numPr>
                <w:ilvl w:val="1"/>
                <w:numId w:val="16"/>
              </w:numPr>
              <w:overflowPunct w:val="0"/>
              <w:autoSpaceDE w:val="0"/>
              <w:autoSpaceDN w:val="0"/>
              <w:adjustRightInd w:val="0"/>
              <w:snapToGrid/>
              <w:spacing w:before="60" w:after="60" w:afterAutospacing="0"/>
              <w:jc w:val="left"/>
              <w:textAlignment w:val="baseline"/>
              <w:rPr>
                <w:rFonts w:eastAsia="SimSun"/>
                <w:sz w:val="20"/>
                <w:lang w:val="en-US" w:eastAsia="zh-CN"/>
              </w:rPr>
            </w:pPr>
            <w:r w:rsidRPr="003D3253">
              <w:rPr>
                <w:rFonts w:eastAsia="SimSun" w:hint="eastAsia"/>
                <w:sz w:val="20"/>
                <w:lang w:val="en-US" w:eastAsia="zh-CN"/>
              </w:rPr>
              <w:t xml:space="preserve">Mode 2: UE </w:t>
            </w:r>
            <w:r w:rsidRPr="003D3253">
              <w:rPr>
                <w:rFonts w:eastAsia="SimSun"/>
                <w:sz w:val="20"/>
                <w:lang w:val="en-US" w:eastAsia="zh-CN"/>
              </w:rPr>
              <w:t>determines (i.e. base station does not schedule) sidelink transmission resource(s) within sidelink resources configured by base station/network or pre-configured sidelink resources</w:t>
            </w:r>
          </w:p>
          <w:p w14:paraId="73377C9D" w14:textId="77777777" w:rsidR="003D3253" w:rsidRPr="003D3253" w:rsidRDefault="003D3253" w:rsidP="003D3253">
            <w:pPr>
              <w:overflowPunct w:val="0"/>
              <w:autoSpaceDE w:val="0"/>
              <w:autoSpaceDN w:val="0"/>
              <w:adjustRightInd w:val="0"/>
              <w:snapToGrid/>
              <w:spacing w:before="60" w:after="60" w:afterAutospacing="0"/>
              <w:ind w:left="284" w:hanging="284"/>
              <w:textAlignment w:val="baseline"/>
              <w:rPr>
                <w:rFonts w:eastAsia="SimSun"/>
                <w:sz w:val="20"/>
                <w:lang w:val="en-US" w:eastAsia="zh-CN"/>
              </w:rPr>
            </w:pPr>
            <w:r w:rsidRPr="003D3253">
              <w:rPr>
                <w:rFonts w:eastAsia="SimSun"/>
                <w:sz w:val="20"/>
                <w:lang w:val="en-US" w:eastAsia="zh-CN"/>
              </w:rPr>
              <w:lastRenderedPageBreak/>
              <w:t>Notes:</w:t>
            </w:r>
          </w:p>
          <w:p w14:paraId="32B4877A" w14:textId="77777777" w:rsidR="003D3253" w:rsidRPr="003D3253" w:rsidRDefault="003D3253" w:rsidP="003D3253">
            <w:pPr>
              <w:numPr>
                <w:ilvl w:val="1"/>
                <w:numId w:val="16"/>
              </w:numPr>
              <w:overflowPunct w:val="0"/>
              <w:autoSpaceDE w:val="0"/>
              <w:autoSpaceDN w:val="0"/>
              <w:adjustRightInd w:val="0"/>
              <w:snapToGrid/>
              <w:spacing w:before="60" w:after="60" w:afterAutospacing="0"/>
              <w:jc w:val="left"/>
              <w:textAlignment w:val="baseline"/>
              <w:rPr>
                <w:rFonts w:eastAsia="SimSun"/>
                <w:sz w:val="20"/>
                <w:lang w:val="en-US" w:eastAsia="zh-CN"/>
              </w:rPr>
            </w:pPr>
            <w:r w:rsidRPr="003D3253">
              <w:rPr>
                <w:rFonts w:eastAsia="SimSun"/>
                <w:sz w:val="20"/>
                <w:lang w:val="en-US" w:eastAsia="zh-CN"/>
              </w:rPr>
              <w:t xml:space="preserve">eNB control of NR sidelink and gNB control of LTE sidelink resources will be separately considered in corresponding agenda items. </w:t>
            </w:r>
          </w:p>
          <w:p w14:paraId="52BE1149" w14:textId="77777777" w:rsidR="003D3253" w:rsidRPr="003D3253" w:rsidRDefault="003D3253" w:rsidP="003D3253">
            <w:pPr>
              <w:numPr>
                <w:ilvl w:val="1"/>
                <w:numId w:val="16"/>
              </w:numPr>
              <w:overflowPunct w:val="0"/>
              <w:autoSpaceDE w:val="0"/>
              <w:autoSpaceDN w:val="0"/>
              <w:adjustRightInd w:val="0"/>
              <w:snapToGrid/>
              <w:spacing w:before="60" w:after="60" w:afterAutospacing="0"/>
              <w:jc w:val="left"/>
              <w:textAlignment w:val="baseline"/>
              <w:rPr>
                <w:rFonts w:eastAsia="SimSun"/>
                <w:sz w:val="20"/>
                <w:lang w:val="en-US" w:eastAsia="zh-CN"/>
              </w:rPr>
            </w:pPr>
            <w:r w:rsidRPr="003D3253">
              <w:rPr>
                <w:rFonts w:eastAsia="SimSun"/>
                <w:sz w:val="20"/>
                <w:lang w:val="en-US" w:eastAsia="zh-CN"/>
              </w:rPr>
              <w:t>Mode-2 definition covers potential sidelink radio-layer functionality or resource allocation sub-modes (subject to further refinement including merging of some or all of them) where</w:t>
            </w:r>
          </w:p>
          <w:p w14:paraId="60A9FFAD" w14:textId="77777777" w:rsidR="003D3253" w:rsidRPr="003D3253" w:rsidRDefault="003D3253" w:rsidP="003D3253">
            <w:pPr>
              <w:numPr>
                <w:ilvl w:val="2"/>
                <w:numId w:val="17"/>
              </w:numPr>
              <w:overflowPunct w:val="0"/>
              <w:autoSpaceDE w:val="0"/>
              <w:autoSpaceDN w:val="0"/>
              <w:adjustRightInd w:val="0"/>
              <w:snapToGrid/>
              <w:spacing w:before="60" w:after="60" w:afterAutospacing="0"/>
              <w:jc w:val="left"/>
              <w:textAlignment w:val="baseline"/>
              <w:rPr>
                <w:rFonts w:eastAsia="SimSun"/>
                <w:sz w:val="20"/>
                <w:lang w:val="en-US" w:eastAsia="zh-CN"/>
              </w:rPr>
            </w:pPr>
            <w:r w:rsidRPr="003D3253">
              <w:rPr>
                <w:rFonts w:eastAsia="SimSun"/>
                <w:sz w:val="20"/>
                <w:lang w:val="en-US" w:eastAsia="zh-CN"/>
              </w:rPr>
              <w:t>UE autonomously selects sidelink resource for transmission</w:t>
            </w:r>
          </w:p>
          <w:p w14:paraId="74C267BC" w14:textId="77777777" w:rsidR="003D3253" w:rsidRPr="003D3253" w:rsidRDefault="003D3253" w:rsidP="003D3253">
            <w:pPr>
              <w:numPr>
                <w:ilvl w:val="2"/>
                <w:numId w:val="17"/>
              </w:numPr>
              <w:overflowPunct w:val="0"/>
              <w:autoSpaceDE w:val="0"/>
              <w:autoSpaceDN w:val="0"/>
              <w:adjustRightInd w:val="0"/>
              <w:snapToGrid/>
              <w:spacing w:before="60" w:after="60" w:afterAutospacing="0"/>
              <w:jc w:val="left"/>
              <w:textAlignment w:val="baseline"/>
              <w:rPr>
                <w:rFonts w:eastAsia="SimSun"/>
                <w:sz w:val="20"/>
                <w:lang w:val="en-US" w:eastAsia="zh-CN"/>
              </w:rPr>
            </w:pPr>
            <w:r w:rsidRPr="003D3253">
              <w:rPr>
                <w:rFonts w:eastAsia="SimSun"/>
                <w:sz w:val="20"/>
                <w:lang w:val="en-US" w:eastAsia="zh-CN"/>
              </w:rPr>
              <w:t>UE assists sidelink resource selection for other UE(s)</w:t>
            </w:r>
          </w:p>
          <w:p w14:paraId="611299F8" w14:textId="77777777" w:rsidR="003D3253" w:rsidRPr="003D3253" w:rsidRDefault="003D3253" w:rsidP="003D3253">
            <w:pPr>
              <w:numPr>
                <w:ilvl w:val="2"/>
                <w:numId w:val="17"/>
              </w:numPr>
              <w:overflowPunct w:val="0"/>
              <w:autoSpaceDE w:val="0"/>
              <w:autoSpaceDN w:val="0"/>
              <w:adjustRightInd w:val="0"/>
              <w:snapToGrid/>
              <w:spacing w:before="60" w:after="60" w:afterAutospacing="0"/>
              <w:jc w:val="left"/>
              <w:textAlignment w:val="baseline"/>
              <w:rPr>
                <w:rFonts w:eastAsia="SimSun"/>
                <w:sz w:val="20"/>
                <w:lang w:val="en-US" w:eastAsia="zh-CN"/>
              </w:rPr>
            </w:pPr>
            <w:r w:rsidRPr="003D3253">
              <w:rPr>
                <w:rFonts w:eastAsia="SimSun"/>
                <w:sz w:val="20"/>
                <w:lang w:val="en-US" w:eastAsia="zh-CN"/>
              </w:rPr>
              <w:t>UE is configured with NR configured grant (type-1 like) for sidelink transmission</w:t>
            </w:r>
          </w:p>
          <w:p w14:paraId="21A9B6E8" w14:textId="77777777" w:rsidR="003D3253" w:rsidRPr="003D3253" w:rsidRDefault="003D3253" w:rsidP="003D3253">
            <w:pPr>
              <w:numPr>
                <w:ilvl w:val="2"/>
                <w:numId w:val="17"/>
              </w:numPr>
              <w:overflowPunct w:val="0"/>
              <w:autoSpaceDE w:val="0"/>
              <w:autoSpaceDN w:val="0"/>
              <w:adjustRightInd w:val="0"/>
              <w:snapToGrid/>
              <w:spacing w:before="60" w:after="60" w:afterAutospacing="0"/>
              <w:jc w:val="left"/>
              <w:textAlignment w:val="baseline"/>
              <w:rPr>
                <w:rFonts w:eastAsia="SimSun"/>
                <w:sz w:val="20"/>
                <w:lang w:val="en-US" w:eastAsia="zh-CN"/>
              </w:rPr>
            </w:pPr>
            <w:r w:rsidRPr="003D3253">
              <w:rPr>
                <w:rFonts w:eastAsia="SimSun"/>
                <w:sz w:val="20"/>
                <w:lang w:val="en-US" w:eastAsia="zh-CN"/>
              </w:rPr>
              <w:t>UE schedules sidelink transmissions of other UEs</w:t>
            </w:r>
          </w:p>
          <w:p w14:paraId="6AB4A058" w14:textId="6632415F" w:rsidR="003D3253" w:rsidRPr="003D3253" w:rsidRDefault="003D3253" w:rsidP="003D3253">
            <w:pPr>
              <w:overflowPunct w:val="0"/>
              <w:autoSpaceDE w:val="0"/>
              <w:autoSpaceDN w:val="0"/>
              <w:adjustRightInd w:val="0"/>
              <w:snapToGrid/>
              <w:spacing w:before="60" w:after="60" w:afterAutospacing="0"/>
              <w:ind w:left="284" w:hanging="284"/>
              <w:textAlignment w:val="baseline"/>
              <w:rPr>
                <w:rFonts w:eastAsia="SimSun"/>
                <w:sz w:val="20"/>
                <w:lang w:val="en-US" w:eastAsia="zh-CN"/>
              </w:rPr>
            </w:pPr>
            <w:r w:rsidRPr="003D3253">
              <w:rPr>
                <w:rFonts w:eastAsia="SimSun"/>
                <w:sz w:val="20"/>
                <w:lang w:val="en-US" w:eastAsia="zh-CN"/>
              </w:rPr>
              <w:t>RAN1 to continue study details of resource allocation modes for NR-V2X sidelink communication</w:t>
            </w:r>
          </w:p>
        </w:tc>
      </w:tr>
    </w:tbl>
    <w:p w14:paraId="00CCCAA1" w14:textId="78C51E81" w:rsidR="003D3253" w:rsidRDefault="003D3253" w:rsidP="00971622">
      <w:pPr>
        <w:rPr>
          <w:lang w:val="en-US"/>
        </w:rPr>
      </w:pPr>
      <w:r>
        <w:rPr>
          <w:lang w:val="en-US"/>
        </w:rPr>
        <w:lastRenderedPageBreak/>
        <w:t>Similar to LTE V2X, it was agreed that the network-scheduled V2X communication (mode 1) and UE autonomous resource selection (mode 2) are supported for NR V2X.</w:t>
      </w:r>
    </w:p>
    <w:p w14:paraId="648FD9DA" w14:textId="339BE4EA" w:rsidR="00403691" w:rsidRDefault="00403691" w:rsidP="00971622">
      <w:pPr>
        <w:rPr>
          <w:lang w:val="en-US"/>
        </w:rPr>
      </w:pPr>
      <w:r>
        <w:rPr>
          <w:lang w:val="en-US"/>
        </w:rPr>
        <w:t xml:space="preserve">In LTE V2X, a concept of resource pool has been specified and the information of resource pool configurations is broadcasted via SIB or pre-configured in out-of-coverage case. An eNB or a transmitter UE selects a resource within one resource pool for PSCCH or PSSCH. In our view, resource pool should be supported to effectively multiplex V2X resources and cellular resources. </w:t>
      </w:r>
    </w:p>
    <w:p w14:paraId="3E4BF2E5" w14:textId="058396C8" w:rsidR="00403691" w:rsidRPr="00C71197" w:rsidRDefault="00403691" w:rsidP="00971622">
      <w:pPr>
        <w:rPr>
          <w:b/>
          <w:u w:val="single"/>
          <w:lang w:val="en-US"/>
        </w:rPr>
      </w:pPr>
      <w:r w:rsidRPr="00C71197">
        <w:rPr>
          <w:b/>
          <w:u w:val="single"/>
          <w:lang w:val="en-US"/>
        </w:rPr>
        <w:t>Proposal 1:</w:t>
      </w:r>
    </w:p>
    <w:p w14:paraId="243C1FCB" w14:textId="1F35A08A" w:rsidR="00403691" w:rsidRPr="00403691" w:rsidRDefault="00403691" w:rsidP="00403691">
      <w:pPr>
        <w:pStyle w:val="ListParagraph"/>
        <w:numPr>
          <w:ilvl w:val="0"/>
          <w:numId w:val="18"/>
        </w:numPr>
        <w:ind w:firstLineChars="0"/>
        <w:rPr>
          <w:lang w:val="en-US"/>
        </w:rPr>
      </w:pPr>
      <w:r>
        <w:rPr>
          <w:lang w:val="en-US"/>
        </w:rPr>
        <w:t xml:space="preserve">Sidelink resource pool should be supported </w:t>
      </w:r>
      <w:r w:rsidR="00C71197">
        <w:rPr>
          <w:lang w:val="en-US"/>
        </w:rPr>
        <w:t>in NR V2X</w:t>
      </w:r>
    </w:p>
    <w:p w14:paraId="62B680FB" w14:textId="689922F0" w:rsidR="003D3253" w:rsidRDefault="003D3253" w:rsidP="003D3253">
      <w:pPr>
        <w:rPr>
          <w:lang w:val="en-US"/>
        </w:rPr>
      </w:pPr>
    </w:p>
    <w:p w14:paraId="55DE4A1F" w14:textId="2E3B1B22" w:rsidR="00C71197" w:rsidRDefault="00C71197" w:rsidP="003D3253">
      <w:pPr>
        <w:rPr>
          <w:lang w:val="en-US"/>
        </w:rPr>
      </w:pPr>
      <w:r>
        <w:rPr>
          <w:lang w:val="en-US"/>
        </w:rPr>
        <w:t xml:space="preserve">In NR, a concept of BWP has been specified. if the transmitter and the receiver are </w:t>
      </w:r>
      <w:r w:rsidR="00FC572E">
        <w:rPr>
          <w:lang w:val="en-US"/>
        </w:rPr>
        <w:t>c</w:t>
      </w:r>
      <w:r w:rsidR="00FC572E" w:rsidRPr="00FC572E">
        <w:rPr>
          <w:lang w:val="en-US"/>
        </w:rPr>
        <w:t>onfigured wi</w:t>
      </w:r>
      <w:r w:rsidR="00FC572E">
        <w:rPr>
          <w:lang w:val="en-US"/>
        </w:rPr>
        <w:t xml:space="preserve">th BWP configurations for NR V2X, </w:t>
      </w:r>
      <w:r>
        <w:rPr>
          <w:lang w:val="en-US"/>
        </w:rPr>
        <w:t>and the BWP may utilize to generate a dedicated bandwidth for V2X service.</w:t>
      </w:r>
    </w:p>
    <w:p w14:paraId="60D3AF49" w14:textId="685892B2" w:rsidR="00C71197" w:rsidRPr="00C71197" w:rsidRDefault="00C71197" w:rsidP="00C71197">
      <w:pPr>
        <w:rPr>
          <w:b/>
          <w:u w:val="single"/>
          <w:lang w:val="en-US"/>
        </w:rPr>
      </w:pPr>
      <w:r w:rsidRPr="00C71197">
        <w:rPr>
          <w:b/>
          <w:u w:val="single"/>
          <w:lang w:val="en-US"/>
        </w:rPr>
        <w:t xml:space="preserve">Proposal </w:t>
      </w:r>
      <w:r w:rsidR="004D6702">
        <w:rPr>
          <w:b/>
          <w:u w:val="single"/>
          <w:lang w:val="en-US"/>
        </w:rPr>
        <w:t>2</w:t>
      </w:r>
      <w:r w:rsidRPr="00C71197">
        <w:rPr>
          <w:b/>
          <w:u w:val="single"/>
          <w:lang w:val="en-US"/>
        </w:rPr>
        <w:t>:</w:t>
      </w:r>
    </w:p>
    <w:p w14:paraId="22F958E4" w14:textId="55A7F8F2" w:rsidR="00C71197" w:rsidRPr="00C71197" w:rsidRDefault="00C71197" w:rsidP="003D3253">
      <w:pPr>
        <w:pStyle w:val="ListParagraph"/>
        <w:numPr>
          <w:ilvl w:val="0"/>
          <w:numId w:val="18"/>
        </w:numPr>
        <w:ind w:firstLineChars="0"/>
        <w:rPr>
          <w:lang w:val="en-US"/>
        </w:rPr>
      </w:pPr>
      <w:r>
        <w:rPr>
          <w:lang w:val="en-US"/>
        </w:rPr>
        <w:t xml:space="preserve">Study </w:t>
      </w:r>
      <w:r w:rsidR="00C25C13">
        <w:rPr>
          <w:lang w:val="en-US"/>
        </w:rPr>
        <w:t xml:space="preserve">whether </w:t>
      </w:r>
      <w:r>
        <w:rPr>
          <w:lang w:val="en-US"/>
        </w:rPr>
        <w:t xml:space="preserve">sidelink resource pool </w:t>
      </w:r>
      <w:r w:rsidR="00DE1CF7">
        <w:rPr>
          <w:lang w:val="en-US"/>
        </w:rPr>
        <w:t>is configured</w:t>
      </w:r>
      <w:r>
        <w:rPr>
          <w:lang w:val="en-US"/>
        </w:rPr>
        <w:t xml:space="preserve"> </w:t>
      </w:r>
      <w:r w:rsidR="00C25C13">
        <w:rPr>
          <w:lang w:val="en-US"/>
        </w:rPr>
        <w:t>per</w:t>
      </w:r>
      <w:r>
        <w:rPr>
          <w:lang w:val="en-US"/>
        </w:rPr>
        <w:t xml:space="preserve"> BWP</w:t>
      </w:r>
      <w:r w:rsidR="00C25C13">
        <w:rPr>
          <w:lang w:val="en-US"/>
        </w:rPr>
        <w:t xml:space="preserve"> or per serving cell</w:t>
      </w:r>
    </w:p>
    <w:p w14:paraId="254CAEF0" w14:textId="77777777" w:rsidR="00C71197" w:rsidRDefault="00C71197" w:rsidP="003D3253">
      <w:pPr>
        <w:rPr>
          <w:lang w:val="en-US"/>
        </w:rPr>
      </w:pPr>
    </w:p>
    <w:p w14:paraId="5876D4B0" w14:textId="62C1D6C7" w:rsidR="00C71197" w:rsidRPr="00DD5C00" w:rsidRDefault="00C71197" w:rsidP="00C71197">
      <w:pPr>
        <w:pStyle w:val="Heading2"/>
        <w:rPr>
          <w:lang w:val="en-US"/>
        </w:rPr>
      </w:pPr>
      <w:r>
        <w:rPr>
          <w:lang w:val="en-US"/>
        </w:rPr>
        <w:t>Resource allocation</w:t>
      </w:r>
    </w:p>
    <w:p w14:paraId="495F0873" w14:textId="23B907D2" w:rsidR="003D3253" w:rsidRDefault="00C71197" w:rsidP="003D3253">
      <w:pPr>
        <w:rPr>
          <w:lang w:val="en-US"/>
        </w:rPr>
      </w:pPr>
      <w:r>
        <w:rPr>
          <w:lang w:val="en-US"/>
        </w:rPr>
        <w:t>In V2X services, periodic traffic and aperiodic traffic (event-triggered traffic) should be supported for resource allocation.</w:t>
      </w:r>
      <w:r w:rsidR="003D3253">
        <w:rPr>
          <w:lang w:val="en-US"/>
        </w:rPr>
        <w:t xml:space="preserve"> </w:t>
      </w:r>
      <w:r>
        <w:rPr>
          <w:lang w:val="en-US"/>
        </w:rPr>
        <w:t>SPS based resource allocation like LTE V2X service is suitable to periodic traffic, and dynamic scheduling is suitable to aperiodic traffic. Therefore, we propose</w:t>
      </w:r>
    </w:p>
    <w:p w14:paraId="6C62C9D0" w14:textId="7A3916E1" w:rsidR="00C71197" w:rsidRPr="00C71197" w:rsidRDefault="00C71197" w:rsidP="00C71197">
      <w:pPr>
        <w:rPr>
          <w:b/>
          <w:u w:val="single"/>
          <w:lang w:val="en-US"/>
        </w:rPr>
      </w:pPr>
      <w:r w:rsidRPr="00C71197">
        <w:rPr>
          <w:b/>
          <w:u w:val="single"/>
          <w:lang w:val="en-US"/>
        </w:rPr>
        <w:t xml:space="preserve">Proposal </w:t>
      </w:r>
      <w:r>
        <w:rPr>
          <w:b/>
          <w:u w:val="single"/>
          <w:lang w:val="en-US"/>
        </w:rPr>
        <w:t>3</w:t>
      </w:r>
      <w:r w:rsidRPr="00C71197">
        <w:rPr>
          <w:b/>
          <w:u w:val="single"/>
          <w:lang w:val="en-US"/>
        </w:rPr>
        <w:t>:</w:t>
      </w:r>
    </w:p>
    <w:p w14:paraId="24E52860" w14:textId="5B117275" w:rsidR="00C71197" w:rsidRPr="00403691" w:rsidRDefault="00C71197" w:rsidP="00C71197">
      <w:pPr>
        <w:pStyle w:val="ListParagraph"/>
        <w:numPr>
          <w:ilvl w:val="0"/>
          <w:numId w:val="18"/>
        </w:numPr>
        <w:ind w:firstLineChars="0"/>
        <w:rPr>
          <w:lang w:val="en-US"/>
        </w:rPr>
      </w:pPr>
      <w:r>
        <w:rPr>
          <w:lang w:val="en-US"/>
        </w:rPr>
        <w:t>Dynamic scheduling and semi-persistent scheduling should be supported in NR V2X.</w:t>
      </w:r>
    </w:p>
    <w:p w14:paraId="25C7B92D" w14:textId="77777777" w:rsidR="00CA6559" w:rsidRPr="00CA6559" w:rsidRDefault="00CA6559" w:rsidP="00CA6559">
      <w:pPr>
        <w:rPr>
          <w:rFonts w:eastAsiaTheme="minorEastAsia"/>
          <w:lang w:val="en-US"/>
        </w:rPr>
      </w:pPr>
    </w:p>
    <w:p w14:paraId="15D476DD" w14:textId="5550A018" w:rsidR="00BA5AE1" w:rsidRDefault="00BA5AE1" w:rsidP="00332CF5">
      <w:pPr>
        <w:pStyle w:val="Heading1"/>
        <w:spacing w:after="180"/>
        <w:rPr>
          <w:lang w:val="en-US"/>
        </w:rPr>
      </w:pPr>
      <w:r w:rsidRPr="0014090F">
        <w:rPr>
          <w:lang w:val="en-US"/>
        </w:rPr>
        <w:t>Conclusion</w:t>
      </w:r>
    </w:p>
    <w:p w14:paraId="111AA538" w14:textId="21517A0E" w:rsidR="002743CA" w:rsidRPr="002743CA" w:rsidRDefault="002743CA" w:rsidP="002743CA">
      <w:pPr>
        <w:rPr>
          <w:lang w:val="en-US"/>
        </w:rPr>
      </w:pPr>
      <w:r>
        <w:rPr>
          <w:lang w:val="en-US"/>
        </w:rPr>
        <w:t>In this contribution, we propose:</w:t>
      </w:r>
    </w:p>
    <w:p w14:paraId="6CD77DFF" w14:textId="77777777" w:rsidR="004D6702" w:rsidRPr="00C71197" w:rsidRDefault="004D6702" w:rsidP="004D6702">
      <w:pPr>
        <w:rPr>
          <w:b/>
          <w:u w:val="single"/>
          <w:lang w:val="en-US"/>
        </w:rPr>
      </w:pPr>
      <w:r w:rsidRPr="00C71197">
        <w:rPr>
          <w:b/>
          <w:u w:val="single"/>
          <w:lang w:val="en-US"/>
        </w:rPr>
        <w:t>Proposal 1:</w:t>
      </w:r>
    </w:p>
    <w:p w14:paraId="22098504" w14:textId="77777777" w:rsidR="004D6702" w:rsidRPr="00403691" w:rsidRDefault="004D6702" w:rsidP="004D6702">
      <w:pPr>
        <w:pStyle w:val="ListParagraph"/>
        <w:numPr>
          <w:ilvl w:val="0"/>
          <w:numId w:val="18"/>
        </w:numPr>
        <w:ind w:firstLineChars="0"/>
        <w:rPr>
          <w:lang w:val="en-US"/>
        </w:rPr>
      </w:pPr>
      <w:r>
        <w:rPr>
          <w:lang w:val="en-US"/>
        </w:rPr>
        <w:t>Sidelink resource pool should be supported in NR V2X</w:t>
      </w:r>
    </w:p>
    <w:p w14:paraId="6D138C4F" w14:textId="77777777" w:rsidR="00DE1CF7" w:rsidRPr="00C71197" w:rsidRDefault="00DE1CF7" w:rsidP="00DE1CF7">
      <w:pPr>
        <w:rPr>
          <w:b/>
          <w:u w:val="single"/>
          <w:lang w:val="en-US"/>
        </w:rPr>
      </w:pPr>
      <w:r w:rsidRPr="00C71197">
        <w:rPr>
          <w:b/>
          <w:u w:val="single"/>
          <w:lang w:val="en-US"/>
        </w:rPr>
        <w:t xml:space="preserve">Proposal </w:t>
      </w:r>
      <w:r>
        <w:rPr>
          <w:b/>
          <w:u w:val="single"/>
          <w:lang w:val="en-US"/>
        </w:rPr>
        <w:t>2</w:t>
      </w:r>
      <w:r w:rsidRPr="00C71197">
        <w:rPr>
          <w:b/>
          <w:u w:val="single"/>
          <w:lang w:val="en-US"/>
        </w:rPr>
        <w:t>:</w:t>
      </w:r>
    </w:p>
    <w:p w14:paraId="21FA947C" w14:textId="77777777" w:rsidR="00DE1CF7" w:rsidRPr="00C71197" w:rsidRDefault="00DE1CF7" w:rsidP="00DE1CF7">
      <w:pPr>
        <w:pStyle w:val="ListParagraph"/>
        <w:numPr>
          <w:ilvl w:val="0"/>
          <w:numId w:val="18"/>
        </w:numPr>
        <w:ind w:firstLineChars="0"/>
        <w:rPr>
          <w:lang w:val="en-US"/>
        </w:rPr>
      </w:pPr>
      <w:r>
        <w:rPr>
          <w:lang w:val="en-US"/>
        </w:rPr>
        <w:t>Study whether sidelink resource pool is configured per BWP or per serving cell</w:t>
      </w:r>
    </w:p>
    <w:p w14:paraId="577B69AE" w14:textId="77777777" w:rsidR="00DE1CF7" w:rsidRPr="00C71197" w:rsidRDefault="00DE1CF7" w:rsidP="00DE1CF7">
      <w:pPr>
        <w:rPr>
          <w:b/>
          <w:u w:val="single"/>
          <w:lang w:val="en-US"/>
        </w:rPr>
      </w:pPr>
      <w:r w:rsidRPr="00C71197">
        <w:rPr>
          <w:b/>
          <w:u w:val="single"/>
          <w:lang w:val="en-US"/>
        </w:rPr>
        <w:t xml:space="preserve">Proposal </w:t>
      </w:r>
      <w:r>
        <w:rPr>
          <w:b/>
          <w:u w:val="single"/>
          <w:lang w:val="en-US"/>
        </w:rPr>
        <w:t>3</w:t>
      </w:r>
      <w:r w:rsidRPr="00C71197">
        <w:rPr>
          <w:b/>
          <w:u w:val="single"/>
          <w:lang w:val="en-US"/>
        </w:rPr>
        <w:t>:</w:t>
      </w:r>
    </w:p>
    <w:p w14:paraId="34920EAE" w14:textId="77777777" w:rsidR="00DE1CF7" w:rsidRPr="00403691" w:rsidRDefault="00DE1CF7" w:rsidP="00DE1CF7">
      <w:pPr>
        <w:pStyle w:val="ListParagraph"/>
        <w:numPr>
          <w:ilvl w:val="0"/>
          <w:numId w:val="18"/>
        </w:numPr>
        <w:ind w:firstLineChars="0"/>
        <w:rPr>
          <w:lang w:val="en-US"/>
        </w:rPr>
      </w:pPr>
      <w:r>
        <w:rPr>
          <w:lang w:val="en-US"/>
        </w:rPr>
        <w:t>Dynamic scheduling and semi-persistent scheduling should be supported in NR V2X.</w:t>
      </w:r>
    </w:p>
    <w:p w14:paraId="3F9BF06A" w14:textId="77777777" w:rsidR="00642A8C" w:rsidRPr="00FA020C" w:rsidRDefault="00642A8C" w:rsidP="00185F77">
      <w:pPr>
        <w:rPr>
          <w:lang w:val="en-US"/>
        </w:rPr>
      </w:pPr>
    </w:p>
    <w:bookmarkEnd w:id="4"/>
    <w:p w14:paraId="17F2A958" w14:textId="77777777" w:rsidR="00D521DD" w:rsidRPr="0014090F" w:rsidRDefault="00D521DD" w:rsidP="00D521DD">
      <w:pPr>
        <w:pStyle w:val="Heading1"/>
        <w:spacing w:after="180"/>
        <w:rPr>
          <w:rStyle w:val="Strong"/>
          <w:lang w:val="en-US"/>
        </w:rPr>
      </w:pPr>
      <w:r w:rsidRPr="0014090F">
        <w:rPr>
          <w:lang w:val="en-US"/>
        </w:rPr>
        <w:t>References</w:t>
      </w:r>
    </w:p>
    <w:p w14:paraId="2BA6E654" w14:textId="7541A36C" w:rsidR="00194686" w:rsidRPr="00194686" w:rsidRDefault="00194686" w:rsidP="00194686">
      <w:pPr>
        <w:pStyle w:val="textintend2"/>
        <w:rPr>
          <w:sz w:val="20"/>
        </w:rPr>
      </w:pPr>
      <w:r w:rsidRPr="00194686">
        <w:rPr>
          <w:sz w:val="20"/>
        </w:rPr>
        <w:t>RP-181429, “New SID: Study on NR V2X”, RAN#80, June 2018.</w:t>
      </w:r>
    </w:p>
    <w:p w14:paraId="03CA32E1" w14:textId="72276FA6" w:rsidR="005E3C76" w:rsidRDefault="00416A24" w:rsidP="00194686">
      <w:pPr>
        <w:pStyle w:val="textintend2"/>
        <w:rPr>
          <w:sz w:val="20"/>
        </w:rPr>
      </w:pPr>
      <w:r>
        <w:rPr>
          <w:sz w:val="20"/>
        </w:rPr>
        <w:t>“</w:t>
      </w:r>
      <w:r w:rsidRPr="00416A24">
        <w:rPr>
          <w:sz w:val="20"/>
        </w:rPr>
        <w:t>RAN1 Chairman’s Notes</w:t>
      </w:r>
      <w:r>
        <w:rPr>
          <w:sz w:val="20"/>
        </w:rPr>
        <w:t xml:space="preserve">”, </w:t>
      </w:r>
      <w:r w:rsidR="00115EFB">
        <w:rPr>
          <w:sz w:val="20"/>
        </w:rPr>
        <w:t>RAN1#9</w:t>
      </w:r>
      <w:r w:rsidR="00427E7B">
        <w:rPr>
          <w:sz w:val="20"/>
        </w:rPr>
        <w:t>4</w:t>
      </w:r>
      <w:r w:rsidR="00115EFB">
        <w:rPr>
          <w:sz w:val="20"/>
        </w:rPr>
        <w:t xml:space="preserve">, </w:t>
      </w:r>
      <w:r w:rsidR="00427E7B">
        <w:rPr>
          <w:sz w:val="20"/>
        </w:rPr>
        <w:t>August</w:t>
      </w:r>
      <w:r w:rsidR="00115EFB">
        <w:rPr>
          <w:sz w:val="20"/>
        </w:rPr>
        <w:t xml:space="preserve"> 201</w:t>
      </w:r>
      <w:r w:rsidR="00306BE3">
        <w:rPr>
          <w:sz w:val="20"/>
        </w:rPr>
        <w:t>8</w:t>
      </w:r>
      <w:r w:rsidR="00115EFB">
        <w:rPr>
          <w:sz w:val="20"/>
        </w:rPr>
        <w:t>.</w:t>
      </w:r>
    </w:p>
    <w:sectPr w:rsidR="005E3C76"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514D2" w14:textId="77777777" w:rsidR="000A5625" w:rsidRDefault="000A5625">
      <w:r>
        <w:separator/>
      </w:r>
    </w:p>
  </w:endnote>
  <w:endnote w:type="continuationSeparator" w:id="0">
    <w:p w14:paraId="6D9AC642" w14:textId="77777777" w:rsidR="000A5625" w:rsidRDefault="000A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0"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Ｐ明朝"/>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5BCF3B91" w:rsidR="00C907CF" w:rsidRDefault="008A5001">
    <w:pPr>
      <w:pStyle w:val="Footer"/>
      <w:jc w:val="center"/>
    </w:pPr>
    <w:r>
      <w:rPr>
        <w:b/>
      </w:rPr>
      <w:fldChar w:fldCharType="begin"/>
    </w:r>
    <w:r w:rsidR="00C907CF">
      <w:rPr>
        <w:b/>
      </w:rPr>
      <w:instrText>PAGE</w:instrText>
    </w:r>
    <w:r>
      <w:rPr>
        <w:b/>
      </w:rPr>
      <w:fldChar w:fldCharType="separate"/>
    </w:r>
    <w:r w:rsidR="004715B3">
      <w:rPr>
        <w:b/>
        <w:noProof/>
      </w:rPr>
      <w:t>4</w:t>
    </w:r>
    <w:r>
      <w:rPr>
        <w:b/>
      </w:rPr>
      <w:fldChar w:fldCharType="end"/>
    </w:r>
  </w:p>
  <w:p w14:paraId="501A83DD" w14:textId="77777777" w:rsidR="00C907CF" w:rsidRDefault="00C907C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11865" w14:textId="77777777" w:rsidR="000A5625" w:rsidRDefault="000A5625">
      <w:r>
        <w:separator/>
      </w:r>
    </w:p>
  </w:footnote>
  <w:footnote w:type="continuationSeparator" w:id="0">
    <w:p w14:paraId="4CC09E43" w14:textId="77777777" w:rsidR="000A5625" w:rsidRDefault="000A5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275CF1"/>
    <w:multiLevelType w:val="hybridMultilevel"/>
    <w:tmpl w:val="ABF67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9C84338"/>
    <w:multiLevelType w:val="hybridMultilevel"/>
    <w:tmpl w:val="0D4EDD8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EEB1EF4"/>
    <w:multiLevelType w:val="hybridMultilevel"/>
    <w:tmpl w:val="138AFBE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294E19"/>
    <w:multiLevelType w:val="hybridMultilevel"/>
    <w:tmpl w:val="A41A20BE"/>
    <w:lvl w:ilvl="0" w:tplc="F300F8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1"/>
  </w:num>
  <w:num w:numId="3">
    <w:abstractNumId w:val="4"/>
  </w:num>
  <w:num w:numId="4">
    <w:abstractNumId w:val="16"/>
  </w:num>
  <w:num w:numId="5">
    <w:abstractNumId w:val="9"/>
  </w:num>
  <w:num w:numId="6">
    <w:abstractNumId w:val="10"/>
  </w:num>
  <w:num w:numId="7">
    <w:abstractNumId w:val="7"/>
  </w:num>
  <w:num w:numId="8">
    <w:abstractNumId w:val="0"/>
  </w:num>
  <w:num w:numId="9">
    <w:abstractNumId w:val="17"/>
  </w:num>
  <w:num w:numId="10">
    <w:abstractNumId w:val="5"/>
  </w:num>
  <w:num w:numId="11">
    <w:abstractNumId w:val="12"/>
  </w:num>
  <w:num w:numId="12">
    <w:abstractNumId w:val="8"/>
  </w:num>
  <w:num w:numId="13">
    <w:abstractNumId w:val="2"/>
  </w:num>
  <w:num w:numId="14">
    <w:abstractNumId w:val="11"/>
  </w:num>
  <w:num w:numId="15">
    <w:abstractNumId w:val="13"/>
  </w:num>
  <w:num w:numId="16">
    <w:abstractNumId w:val="6"/>
  </w:num>
  <w:num w:numId="17">
    <w:abstractNumId w:val="14"/>
  </w:num>
  <w:num w:numId="1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5EC3"/>
    <w:rsid w:val="00026D2B"/>
    <w:rsid w:val="0002711C"/>
    <w:rsid w:val="000271FA"/>
    <w:rsid w:val="000273F8"/>
    <w:rsid w:val="00027923"/>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3F83"/>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A61"/>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625"/>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3990"/>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686"/>
    <w:rsid w:val="00194FED"/>
    <w:rsid w:val="001958D6"/>
    <w:rsid w:val="00195D0F"/>
    <w:rsid w:val="001961B9"/>
    <w:rsid w:val="00196BEE"/>
    <w:rsid w:val="001970A7"/>
    <w:rsid w:val="00197960"/>
    <w:rsid w:val="001A01D2"/>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B1A"/>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1727"/>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940"/>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6DFF"/>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3CA"/>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0D23"/>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6BE3"/>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6A5F"/>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4363"/>
    <w:rsid w:val="00395C5E"/>
    <w:rsid w:val="00396054"/>
    <w:rsid w:val="0039630B"/>
    <w:rsid w:val="003967C7"/>
    <w:rsid w:val="00396F16"/>
    <w:rsid w:val="003971A1"/>
    <w:rsid w:val="00397A1E"/>
    <w:rsid w:val="00397A2F"/>
    <w:rsid w:val="003A06EB"/>
    <w:rsid w:val="003A18FA"/>
    <w:rsid w:val="003A1AC6"/>
    <w:rsid w:val="003A2212"/>
    <w:rsid w:val="003A25D1"/>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28F"/>
    <w:rsid w:val="003C6651"/>
    <w:rsid w:val="003C69BF"/>
    <w:rsid w:val="003C6CE3"/>
    <w:rsid w:val="003C6DF2"/>
    <w:rsid w:val="003C7CCF"/>
    <w:rsid w:val="003D01A2"/>
    <w:rsid w:val="003D0477"/>
    <w:rsid w:val="003D0656"/>
    <w:rsid w:val="003D086D"/>
    <w:rsid w:val="003D0C6D"/>
    <w:rsid w:val="003D1551"/>
    <w:rsid w:val="003D1C41"/>
    <w:rsid w:val="003D2430"/>
    <w:rsid w:val="003D24A9"/>
    <w:rsid w:val="003D27EB"/>
    <w:rsid w:val="003D2BB7"/>
    <w:rsid w:val="003D2EE5"/>
    <w:rsid w:val="003D3253"/>
    <w:rsid w:val="003D38C1"/>
    <w:rsid w:val="003D4C28"/>
    <w:rsid w:val="003D4F59"/>
    <w:rsid w:val="003D54DF"/>
    <w:rsid w:val="003D5B4B"/>
    <w:rsid w:val="003D5DB7"/>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4AC"/>
    <w:rsid w:val="00401963"/>
    <w:rsid w:val="00401F8D"/>
    <w:rsid w:val="0040293D"/>
    <w:rsid w:val="00403691"/>
    <w:rsid w:val="0040442C"/>
    <w:rsid w:val="004047F6"/>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6EB8"/>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27E7B"/>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1E99"/>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15B3"/>
    <w:rsid w:val="00472076"/>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7F0"/>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702"/>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32C"/>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D72"/>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4DAB"/>
    <w:rsid w:val="006154DF"/>
    <w:rsid w:val="00615DA4"/>
    <w:rsid w:val="006165D3"/>
    <w:rsid w:val="00616810"/>
    <w:rsid w:val="00616D64"/>
    <w:rsid w:val="00616E0B"/>
    <w:rsid w:val="006178DF"/>
    <w:rsid w:val="006200F7"/>
    <w:rsid w:val="00620CFE"/>
    <w:rsid w:val="00620E2A"/>
    <w:rsid w:val="0062155F"/>
    <w:rsid w:val="006215CB"/>
    <w:rsid w:val="00621FE5"/>
    <w:rsid w:val="00622479"/>
    <w:rsid w:val="00622703"/>
    <w:rsid w:val="0062292D"/>
    <w:rsid w:val="00624BB9"/>
    <w:rsid w:val="0062500D"/>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4F59"/>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3714"/>
    <w:rsid w:val="00694253"/>
    <w:rsid w:val="006958AA"/>
    <w:rsid w:val="00695E83"/>
    <w:rsid w:val="006964EA"/>
    <w:rsid w:val="00696634"/>
    <w:rsid w:val="00697023"/>
    <w:rsid w:val="0069718D"/>
    <w:rsid w:val="006A11D9"/>
    <w:rsid w:val="006A145C"/>
    <w:rsid w:val="006A260F"/>
    <w:rsid w:val="006A30CC"/>
    <w:rsid w:val="006A46DF"/>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948"/>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6FD9"/>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A0A"/>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7F7"/>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4C6"/>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250"/>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CE2"/>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3C5C"/>
    <w:rsid w:val="008540BE"/>
    <w:rsid w:val="008544DF"/>
    <w:rsid w:val="008545C5"/>
    <w:rsid w:val="0085462C"/>
    <w:rsid w:val="00854C12"/>
    <w:rsid w:val="00855BE3"/>
    <w:rsid w:val="0085605A"/>
    <w:rsid w:val="00856C22"/>
    <w:rsid w:val="00856E46"/>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040"/>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65F1"/>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9E3"/>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622"/>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0"/>
    <w:rsid w:val="009F22B9"/>
    <w:rsid w:val="009F2578"/>
    <w:rsid w:val="009F28C9"/>
    <w:rsid w:val="009F2C95"/>
    <w:rsid w:val="009F2FB7"/>
    <w:rsid w:val="009F40AC"/>
    <w:rsid w:val="009F4DD6"/>
    <w:rsid w:val="009F5BB2"/>
    <w:rsid w:val="009F5BE4"/>
    <w:rsid w:val="009F6652"/>
    <w:rsid w:val="009F6EC0"/>
    <w:rsid w:val="009F730A"/>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6FC0"/>
    <w:rsid w:val="00A577A5"/>
    <w:rsid w:val="00A60062"/>
    <w:rsid w:val="00A600BF"/>
    <w:rsid w:val="00A6037D"/>
    <w:rsid w:val="00A60627"/>
    <w:rsid w:val="00A615F1"/>
    <w:rsid w:val="00A61E3F"/>
    <w:rsid w:val="00A62318"/>
    <w:rsid w:val="00A62B44"/>
    <w:rsid w:val="00A62C3D"/>
    <w:rsid w:val="00A62E95"/>
    <w:rsid w:val="00A639AF"/>
    <w:rsid w:val="00A64E31"/>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CA6"/>
    <w:rsid w:val="00A90ECB"/>
    <w:rsid w:val="00A912DD"/>
    <w:rsid w:val="00A91691"/>
    <w:rsid w:val="00A91927"/>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A09"/>
    <w:rsid w:val="00B33BBA"/>
    <w:rsid w:val="00B347FB"/>
    <w:rsid w:val="00B34D6E"/>
    <w:rsid w:val="00B3680A"/>
    <w:rsid w:val="00B400B6"/>
    <w:rsid w:val="00B416C6"/>
    <w:rsid w:val="00B416DC"/>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5C1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0A1"/>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1197"/>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7BF"/>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930"/>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2EA"/>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BBD"/>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437"/>
    <w:rsid w:val="00D63DB3"/>
    <w:rsid w:val="00D64654"/>
    <w:rsid w:val="00D651FD"/>
    <w:rsid w:val="00D65331"/>
    <w:rsid w:val="00D6544E"/>
    <w:rsid w:val="00D65A9F"/>
    <w:rsid w:val="00D65D50"/>
    <w:rsid w:val="00D66A46"/>
    <w:rsid w:val="00D66CF4"/>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38"/>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F06"/>
    <w:rsid w:val="00DA61C8"/>
    <w:rsid w:val="00DA64D0"/>
    <w:rsid w:val="00DA6502"/>
    <w:rsid w:val="00DA663D"/>
    <w:rsid w:val="00DA66BC"/>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1CF7"/>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112B"/>
    <w:rsid w:val="00E125DC"/>
    <w:rsid w:val="00E1274B"/>
    <w:rsid w:val="00E129D5"/>
    <w:rsid w:val="00E12D43"/>
    <w:rsid w:val="00E13037"/>
    <w:rsid w:val="00E1308B"/>
    <w:rsid w:val="00E13124"/>
    <w:rsid w:val="00E13466"/>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2E7"/>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5F2E"/>
    <w:rsid w:val="00E86226"/>
    <w:rsid w:val="00E90062"/>
    <w:rsid w:val="00E9050E"/>
    <w:rsid w:val="00E91212"/>
    <w:rsid w:val="00E92023"/>
    <w:rsid w:val="00E923F6"/>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79"/>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0DB5"/>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72E"/>
    <w:rsid w:val="00FC5ADB"/>
    <w:rsid w:val="00FC6178"/>
    <w:rsid w:val="00FC61FD"/>
    <w:rsid w:val="00FD053F"/>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1BD"/>
    <w:rsid w:val="00FF384F"/>
    <w:rsid w:val="00FF3FB9"/>
    <w:rsid w:val="00FF447F"/>
    <w:rsid w:val="00FF4B32"/>
    <w:rsid w:val="00FF5BFC"/>
    <w:rsid w:val="00FF5ED4"/>
    <w:rsid w:val="00FF5FE9"/>
    <w:rsid w:val="00FF7386"/>
    <w:rsid w:val="00FF7677"/>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7CF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semiHidden/>
    <w:rsid w:val="00A16CE4"/>
    <w:rPr>
      <w:rFonts w:cs="Times New Roman"/>
      <w:sz w:val="18"/>
    </w:rPr>
  </w:style>
  <w:style w:type="paragraph" w:styleId="CommentText">
    <w:name w:val="annotation text"/>
    <w:basedOn w:val="Normal"/>
    <w:link w:val="CommentTextChar"/>
    <w:semiHidden/>
    <w:rsid w:val="00A16CE4"/>
    <w:pPr>
      <w:jc w:val="left"/>
    </w:pPr>
  </w:style>
  <w:style w:type="character" w:customStyle="1" w:styleId="CommentTextChar">
    <w:name w:val="Comment Text Char"/>
    <w:link w:val="CommentText"/>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목록 단락"/>
    <w:basedOn w:val="Normal"/>
    <w:link w:val="ListParagraphChar"/>
    <w:uiPriority w:val="34"/>
    <w:qFormat/>
    <w:rsid w:val="007C1BFF"/>
    <w:pPr>
      <w:ind w:firstLineChars="200" w:firstLine="420"/>
    </w:pPr>
  </w:style>
  <w:style w:type="character" w:customStyle="1" w:styleId="ListParagraphChar">
    <w:name w:val="List Paragraph Char"/>
    <w:aliases w:val="- Bullets Char,목록 단락 Char"/>
    <w:link w:val="ListParagraph"/>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3GPPAgreements">
    <w:name w:val="3GPP Agreements"/>
    <w:basedOn w:val="Normal"/>
    <w:qFormat/>
    <w:rsid w:val="003D3253"/>
    <w:pPr>
      <w:numPr>
        <w:numId w:val="16"/>
      </w:numPr>
      <w:overflowPunct w:val="0"/>
      <w:autoSpaceDE w:val="0"/>
      <w:autoSpaceDN w:val="0"/>
      <w:adjustRightInd w:val="0"/>
      <w:snapToGrid/>
      <w:spacing w:before="60" w:after="60" w:afterAutospacing="0"/>
      <w:textAlignment w:val="baseline"/>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488051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1310581">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813514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57035260">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A47DC2-38AE-4C8D-B9A2-D36B769EC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Words>
  <Characters>3185</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5</vt:i4>
      </vt:variant>
    </vt:vector>
  </HeadingPairs>
  <TitlesOfParts>
    <vt:vector size="7" baseType="lpstr">
      <vt:lpstr>3GPP TSG RAN WG1 Meeting</vt:lpstr>
      <vt:lpstr>3GPP TSG RAN WG1 Meeting</vt:lpstr>
      <vt:lpstr>Introduction</vt:lpstr>
      <vt:lpstr>Discussions</vt:lpstr>
      <vt:lpstr>Conclusion</vt:lpstr>
      <vt:lpstr>References</vt:lpstr>
      <vt:lpstr>Annex</vt:lpstr>
    </vt:vector>
  </TitlesOfParts>
  <Company>Microsoft</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Yokomakura, Kazunari</cp:lastModifiedBy>
  <cp:revision>5</cp:revision>
  <cp:lastPrinted>2018-03-30T07:43:00Z</cp:lastPrinted>
  <dcterms:created xsi:type="dcterms:W3CDTF">2018-09-27T21:31:00Z</dcterms:created>
  <dcterms:modified xsi:type="dcterms:W3CDTF">2018-09-28T05:14:00Z</dcterms:modified>
</cp:coreProperties>
</file>