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61AE" w:rsidRPr="00560B42" w:rsidRDefault="009661AE" w:rsidP="009661AE">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bookmarkStart w:id="2" w:name="_GoBack"/>
      <w:bookmarkEnd w:id="2"/>
      <w:r>
        <w:rPr>
          <w:rFonts w:ascii="Arial" w:eastAsia="Batang" w:hAnsi="Arial" w:cs="Arial"/>
          <w:b/>
          <w:bCs/>
          <w:sz w:val="28"/>
          <w:szCs w:val="24"/>
          <w:lang w:eastAsia="en-US"/>
        </w:rPr>
        <w:t xml:space="preserve">3GPP TSG RAN WG1 Meeting </w:t>
      </w:r>
      <w:r>
        <w:rPr>
          <w:rFonts w:ascii="Arial" w:eastAsiaTheme="minorEastAsia" w:hAnsi="Arial" w:cs="Arial" w:hint="eastAsia"/>
          <w:b/>
          <w:bCs/>
          <w:sz w:val="28"/>
          <w:szCs w:val="24"/>
        </w:rPr>
        <w:t>#9</w:t>
      </w:r>
      <w:r>
        <w:rPr>
          <w:rFonts w:ascii="Arial" w:eastAsiaTheme="minorEastAsia" w:hAnsi="Arial" w:cs="Arial"/>
          <w:b/>
          <w:bCs/>
          <w:sz w:val="28"/>
          <w:szCs w:val="24"/>
        </w:rPr>
        <w:t>4bis</w:t>
      </w:r>
      <w:r>
        <w:rPr>
          <w:rFonts w:ascii="Arial" w:eastAsiaTheme="minorEastAsia" w:hAnsi="Arial" w:cs="Arial" w:hint="eastAsia"/>
          <w:b/>
          <w:bCs/>
          <w:sz w:val="28"/>
          <w:szCs w:val="24"/>
        </w:rPr>
        <w:tab/>
      </w:r>
      <w:r>
        <w:rPr>
          <w:rFonts w:ascii="Arial" w:eastAsiaTheme="minorEastAsia" w:hAnsi="Arial" w:cs="Arial" w:hint="eastAsia"/>
          <w:b/>
          <w:bCs/>
          <w:sz w:val="28"/>
          <w:szCs w:val="24"/>
        </w:rPr>
        <w:tab/>
      </w:r>
      <w:r w:rsidR="00F22317" w:rsidRPr="00F22317">
        <w:rPr>
          <w:rFonts w:ascii="Arial" w:eastAsiaTheme="minorEastAsia" w:hAnsi="Arial" w:cs="Arial"/>
          <w:b/>
          <w:bCs/>
          <w:sz w:val="28"/>
          <w:szCs w:val="24"/>
        </w:rPr>
        <w:t>R1-1811151</w:t>
      </w:r>
    </w:p>
    <w:p w:rsidR="009661AE" w:rsidRDefault="009661AE" w:rsidP="009661AE">
      <w:pPr>
        <w:tabs>
          <w:tab w:val="center" w:pos="4536"/>
          <w:tab w:val="right" w:pos="9072"/>
        </w:tabs>
        <w:snapToGrid/>
        <w:spacing w:after="0" w:afterAutospacing="0"/>
        <w:ind w:left="1440" w:hanging="1440"/>
        <w:jc w:val="left"/>
        <w:rPr>
          <w:rFonts w:ascii="Arial" w:eastAsia="ＭＳ 明朝" w:hAnsi="Arial" w:cs="Arial"/>
          <w:b/>
          <w:bCs/>
          <w:sz w:val="28"/>
          <w:szCs w:val="24"/>
        </w:rPr>
      </w:pPr>
      <w:r w:rsidRPr="00560B42">
        <w:rPr>
          <w:rFonts w:ascii="Arial" w:eastAsia="ＭＳ 明朝" w:hAnsi="Arial" w:cs="Arial"/>
          <w:b/>
          <w:bCs/>
          <w:sz w:val="28"/>
        </w:rPr>
        <w:t>Chengdu</w:t>
      </w:r>
      <w:r>
        <w:rPr>
          <w:rFonts w:ascii="Arial" w:eastAsia="ＭＳ 明朝" w:hAnsi="Arial" w:cs="Arial"/>
          <w:b/>
          <w:bCs/>
          <w:sz w:val="28"/>
        </w:rPr>
        <w:t>, China, October 8</w:t>
      </w:r>
      <w:r w:rsidRPr="00DA2426">
        <w:rPr>
          <w:rFonts w:ascii="Arial" w:eastAsia="ＭＳ 明朝" w:hAnsi="Arial" w:cs="Arial"/>
          <w:b/>
          <w:bCs/>
          <w:sz w:val="28"/>
          <w:vertAlign w:val="superscript"/>
        </w:rPr>
        <w:t>th</w:t>
      </w:r>
      <w:r>
        <w:rPr>
          <w:rFonts w:ascii="Arial" w:eastAsia="ＭＳ 明朝" w:hAnsi="Arial" w:cs="Arial"/>
          <w:b/>
          <w:bCs/>
          <w:sz w:val="28"/>
        </w:rPr>
        <w:t xml:space="preserve"> – 12</w:t>
      </w:r>
      <w:r w:rsidRPr="00DA2426">
        <w:rPr>
          <w:rFonts w:ascii="Arial" w:eastAsia="ＭＳ 明朝" w:hAnsi="Arial" w:cs="Arial"/>
          <w:b/>
          <w:bCs/>
          <w:sz w:val="28"/>
          <w:vertAlign w:val="superscript"/>
        </w:rPr>
        <w:t>th</w:t>
      </w:r>
      <w:r>
        <w:rPr>
          <w:rFonts w:ascii="Arial" w:eastAsia="ＭＳ 明朝" w:hAnsi="Arial" w:cs="Arial"/>
          <w:b/>
          <w:bCs/>
          <w:sz w:val="28"/>
        </w:rPr>
        <w:t>, 2018</w:t>
      </w:r>
    </w:p>
    <w:p w:rsidR="009661AE" w:rsidRPr="001617EF" w:rsidRDefault="009661AE" w:rsidP="009661AE">
      <w:pPr>
        <w:pStyle w:val="a3"/>
        <w:rPr>
          <w:rFonts w:cs="Arial"/>
          <w:bCs/>
          <w:sz w:val="28"/>
        </w:rPr>
      </w:pPr>
    </w:p>
    <w:bookmarkEnd w:id="0"/>
    <w:p w:rsidR="009661AE" w:rsidRPr="00442959" w:rsidRDefault="009661AE" w:rsidP="009661AE">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9661AE" w:rsidRPr="00CE63BF" w:rsidRDefault="009661AE" w:rsidP="009661AE">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021BA0">
        <w:rPr>
          <w:rFonts w:ascii="Arial" w:hAnsi="Arial" w:cs="Arial"/>
          <w:b/>
          <w:sz w:val="28"/>
          <w:szCs w:val="28"/>
          <w:lang w:val="en-US"/>
        </w:rPr>
        <w:t>HARQ enhancement</w:t>
      </w:r>
      <w:r w:rsidRPr="00374689">
        <w:rPr>
          <w:rFonts w:ascii="Arial" w:hAnsi="Arial" w:cs="Arial"/>
          <w:b/>
          <w:sz w:val="28"/>
          <w:szCs w:val="28"/>
          <w:lang w:val="en-US"/>
        </w:rPr>
        <w:t xml:space="preserve"> for NR unlicensed operation</w:t>
      </w:r>
    </w:p>
    <w:p w:rsidR="009661AE" w:rsidRPr="00CE63BF" w:rsidRDefault="009661AE" w:rsidP="009661AE">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Pr>
          <w:rFonts w:ascii="Arial" w:eastAsiaTheme="minorEastAsia" w:hAnsi="Arial" w:cs="Arial" w:hint="eastAsia"/>
          <w:b/>
          <w:sz w:val="28"/>
          <w:szCs w:val="28"/>
          <w:lang w:val="pt-BR"/>
        </w:rPr>
        <w:t>7.</w:t>
      </w:r>
      <w:r w:rsidR="00725FAD">
        <w:rPr>
          <w:rFonts w:ascii="Arial" w:eastAsiaTheme="minorEastAsia" w:hAnsi="Arial" w:cs="Arial"/>
          <w:b/>
          <w:sz w:val="28"/>
          <w:szCs w:val="28"/>
          <w:lang w:val="pt-BR"/>
        </w:rPr>
        <w:t>2</w:t>
      </w:r>
      <w:r>
        <w:rPr>
          <w:rFonts w:ascii="Arial" w:eastAsiaTheme="minorEastAsia" w:hAnsi="Arial" w:cs="Arial"/>
          <w:b/>
          <w:sz w:val="28"/>
          <w:szCs w:val="28"/>
          <w:lang w:val="pt-BR"/>
        </w:rPr>
        <w:t>.</w:t>
      </w:r>
      <w:r w:rsidR="00725FAD">
        <w:rPr>
          <w:rFonts w:ascii="Arial" w:eastAsiaTheme="minorEastAsia" w:hAnsi="Arial" w:cs="Arial"/>
          <w:b/>
          <w:sz w:val="28"/>
          <w:szCs w:val="28"/>
          <w:lang w:val="pt-BR"/>
        </w:rPr>
        <w:t>2</w:t>
      </w:r>
      <w:r>
        <w:rPr>
          <w:rFonts w:ascii="Arial" w:eastAsiaTheme="minorEastAsia" w:hAnsi="Arial" w:cs="Arial"/>
          <w:b/>
          <w:sz w:val="28"/>
          <w:szCs w:val="28"/>
          <w:lang w:val="pt-BR"/>
        </w:rPr>
        <w:t>.</w:t>
      </w:r>
      <w:r w:rsidR="00725FAD">
        <w:rPr>
          <w:rFonts w:ascii="Arial" w:eastAsiaTheme="minorEastAsia" w:hAnsi="Arial" w:cs="Arial"/>
          <w:b/>
          <w:sz w:val="28"/>
          <w:szCs w:val="28"/>
          <w:lang w:val="pt-BR"/>
        </w:rPr>
        <w:t>4.3</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311836">
        <w:rPr>
          <w:rFonts w:ascii="Arial" w:hAnsi="Arial" w:cs="Arial"/>
          <w:b/>
          <w:sz w:val="28"/>
          <w:szCs w:val="28"/>
          <w:lang w:val="en-US"/>
        </w:rPr>
        <w:t xml:space="preserve"> and Decision</w:t>
      </w:r>
    </w:p>
    <w:bookmarkEnd w:id="1"/>
    <w:p w:rsidR="00004B52" w:rsidRPr="00442959" w:rsidRDefault="005F4BD8" w:rsidP="005544D4">
      <w:pPr>
        <w:pStyle w:val="10"/>
        <w:adjustRightInd w:val="0"/>
        <w:spacing w:before="100" w:beforeAutospacing="1" w:afterLines="0"/>
        <w:rPr>
          <w:lang w:val="en-US"/>
        </w:rPr>
      </w:pPr>
      <w:r>
        <w:rPr>
          <w:lang w:val="en-US"/>
        </w:rPr>
        <w:t>Background</w:t>
      </w:r>
    </w:p>
    <w:p w:rsidR="009D5671" w:rsidRDefault="00D85D82" w:rsidP="00DA205D">
      <w:pPr>
        <w:autoSpaceDE w:val="0"/>
        <w:autoSpaceDN w:val="0"/>
        <w:adjustRightInd w:val="0"/>
        <w:spacing w:after="0" w:afterAutospacing="0"/>
        <w:rPr>
          <w:rFonts w:cs="Arial"/>
          <w:szCs w:val="24"/>
        </w:rPr>
      </w:pPr>
      <w:r>
        <w:rPr>
          <w:rFonts w:cs="Arial"/>
          <w:szCs w:val="24"/>
          <w:lang w:eastAsia="zh-CN"/>
        </w:rPr>
        <w:t>In RAN</w:t>
      </w:r>
      <w:r w:rsidR="00B325AA">
        <w:rPr>
          <w:rFonts w:cs="Arial" w:hint="eastAsia"/>
          <w:szCs w:val="24"/>
        </w:rPr>
        <w:t>#</w:t>
      </w:r>
      <w:r w:rsidR="000A3E79">
        <w:rPr>
          <w:rFonts w:cs="Arial"/>
          <w:szCs w:val="24"/>
        </w:rPr>
        <w:t>9</w:t>
      </w:r>
      <w:r w:rsidR="00BC2DCE">
        <w:rPr>
          <w:rFonts w:cs="Arial"/>
          <w:szCs w:val="24"/>
        </w:rPr>
        <w:t>4</w:t>
      </w:r>
      <w:r>
        <w:rPr>
          <w:rFonts w:cs="Arial" w:hint="eastAsia"/>
          <w:szCs w:val="24"/>
        </w:rPr>
        <w:t xml:space="preserve"> meeting</w:t>
      </w:r>
      <w:r w:rsidR="007B4675">
        <w:rPr>
          <w:rFonts w:cs="Arial"/>
          <w:szCs w:val="24"/>
          <w:lang w:eastAsia="zh-CN"/>
        </w:rPr>
        <w:t xml:space="preserve"> </w:t>
      </w:r>
      <w:r w:rsidR="00BC2DCE">
        <w:rPr>
          <w:rFonts w:cs="Arial"/>
          <w:szCs w:val="24"/>
        </w:rPr>
        <w:t>the following agreements were made</w:t>
      </w:r>
      <w:r w:rsidR="00021BA0">
        <w:rPr>
          <w:rFonts w:cs="Arial"/>
          <w:szCs w:val="24"/>
        </w:rPr>
        <w:t xml:space="preserve"> for HARQ feedback timing</w:t>
      </w:r>
      <w:r w:rsidR="002B2FD8">
        <w:rPr>
          <w:rFonts w:cs="Arial"/>
          <w:szCs w:val="24"/>
        </w:rPr>
        <w:t xml:space="preserve"> [1]</w:t>
      </w:r>
      <w:r w:rsidR="00870617">
        <w:rPr>
          <w:rFonts w:cs="Arial" w:hint="eastAsia"/>
          <w:szCs w:val="24"/>
        </w:rPr>
        <w:t>.</w:t>
      </w:r>
    </w:p>
    <w:tbl>
      <w:tblPr>
        <w:tblStyle w:val="af0"/>
        <w:tblW w:w="0" w:type="auto"/>
        <w:tblLook w:val="04A0" w:firstRow="1" w:lastRow="0" w:firstColumn="1" w:lastColumn="0" w:noHBand="0" w:noVBand="1"/>
      </w:tblPr>
      <w:tblGrid>
        <w:gridCol w:w="10162"/>
      </w:tblGrid>
      <w:tr w:rsidR="000A3E79" w:rsidTr="000A3E79">
        <w:tc>
          <w:tcPr>
            <w:tcW w:w="10162" w:type="dxa"/>
          </w:tcPr>
          <w:p w:rsidR="00021BA0" w:rsidRPr="004108E1" w:rsidRDefault="00021BA0" w:rsidP="00021BA0">
            <w:pPr>
              <w:spacing w:after="0"/>
              <w:rPr>
                <w:lang w:eastAsia="x-none"/>
              </w:rPr>
            </w:pPr>
            <w:r w:rsidRPr="004108E1">
              <w:rPr>
                <w:highlight w:val="green"/>
                <w:lang w:eastAsia="x-none"/>
              </w:rPr>
              <w:t>Agreement:</w:t>
            </w:r>
            <w:r w:rsidRPr="004108E1">
              <w:rPr>
                <w:rFonts w:hint="eastAsia"/>
                <w:lang w:eastAsia="x-none"/>
              </w:rPr>
              <w:t xml:space="preserve"> </w:t>
            </w:r>
          </w:p>
          <w:p w:rsidR="00021BA0" w:rsidRPr="004108E1" w:rsidRDefault="00021BA0" w:rsidP="00021BA0">
            <w:pPr>
              <w:widowControl w:val="0"/>
              <w:numPr>
                <w:ilvl w:val="0"/>
                <w:numId w:val="20"/>
              </w:numPr>
              <w:autoSpaceDE w:val="0"/>
              <w:autoSpaceDN w:val="0"/>
              <w:adjustRightInd w:val="0"/>
              <w:snapToGrid/>
              <w:spacing w:after="0" w:afterAutospacing="0"/>
              <w:jc w:val="left"/>
              <w:rPr>
                <w:lang w:eastAsia="x-none"/>
              </w:rPr>
            </w:pPr>
            <w:r w:rsidRPr="004108E1">
              <w:rPr>
                <w:lang w:eastAsia="x-none"/>
              </w:rPr>
              <w:t>NR-U should support both:</w:t>
            </w:r>
          </w:p>
          <w:p w:rsidR="00021BA0" w:rsidRPr="004108E1" w:rsidRDefault="00021BA0" w:rsidP="00021BA0">
            <w:pPr>
              <w:widowControl w:val="0"/>
              <w:numPr>
                <w:ilvl w:val="1"/>
                <w:numId w:val="20"/>
              </w:numPr>
              <w:autoSpaceDE w:val="0"/>
              <w:autoSpaceDN w:val="0"/>
              <w:adjustRightInd w:val="0"/>
              <w:snapToGrid/>
              <w:spacing w:after="0" w:afterAutospacing="0"/>
              <w:jc w:val="left"/>
              <w:rPr>
                <w:lang w:eastAsia="x-none"/>
              </w:rPr>
            </w:pPr>
            <w:r w:rsidRPr="004108E1">
              <w:rPr>
                <w:lang w:eastAsia="x-none"/>
              </w:rPr>
              <w:t>HARQ feedback corresponding to some or all the PDSCHs of a channel occupancy can be reported in the same channel occupancy</w:t>
            </w:r>
          </w:p>
          <w:p w:rsidR="00021BA0" w:rsidRPr="004108E1" w:rsidRDefault="00021BA0" w:rsidP="00021BA0">
            <w:pPr>
              <w:widowControl w:val="0"/>
              <w:numPr>
                <w:ilvl w:val="2"/>
                <w:numId w:val="20"/>
              </w:numPr>
              <w:autoSpaceDE w:val="0"/>
              <w:autoSpaceDN w:val="0"/>
              <w:adjustRightInd w:val="0"/>
              <w:snapToGrid/>
              <w:spacing w:after="0" w:afterAutospacing="0"/>
              <w:jc w:val="left"/>
              <w:rPr>
                <w:lang w:eastAsia="x-none"/>
              </w:rPr>
            </w:pPr>
            <w:r w:rsidRPr="004108E1">
              <w:rPr>
                <w:bCs/>
                <w:lang w:eastAsia="x-none"/>
              </w:rPr>
              <w:t>It is found beneficial to extend the PDSCH-to-HARQ-timing to support indicating timings up to the end of the longest COT allowed by regulations, one or more of the following would be needed:</w:t>
            </w:r>
          </w:p>
          <w:p w:rsidR="00021BA0" w:rsidRPr="004108E1" w:rsidRDefault="00021BA0" w:rsidP="00021BA0">
            <w:pPr>
              <w:widowControl w:val="0"/>
              <w:numPr>
                <w:ilvl w:val="3"/>
                <w:numId w:val="20"/>
              </w:numPr>
              <w:autoSpaceDE w:val="0"/>
              <w:autoSpaceDN w:val="0"/>
              <w:adjustRightInd w:val="0"/>
              <w:snapToGrid/>
              <w:spacing w:after="0" w:afterAutospacing="0"/>
              <w:jc w:val="left"/>
              <w:rPr>
                <w:lang w:eastAsia="x-none"/>
              </w:rPr>
            </w:pPr>
            <w:r w:rsidRPr="004108E1">
              <w:rPr>
                <w:bCs/>
                <w:lang w:eastAsia="x-none"/>
              </w:rPr>
              <w:t>Allow values larger than 15 by RRC signaling (FFS the largest value needed)</w:t>
            </w:r>
          </w:p>
          <w:p w:rsidR="00021BA0" w:rsidRPr="004108E1" w:rsidRDefault="00021BA0" w:rsidP="00021BA0">
            <w:pPr>
              <w:widowControl w:val="0"/>
              <w:numPr>
                <w:ilvl w:val="4"/>
                <w:numId w:val="20"/>
              </w:numPr>
              <w:autoSpaceDE w:val="0"/>
              <w:autoSpaceDN w:val="0"/>
              <w:adjustRightInd w:val="0"/>
              <w:snapToGrid/>
              <w:spacing w:after="0" w:afterAutospacing="0"/>
              <w:jc w:val="left"/>
              <w:rPr>
                <w:lang w:eastAsia="x-none"/>
              </w:rPr>
            </w:pPr>
            <w:r>
              <w:rPr>
                <w:bCs/>
                <w:lang w:eastAsia="x-none"/>
              </w:rPr>
              <w:t>N</w:t>
            </w:r>
            <w:r w:rsidRPr="004108E1">
              <w:rPr>
                <w:bCs/>
                <w:lang w:eastAsia="x-none"/>
              </w:rPr>
              <w:t>ote: in some cases this may point outside of the COT</w:t>
            </w:r>
          </w:p>
          <w:p w:rsidR="00021BA0" w:rsidRPr="004108E1" w:rsidRDefault="00021BA0" w:rsidP="00021BA0">
            <w:pPr>
              <w:widowControl w:val="0"/>
              <w:numPr>
                <w:ilvl w:val="3"/>
                <w:numId w:val="20"/>
              </w:numPr>
              <w:autoSpaceDE w:val="0"/>
              <w:autoSpaceDN w:val="0"/>
              <w:adjustRightInd w:val="0"/>
              <w:snapToGrid/>
              <w:spacing w:after="0" w:afterAutospacing="0"/>
              <w:jc w:val="left"/>
              <w:rPr>
                <w:lang w:eastAsia="x-none"/>
              </w:rPr>
            </w:pPr>
            <w:r w:rsidRPr="004108E1">
              <w:rPr>
                <w:bCs/>
                <w:lang w:eastAsia="x-none"/>
              </w:rPr>
              <w:t>Allow more bits for the PDSCH-to-HARQ-timing-indicator</w:t>
            </w:r>
          </w:p>
          <w:p w:rsidR="00021BA0" w:rsidRPr="004108E1" w:rsidRDefault="00021BA0" w:rsidP="00021BA0">
            <w:pPr>
              <w:widowControl w:val="0"/>
              <w:numPr>
                <w:ilvl w:val="1"/>
                <w:numId w:val="20"/>
              </w:numPr>
              <w:autoSpaceDE w:val="0"/>
              <w:autoSpaceDN w:val="0"/>
              <w:adjustRightInd w:val="0"/>
              <w:snapToGrid/>
              <w:spacing w:after="0" w:afterAutospacing="0"/>
              <w:jc w:val="left"/>
              <w:rPr>
                <w:lang w:eastAsia="x-none"/>
              </w:rPr>
            </w:pPr>
            <w:r w:rsidRPr="004108E1">
              <w:rPr>
                <w:lang w:eastAsia="x-none"/>
              </w:rPr>
              <w:t>HARQ feedback corresponding to PDSCHs of a channel occupancy can be reported outside of that channel occupancy. These possible candidate solutions can be considered:</w:t>
            </w:r>
          </w:p>
          <w:p w:rsidR="00021BA0" w:rsidRPr="004108E1" w:rsidRDefault="00021BA0" w:rsidP="00021BA0">
            <w:pPr>
              <w:widowControl w:val="0"/>
              <w:numPr>
                <w:ilvl w:val="2"/>
                <w:numId w:val="20"/>
              </w:numPr>
              <w:autoSpaceDE w:val="0"/>
              <w:autoSpaceDN w:val="0"/>
              <w:adjustRightInd w:val="0"/>
              <w:snapToGrid/>
              <w:spacing w:after="0" w:afterAutospacing="0"/>
              <w:jc w:val="left"/>
              <w:rPr>
                <w:lang w:eastAsia="x-none"/>
              </w:rPr>
            </w:pPr>
            <w:r w:rsidRPr="004108E1">
              <w:rPr>
                <w:lang w:eastAsia="x-none"/>
              </w:rPr>
              <w:t>Alt1: gNB requests/triggers feedback for PDSCH from earlier COT(s)</w:t>
            </w:r>
          </w:p>
          <w:p w:rsidR="00021BA0" w:rsidRPr="004108E1" w:rsidRDefault="00021BA0" w:rsidP="00021BA0">
            <w:pPr>
              <w:widowControl w:val="0"/>
              <w:numPr>
                <w:ilvl w:val="2"/>
                <w:numId w:val="20"/>
              </w:numPr>
              <w:autoSpaceDE w:val="0"/>
              <w:autoSpaceDN w:val="0"/>
              <w:adjustRightInd w:val="0"/>
              <w:snapToGrid/>
              <w:spacing w:after="0" w:afterAutospacing="0"/>
              <w:jc w:val="left"/>
              <w:rPr>
                <w:lang w:eastAsia="x-none"/>
              </w:rPr>
            </w:pPr>
            <w:r w:rsidRPr="004108E1">
              <w:rPr>
                <w:lang w:eastAsia="x-none"/>
              </w:rPr>
              <w:t>Alt2: UE is configured to report HARQ feedback for PDSCH from earlier COT(s) without an explicit request/trigger</w:t>
            </w:r>
          </w:p>
          <w:p w:rsidR="00021BA0" w:rsidRPr="004108E1" w:rsidRDefault="00021BA0" w:rsidP="00021BA0">
            <w:pPr>
              <w:widowControl w:val="0"/>
              <w:numPr>
                <w:ilvl w:val="2"/>
                <w:numId w:val="20"/>
              </w:numPr>
              <w:autoSpaceDE w:val="0"/>
              <w:autoSpaceDN w:val="0"/>
              <w:adjustRightInd w:val="0"/>
              <w:snapToGrid/>
              <w:spacing w:after="0" w:afterAutospacing="0"/>
              <w:jc w:val="left"/>
              <w:rPr>
                <w:lang w:eastAsia="x-none"/>
              </w:rPr>
            </w:pPr>
            <w:r w:rsidRPr="004108E1">
              <w:rPr>
                <w:lang w:eastAsia="x-none"/>
              </w:rPr>
              <w:t xml:space="preserve">Alt3: by </w:t>
            </w:r>
            <w:r w:rsidRPr="004108E1">
              <w:rPr>
                <w:bCs/>
                <w:lang w:eastAsia="x-none"/>
              </w:rPr>
              <w:t>PDSCH-to-HARQ-timing-indicator in the DCI scheduling the PDSCH</w:t>
            </w:r>
          </w:p>
          <w:p w:rsidR="00021BA0" w:rsidRPr="004108E1" w:rsidRDefault="00021BA0" w:rsidP="00021BA0">
            <w:pPr>
              <w:widowControl w:val="0"/>
              <w:numPr>
                <w:ilvl w:val="2"/>
                <w:numId w:val="20"/>
              </w:numPr>
              <w:autoSpaceDE w:val="0"/>
              <w:autoSpaceDN w:val="0"/>
              <w:adjustRightInd w:val="0"/>
              <w:snapToGrid/>
              <w:spacing w:after="0" w:afterAutospacing="0"/>
              <w:jc w:val="left"/>
              <w:rPr>
                <w:lang w:eastAsia="x-none"/>
              </w:rPr>
            </w:pPr>
            <w:r w:rsidRPr="004108E1">
              <w:rPr>
                <w:bCs/>
                <w:lang w:eastAsia="x-none"/>
              </w:rPr>
              <w:t>Note: the alternatives above are at least applicable for the case where there is no HARQ feedback expected in the same channel occupancy as the PDSCH</w:t>
            </w:r>
          </w:p>
          <w:p w:rsidR="00021BA0" w:rsidRPr="004108E1" w:rsidRDefault="00021BA0" w:rsidP="00021BA0">
            <w:pPr>
              <w:widowControl w:val="0"/>
              <w:numPr>
                <w:ilvl w:val="2"/>
                <w:numId w:val="20"/>
              </w:numPr>
              <w:autoSpaceDE w:val="0"/>
              <w:autoSpaceDN w:val="0"/>
              <w:adjustRightInd w:val="0"/>
              <w:snapToGrid/>
              <w:spacing w:after="0" w:afterAutospacing="0"/>
              <w:jc w:val="left"/>
              <w:rPr>
                <w:lang w:eastAsia="x-none"/>
              </w:rPr>
            </w:pPr>
            <w:r w:rsidRPr="004108E1">
              <w:rPr>
                <w:bCs/>
                <w:lang w:eastAsia="x-none"/>
              </w:rPr>
              <w:t>Study the impact of the above candidate solutions on the HARQ codebook</w:t>
            </w:r>
          </w:p>
          <w:p w:rsidR="00AB0264" w:rsidRPr="00021BA0" w:rsidRDefault="00AB0264" w:rsidP="00AB0264">
            <w:pPr>
              <w:widowControl w:val="0"/>
              <w:snapToGrid/>
              <w:spacing w:after="0" w:afterAutospacing="0"/>
              <w:jc w:val="left"/>
              <w:rPr>
                <w:lang w:eastAsia="x-none"/>
              </w:rPr>
            </w:pPr>
          </w:p>
        </w:tc>
      </w:tr>
    </w:tbl>
    <w:p w:rsidR="00203455" w:rsidRDefault="00203455" w:rsidP="00DA205D">
      <w:pPr>
        <w:autoSpaceDE w:val="0"/>
        <w:autoSpaceDN w:val="0"/>
        <w:adjustRightInd w:val="0"/>
        <w:spacing w:after="0" w:afterAutospacing="0"/>
        <w:rPr>
          <w:rFonts w:cs="Arial"/>
          <w:szCs w:val="24"/>
        </w:rPr>
      </w:pPr>
    </w:p>
    <w:p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r w:rsidR="00021BA0">
        <w:rPr>
          <w:rFonts w:cs="Arial"/>
          <w:szCs w:val="24"/>
        </w:rPr>
        <w:t>HARQ enhancement</w:t>
      </w:r>
      <w:r>
        <w:rPr>
          <w:rFonts w:cs="Arial" w:hint="eastAsia"/>
          <w:szCs w:val="24"/>
        </w:rPr>
        <w:t xml:space="preserve"> for NR-U operation.</w:t>
      </w:r>
    </w:p>
    <w:p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rsidR="001C3075" w:rsidRDefault="001C3075" w:rsidP="00E96198">
      <w:pPr>
        <w:pStyle w:val="10"/>
        <w:spacing w:after="180"/>
        <w:rPr>
          <w:lang w:val="en-US" w:eastAsia="zh-CN"/>
        </w:rPr>
      </w:pPr>
      <w:r>
        <w:rPr>
          <w:rFonts w:hint="eastAsia"/>
          <w:lang w:val="en-US"/>
        </w:rPr>
        <w:lastRenderedPageBreak/>
        <w:t>Discussion</w:t>
      </w:r>
      <w:r w:rsidR="002C4FFB">
        <w:rPr>
          <w:lang w:val="en-US"/>
        </w:rPr>
        <w:t>s</w:t>
      </w:r>
    </w:p>
    <w:p w:rsidR="00FB52F1" w:rsidRPr="00AB10D2" w:rsidRDefault="00EA64D1" w:rsidP="005643BA">
      <w:pPr>
        <w:pStyle w:val="20"/>
        <w:rPr>
          <w:lang w:val="en-US" w:eastAsia="zh-CN"/>
        </w:rPr>
      </w:pPr>
      <w:r>
        <w:rPr>
          <w:lang w:val="en-US"/>
        </w:rPr>
        <w:t>HARQ-ACK transmission opportunity</w:t>
      </w:r>
    </w:p>
    <w:p w:rsidR="00FB52F1" w:rsidRDefault="00EA64D1" w:rsidP="00FB52F1">
      <w:pPr>
        <w:adjustRightInd w:val="0"/>
        <w:spacing w:after="0" w:afterAutospacing="0"/>
        <w:rPr>
          <w:rFonts w:eastAsiaTheme="minorEastAsia" w:cs="Arial"/>
          <w:szCs w:val="24"/>
          <w:lang w:val="en-US"/>
        </w:rPr>
      </w:pPr>
      <w:r>
        <w:rPr>
          <w:rFonts w:eastAsiaTheme="minorEastAsia" w:cs="Arial"/>
          <w:szCs w:val="24"/>
          <w:lang w:val="en-US"/>
        </w:rPr>
        <w:t>In NR-U cells, HARQ feedback may not be transmitted at the timing which gNB indicated, since the HARQ-ACK transmission has to be subject to LBT. In order to increase the probability to send the HARQ-ACK transmission, two major alternatives have been discussed</w:t>
      </w:r>
      <w:r w:rsidR="00F22317">
        <w:rPr>
          <w:rFonts w:eastAsiaTheme="minorEastAsia" w:cs="Arial"/>
          <w:szCs w:val="24"/>
          <w:lang w:val="en-US"/>
        </w:rPr>
        <w:t xml:space="preserve"> [2]</w:t>
      </w:r>
      <w:r>
        <w:rPr>
          <w:rFonts w:eastAsiaTheme="minorEastAsia" w:cs="Arial"/>
          <w:szCs w:val="24"/>
          <w:lang w:val="en-US"/>
        </w:rPr>
        <w:t xml:space="preserve">. The first alternative is to follow </w:t>
      </w:r>
      <w:r w:rsidR="000B79C0">
        <w:rPr>
          <w:rFonts w:eastAsiaTheme="minorEastAsia" w:cs="Arial"/>
          <w:szCs w:val="24"/>
          <w:lang w:val="en-US"/>
        </w:rPr>
        <w:t xml:space="preserve">Rel-15 scheme that </w:t>
      </w:r>
      <w:r w:rsidR="00133125">
        <w:rPr>
          <w:rFonts w:eastAsiaTheme="minorEastAsia" w:cs="Arial"/>
          <w:szCs w:val="24"/>
          <w:lang w:val="en-US"/>
        </w:rPr>
        <w:t>HARQ</w:t>
      </w:r>
      <w:r w:rsidR="000B79C0">
        <w:rPr>
          <w:rFonts w:eastAsiaTheme="minorEastAsia" w:cs="Arial"/>
          <w:szCs w:val="24"/>
          <w:lang w:val="en-US"/>
        </w:rPr>
        <w:t xml:space="preserve"> process is determined from </w:t>
      </w:r>
      <w:r w:rsidR="000B79C0" w:rsidRPr="000B79C0">
        <w:rPr>
          <w:rFonts w:eastAsiaTheme="minorEastAsia" w:cs="Arial"/>
          <w:szCs w:val="24"/>
          <w:lang w:val="en-US"/>
        </w:rPr>
        <w:t>PDSCH-to-HARQ-timing</w:t>
      </w:r>
      <w:r w:rsidR="000B79C0">
        <w:rPr>
          <w:rFonts w:eastAsiaTheme="minorEastAsia" w:cs="Arial"/>
          <w:szCs w:val="24"/>
          <w:lang w:val="en-US"/>
        </w:rPr>
        <w:t xml:space="preserve"> </w:t>
      </w:r>
      <w:r w:rsidR="000B79C0" w:rsidRPr="000B79C0">
        <w:rPr>
          <w:rFonts w:eastAsiaTheme="minorEastAsia" w:cs="Arial"/>
          <w:szCs w:val="24"/>
          <w:lang w:val="en-US"/>
        </w:rPr>
        <w:t>indicator</w:t>
      </w:r>
      <w:r w:rsidR="00133125">
        <w:rPr>
          <w:rFonts w:eastAsiaTheme="minorEastAsia" w:cs="Arial"/>
          <w:szCs w:val="24"/>
          <w:lang w:val="en-US"/>
        </w:rPr>
        <w:t>, and the opportunities are increased by</w:t>
      </w:r>
      <w:r>
        <w:rPr>
          <w:rFonts w:eastAsiaTheme="minorEastAsia" w:cs="Arial"/>
          <w:szCs w:val="24"/>
          <w:lang w:val="en-US"/>
        </w:rPr>
        <w:t xml:space="preserve"> </w:t>
      </w:r>
      <w:r w:rsidR="000B79C0">
        <w:rPr>
          <w:rFonts w:eastAsiaTheme="minorEastAsia" w:cs="Arial"/>
          <w:szCs w:val="24"/>
          <w:lang w:val="en-US"/>
        </w:rPr>
        <w:t xml:space="preserve">an </w:t>
      </w:r>
      <w:r>
        <w:rPr>
          <w:rFonts w:eastAsiaTheme="minorEastAsia" w:cs="Arial"/>
          <w:szCs w:val="24"/>
          <w:lang w:val="en-US"/>
        </w:rPr>
        <w:t>a</w:t>
      </w:r>
      <w:r w:rsidR="000B79C0">
        <w:rPr>
          <w:rFonts w:eastAsiaTheme="minorEastAsia" w:cs="Arial"/>
          <w:szCs w:val="24"/>
          <w:lang w:val="en-US"/>
        </w:rPr>
        <w:t>dditional</w:t>
      </w:r>
      <w:r>
        <w:rPr>
          <w:rFonts w:eastAsiaTheme="minorEastAsia" w:cs="Arial"/>
          <w:szCs w:val="24"/>
          <w:lang w:val="en-US"/>
        </w:rPr>
        <w:t xml:space="preserve"> rule to provide additional timing(s)</w:t>
      </w:r>
      <w:r w:rsidR="00133125">
        <w:rPr>
          <w:rFonts w:eastAsiaTheme="minorEastAsia" w:cs="Arial"/>
          <w:szCs w:val="24"/>
          <w:lang w:val="en-US"/>
        </w:rPr>
        <w:t xml:space="preserve"> for the associated HARQ feedback</w:t>
      </w:r>
      <w:r>
        <w:rPr>
          <w:rFonts w:eastAsiaTheme="minorEastAsia" w:cs="Arial"/>
          <w:szCs w:val="24"/>
          <w:lang w:val="en-US"/>
        </w:rPr>
        <w:t xml:space="preserve">. The </w:t>
      </w:r>
      <w:r w:rsidR="00133125">
        <w:rPr>
          <w:rFonts w:eastAsiaTheme="minorEastAsia" w:cs="Arial"/>
          <w:szCs w:val="24"/>
          <w:lang w:val="en-US"/>
        </w:rPr>
        <w:t>other alternative is to introduce triggering-based HARQ feedback, and the opportunities are increased by a new HARQ-ACK codebook generation which allows each HARQ-ACK information to be transmitted at multiple feedback occasions.</w:t>
      </w:r>
      <w:r w:rsidR="000B79C0">
        <w:rPr>
          <w:rFonts w:eastAsiaTheme="minorEastAsia" w:cs="Arial"/>
          <w:szCs w:val="24"/>
          <w:lang w:val="en-US"/>
        </w:rPr>
        <w:t xml:space="preserve"> These alternatives can be further divided into several minor alternatives.</w:t>
      </w:r>
    </w:p>
    <w:p w:rsidR="00D5754C" w:rsidRDefault="00D5754C" w:rsidP="00FB52F1">
      <w:pPr>
        <w:adjustRightInd w:val="0"/>
        <w:spacing w:after="0" w:afterAutospacing="0"/>
        <w:rPr>
          <w:rFonts w:eastAsiaTheme="minorEastAsia" w:cs="Arial"/>
          <w:szCs w:val="24"/>
          <w:lang w:val="en-US"/>
        </w:rPr>
      </w:pPr>
    </w:p>
    <w:p w:rsidR="00EA64D1" w:rsidRDefault="000B79C0" w:rsidP="000B79C0">
      <w:pPr>
        <w:pStyle w:val="aff5"/>
        <w:numPr>
          <w:ilvl w:val="0"/>
          <w:numId w:val="21"/>
        </w:numPr>
        <w:adjustRightInd w:val="0"/>
        <w:spacing w:after="0" w:afterAutospacing="0"/>
        <w:ind w:leftChars="0"/>
        <w:rPr>
          <w:rFonts w:eastAsiaTheme="minorEastAsia" w:cs="Arial"/>
          <w:szCs w:val="24"/>
          <w:lang w:val="en-US"/>
        </w:rPr>
      </w:pPr>
      <w:r>
        <w:rPr>
          <w:rFonts w:eastAsiaTheme="minorEastAsia" w:cs="Arial" w:hint="eastAsia"/>
          <w:szCs w:val="24"/>
          <w:lang w:val="en-US"/>
        </w:rPr>
        <w:t xml:space="preserve">Alt 1: </w:t>
      </w:r>
      <w:r w:rsidR="00D5754C" w:rsidRPr="000B79C0">
        <w:rPr>
          <w:rFonts w:eastAsiaTheme="minorEastAsia" w:cs="Arial"/>
          <w:szCs w:val="24"/>
          <w:lang w:val="en-US"/>
        </w:rPr>
        <w:t>PDSCH-to-HARQ-timing</w:t>
      </w:r>
      <w:r w:rsidR="00D5754C">
        <w:rPr>
          <w:rFonts w:eastAsiaTheme="minorEastAsia" w:cs="Arial"/>
          <w:szCs w:val="24"/>
          <w:lang w:val="en-US"/>
        </w:rPr>
        <w:t xml:space="preserve"> </w:t>
      </w:r>
      <w:r w:rsidR="00D5754C" w:rsidRPr="000B79C0">
        <w:rPr>
          <w:rFonts w:eastAsiaTheme="minorEastAsia" w:cs="Arial"/>
          <w:szCs w:val="24"/>
          <w:lang w:val="en-US"/>
        </w:rPr>
        <w:t>indicator</w:t>
      </w:r>
      <w:r w:rsidR="00D5754C">
        <w:rPr>
          <w:rFonts w:eastAsiaTheme="minorEastAsia" w:cs="Arial"/>
          <w:szCs w:val="24"/>
          <w:lang w:val="en-US"/>
        </w:rPr>
        <w:t xml:space="preserve"> provide a linkage between HARQ process </w:t>
      </w:r>
      <w:r w:rsidR="00725FAD">
        <w:rPr>
          <w:rFonts w:eastAsiaTheme="minorEastAsia" w:cs="Arial"/>
          <w:szCs w:val="24"/>
          <w:lang w:val="en-US"/>
        </w:rPr>
        <w:t xml:space="preserve">ID </w:t>
      </w:r>
      <w:r w:rsidR="00D5754C">
        <w:rPr>
          <w:rFonts w:eastAsiaTheme="minorEastAsia" w:cs="Arial"/>
          <w:szCs w:val="24"/>
          <w:lang w:val="en-US"/>
        </w:rPr>
        <w:t>and feedback timing</w:t>
      </w:r>
    </w:p>
    <w:p w:rsidR="00D5754C" w:rsidRDefault="00D5754C" w:rsidP="00D5754C">
      <w:pPr>
        <w:pStyle w:val="aff5"/>
        <w:numPr>
          <w:ilvl w:val="1"/>
          <w:numId w:val="21"/>
        </w:numPr>
        <w:adjustRightInd w:val="0"/>
        <w:spacing w:after="0" w:afterAutospacing="0"/>
        <w:ind w:leftChars="0"/>
        <w:rPr>
          <w:rFonts w:eastAsiaTheme="minorEastAsia" w:cs="Arial"/>
          <w:szCs w:val="24"/>
          <w:lang w:val="en-US"/>
        </w:rPr>
      </w:pPr>
      <w:r>
        <w:rPr>
          <w:rFonts w:eastAsiaTheme="minorEastAsia" w:cs="Arial" w:hint="eastAsia"/>
          <w:szCs w:val="24"/>
          <w:lang w:val="en-US"/>
        </w:rPr>
        <w:t xml:space="preserve">Alt 1-1: </w:t>
      </w:r>
      <w:r w:rsidRPr="000B79C0">
        <w:rPr>
          <w:rFonts w:eastAsiaTheme="minorEastAsia" w:cs="Arial"/>
          <w:szCs w:val="24"/>
          <w:lang w:val="en-US"/>
        </w:rPr>
        <w:t>PDSCH-to-HARQ-timing</w:t>
      </w:r>
      <w:r>
        <w:rPr>
          <w:rFonts w:eastAsiaTheme="minorEastAsia" w:cs="Arial"/>
          <w:szCs w:val="24"/>
          <w:lang w:val="en-US"/>
        </w:rPr>
        <w:t xml:space="preserve"> </w:t>
      </w:r>
      <w:r w:rsidRPr="000B79C0">
        <w:rPr>
          <w:rFonts w:eastAsiaTheme="minorEastAsia" w:cs="Arial"/>
          <w:szCs w:val="24"/>
          <w:lang w:val="en-US"/>
        </w:rPr>
        <w:t>indicator</w:t>
      </w:r>
      <w:r>
        <w:rPr>
          <w:rFonts w:eastAsiaTheme="minorEastAsia" w:cs="Arial"/>
          <w:szCs w:val="24"/>
          <w:lang w:val="en-US"/>
        </w:rPr>
        <w:t xml:space="preserve"> is extended to provide </w:t>
      </w:r>
      <w:r w:rsidR="00181642">
        <w:rPr>
          <w:rFonts w:eastAsiaTheme="minorEastAsia" w:cs="Arial"/>
          <w:szCs w:val="24"/>
          <w:lang w:val="en-US"/>
        </w:rPr>
        <w:t>feedback resources in different slots and/or different sub</w:t>
      </w:r>
      <w:r w:rsidR="00FF7E68">
        <w:rPr>
          <w:rFonts w:eastAsiaTheme="minorEastAsia" w:cs="Arial"/>
          <w:szCs w:val="24"/>
          <w:lang w:val="en-US"/>
        </w:rPr>
        <w:t>-channel</w:t>
      </w:r>
      <w:r w:rsidR="00181642">
        <w:rPr>
          <w:rFonts w:eastAsiaTheme="minorEastAsia" w:cs="Arial"/>
          <w:szCs w:val="24"/>
          <w:lang w:val="en-US"/>
        </w:rPr>
        <w:t>s.</w:t>
      </w:r>
    </w:p>
    <w:p w:rsidR="00D5754C" w:rsidRDefault="00D5754C" w:rsidP="00D5754C">
      <w:pPr>
        <w:pStyle w:val="aff5"/>
        <w:numPr>
          <w:ilvl w:val="1"/>
          <w:numId w:val="21"/>
        </w:numPr>
        <w:adjustRightInd w:val="0"/>
        <w:spacing w:after="0" w:afterAutospacing="0"/>
        <w:ind w:leftChars="0"/>
        <w:rPr>
          <w:rFonts w:eastAsiaTheme="minorEastAsia" w:cs="Arial"/>
          <w:szCs w:val="24"/>
          <w:lang w:val="en-US"/>
        </w:rPr>
      </w:pPr>
      <w:r>
        <w:rPr>
          <w:rFonts w:eastAsiaTheme="minorEastAsia" w:cs="Arial"/>
          <w:szCs w:val="24"/>
          <w:lang w:val="en-US"/>
        </w:rPr>
        <w:t>Alt 1-2: Dropped HARQ information can be transmitted together with the next HARQ-ACK information in the next scheduled feedback occasion.</w:t>
      </w:r>
    </w:p>
    <w:p w:rsidR="00D5754C" w:rsidRDefault="00D5754C" w:rsidP="000B79C0">
      <w:pPr>
        <w:pStyle w:val="aff5"/>
        <w:numPr>
          <w:ilvl w:val="0"/>
          <w:numId w:val="21"/>
        </w:numPr>
        <w:adjustRightInd w:val="0"/>
        <w:spacing w:after="0" w:afterAutospacing="0"/>
        <w:ind w:leftChars="0"/>
        <w:rPr>
          <w:rFonts w:eastAsiaTheme="minorEastAsia" w:cs="Arial"/>
          <w:szCs w:val="24"/>
          <w:lang w:val="en-US"/>
        </w:rPr>
      </w:pPr>
      <w:r>
        <w:rPr>
          <w:rFonts w:eastAsiaTheme="minorEastAsia" w:cs="Arial" w:hint="eastAsia"/>
          <w:szCs w:val="24"/>
          <w:lang w:val="en-US"/>
        </w:rPr>
        <w:t xml:space="preserve">Alt </w:t>
      </w:r>
      <w:r>
        <w:rPr>
          <w:rFonts w:eastAsiaTheme="minorEastAsia" w:cs="Arial"/>
          <w:szCs w:val="24"/>
          <w:lang w:val="en-US"/>
        </w:rPr>
        <w:t>2</w:t>
      </w:r>
      <w:r>
        <w:rPr>
          <w:rFonts w:eastAsiaTheme="minorEastAsia" w:cs="Arial" w:hint="eastAsia"/>
          <w:szCs w:val="24"/>
          <w:lang w:val="en-US"/>
        </w:rPr>
        <w:t xml:space="preserve">: </w:t>
      </w:r>
      <w:r>
        <w:rPr>
          <w:rFonts w:eastAsiaTheme="minorEastAsia" w:cs="Arial"/>
          <w:szCs w:val="24"/>
          <w:lang w:val="en-US"/>
        </w:rPr>
        <w:t>HARQ process</w:t>
      </w:r>
      <w:r w:rsidR="00725FAD">
        <w:rPr>
          <w:rFonts w:eastAsiaTheme="minorEastAsia" w:cs="Arial"/>
          <w:szCs w:val="24"/>
          <w:lang w:val="en-US"/>
        </w:rPr>
        <w:t xml:space="preserve"> IDs </w:t>
      </w:r>
      <w:r w:rsidR="00AC58BF">
        <w:rPr>
          <w:rFonts w:eastAsiaTheme="minorEastAsia" w:cs="Arial"/>
          <w:szCs w:val="24"/>
          <w:lang w:val="en-US"/>
        </w:rPr>
        <w:t>are</w:t>
      </w:r>
      <w:r>
        <w:rPr>
          <w:rFonts w:eastAsiaTheme="minorEastAsia" w:cs="Arial"/>
          <w:szCs w:val="24"/>
          <w:lang w:val="en-US"/>
        </w:rPr>
        <w:t xml:space="preserve"> </w:t>
      </w:r>
      <w:r w:rsidR="00AC58BF">
        <w:rPr>
          <w:rFonts w:eastAsiaTheme="minorEastAsia" w:cs="Arial"/>
          <w:szCs w:val="24"/>
          <w:lang w:val="en-US"/>
        </w:rPr>
        <w:t>explicitly signaled</w:t>
      </w:r>
      <w:r>
        <w:rPr>
          <w:rFonts w:eastAsiaTheme="minorEastAsia" w:cs="Arial"/>
          <w:szCs w:val="24"/>
          <w:lang w:val="en-US"/>
        </w:rPr>
        <w:t xml:space="preserve"> or fixed, and trigger provides feedback timing</w:t>
      </w:r>
    </w:p>
    <w:p w:rsidR="00845D60" w:rsidRDefault="005A6D47" w:rsidP="00845D60">
      <w:pPr>
        <w:pStyle w:val="aff5"/>
        <w:numPr>
          <w:ilvl w:val="1"/>
          <w:numId w:val="21"/>
        </w:numPr>
        <w:adjustRightInd w:val="0"/>
        <w:spacing w:after="0" w:afterAutospacing="0"/>
        <w:ind w:leftChars="0"/>
        <w:rPr>
          <w:rFonts w:eastAsiaTheme="minorEastAsia" w:cs="Arial"/>
          <w:szCs w:val="24"/>
          <w:lang w:val="en-US"/>
        </w:rPr>
      </w:pPr>
      <w:r>
        <w:rPr>
          <w:rFonts w:eastAsiaTheme="minorEastAsia" w:cs="Arial" w:hint="eastAsia"/>
          <w:szCs w:val="24"/>
          <w:lang w:val="en-US"/>
        </w:rPr>
        <w:t xml:space="preserve">Alt 2-1: HARQ-ACK </w:t>
      </w:r>
      <w:r>
        <w:rPr>
          <w:rFonts w:eastAsiaTheme="minorEastAsia" w:cs="Arial"/>
          <w:szCs w:val="24"/>
          <w:lang w:val="en-US"/>
        </w:rPr>
        <w:t>bits</w:t>
      </w:r>
      <w:r>
        <w:rPr>
          <w:rFonts w:eastAsiaTheme="minorEastAsia" w:cs="Arial" w:hint="eastAsia"/>
          <w:szCs w:val="24"/>
          <w:lang w:val="en-US"/>
        </w:rPr>
        <w:t xml:space="preserve"> for all configured HARQ processes</w:t>
      </w:r>
      <w:r>
        <w:rPr>
          <w:rFonts w:eastAsiaTheme="minorEastAsia" w:cs="Arial"/>
          <w:szCs w:val="24"/>
          <w:lang w:val="en-US"/>
        </w:rPr>
        <w:t xml:space="preserve"> are reported in a single feedback occasion.</w:t>
      </w:r>
    </w:p>
    <w:p w:rsidR="005A6D47" w:rsidRPr="000B79C0" w:rsidRDefault="005A6D47" w:rsidP="00845D60">
      <w:pPr>
        <w:pStyle w:val="aff5"/>
        <w:numPr>
          <w:ilvl w:val="1"/>
          <w:numId w:val="21"/>
        </w:numPr>
        <w:adjustRightInd w:val="0"/>
        <w:spacing w:after="0" w:afterAutospacing="0"/>
        <w:ind w:leftChars="0"/>
        <w:rPr>
          <w:rFonts w:eastAsiaTheme="minorEastAsia" w:cs="Arial"/>
          <w:szCs w:val="24"/>
          <w:lang w:val="en-US"/>
        </w:rPr>
      </w:pPr>
      <w:r>
        <w:rPr>
          <w:rFonts w:eastAsiaTheme="minorEastAsia" w:cs="Arial" w:hint="eastAsia"/>
          <w:szCs w:val="24"/>
          <w:lang w:val="en-US"/>
        </w:rPr>
        <w:t>Alt 2-</w:t>
      </w:r>
      <w:r>
        <w:rPr>
          <w:rFonts w:eastAsiaTheme="minorEastAsia" w:cs="Arial"/>
          <w:szCs w:val="24"/>
          <w:lang w:val="en-US"/>
        </w:rPr>
        <w:t>2</w:t>
      </w:r>
      <w:r>
        <w:rPr>
          <w:rFonts w:eastAsiaTheme="minorEastAsia" w:cs="Arial" w:hint="eastAsia"/>
          <w:szCs w:val="24"/>
          <w:lang w:val="en-US"/>
        </w:rPr>
        <w:t xml:space="preserve">: HARQ-ACK </w:t>
      </w:r>
      <w:r>
        <w:rPr>
          <w:rFonts w:eastAsiaTheme="minorEastAsia" w:cs="Arial"/>
          <w:szCs w:val="24"/>
          <w:lang w:val="en-US"/>
        </w:rPr>
        <w:t>bits</w:t>
      </w:r>
      <w:r>
        <w:rPr>
          <w:rFonts w:eastAsiaTheme="minorEastAsia" w:cs="Arial" w:hint="eastAsia"/>
          <w:szCs w:val="24"/>
          <w:lang w:val="en-US"/>
        </w:rPr>
        <w:t xml:space="preserve"> for </w:t>
      </w:r>
      <w:r>
        <w:rPr>
          <w:rFonts w:eastAsiaTheme="minorEastAsia" w:cs="Arial"/>
          <w:szCs w:val="24"/>
          <w:lang w:val="en-US"/>
        </w:rPr>
        <w:t xml:space="preserve">the </w:t>
      </w:r>
      <w:r>
        <w:rPr>
          <w:rFonts w:eastAsiaTheme="minorEastAsia" w:cs="Arial" w:hint="eastAsia"/>
          <w:szCs w:val="24"/>
          <w:lang w:val="en-US"/>
        </w:rPr>
        <w:t>HARQ processes</w:t>
      </w:r>
      <w:r>
        <w:rPr>
          <w:rFonts w:eastAsiaTheme="minorEastAsia" w:cs="Arial"/>
          <w:szCs w:val="24"/>
          <w:lang w:val="en-US"/>
        </w:rPr>
        <w:t xml:space="preserve"> which are explicitly/implicitly indicated in DCI are reported in a single feedback occasion.</w:t>
      </w:r>
    </w:p>
    <w:p w:rsidR="00FB52F1" w:rsidRDefault="00FB52F1" w:rsidP="00FB52F1">
      <w:pPr>
        <w:adjustRightInd w:val="0"/>
        <w:spacing w:after="0" w:afterAutospacing="0"/>
        <w:rPr>
          <w:rFonts w:eastAsiaTheme="minorEastAsia" w:cs="Arial"/>
          <w:szCs w:val="24"/>
          <w:lang w:val="en-US"/>
        </w:rPr>
      </w:pPr>
    </w:p>
    <w:p w:rsidR="0090659A" w:rsidRDefault="0090659A" w:rsidP="00FB52F1">
      <w:pPr>
        <w:adjustRightInd w:val="0"/>
        <w:spacing w:after="0" w:afterAutospacing="0"/>
        <w:rPr>
          <w:rFonts w:eastAsiaTheme="minorEastAsia" w:cs="Arial"/>
          <w:szCs w:val="24"/>
          <w:lang w:val="en-US"/>
        </w:rPr>
      </w:pPr>
      <w:r>
        <w:rPr>
          <w:rFonts w:eastAsiaTheme="minorEastAsia" w:cs="Arial" w:hint="eastAsia"/>
          <w:szCs w:val="24"/>
          <w:lang w:val="en-US"/>
        </w:rPr>
        <w:t>T</w:t>
      </w:r>
      <w:r>
        <w:rPr>
          <w:rFonts w:eastAsiaTheme="minorEastAsia" w:cs="Arial"/>
          <w:szCs w:val="24"/>
          <w:lang w:val="en-US"/>
        </w:rPr>
        <w:t>he biggest difference between Alt 1 and 2 is the number of DCIs which affect the derivation of HARQ-ACK codebook and/or HARQ feedback timing. With Alt 1, HARQ processes associated with a single HARQ feedback occasion may be determined from multiple DCIs which schedules the corresponding PDSCHs. In contrast, Alt 2 requires only one DCI to determine the HARQ feedback timing and/or HARQ processes to be reported. Because of LBT failures and collisions with another node’s transmission, NR-U operation has more difficulty to share same information via DCI between gNB and UE, compared with license band operations. Therefore, it is beneficial to support</w:t>
      </w:r>
      <w:r w:rsidR="00AC58BF">
        <w:rPr>
          <w:rFonts w:eastAsiaTheme="minorEastAsia" w:cs="Arial"/>
          <w:szCs w:val="24"/>
          <w:lang w:val="en-US"/>
        </w:rPr>
        <w:t xml:space="preserve"> triggering based HARQ feedback </w:t>
      </w:r>
      <w:r w:rsidR="00284E16">
        <w:rPr>
          <w:rFonts w:eastAsiaTheme="minorEastAsia" w:cs="Arial"/>
          <w:szCs w:val="24"/>
          <w:lang w:val="en-US"/>
        </w:rPr>
        <w:t>for</w:t>
      </w:r>
      <w:r w:rsidR="00AC58BF">
        <w:rPr>
          <w:rFonts w:eastAsiaTheme="minorEastAsia" w:cs="Arial"/>
          <w:szCs w:val="24"/>
          <w:lang w:val="en-US"/>
        </w:rPr>
        <w:t xml:space="preserve"> a fixed or </w:t>
      </w:r>
      <w:r w:rsidR="00284E16">
        <w:rPr>
          <w:rFonts w:eastAsiaTheme="minorEastAsia" w:cs="Arial"/>
          <w:szCs w:val="24"/>
          <w:lang w:val="en-US"/>
        </w:rPr>
        <w:t>explicitly signaled</w:t>
      </w:r>
      <w:r w:rsidR="00AC58BF">
        <w:rPr>
          <w:rFonts w:eastAsiaTheme="minorEastAsia" w:cs="Arial"/>
          <w:szCs w:val="24"/>
          <w:lang w:val="en-US"/>
        </w:rPr>
        <w:t xml:space="preserve"> set of </w:t>
      </w:r>
      <w:r w:rsidR="00284E16">
        <w:rPr>
          <w:rFonts w:eastAsiaTheme="minorEastAsia" w:cs="Arial"/>
          <w:szCs w:val="24"/>
          <w:lang w:val="en-US"/>
        </w:rPr>
        <w:t>HARQ processes.</w:t>
      </w:r>
    </w:p>
    <w:p w:rsidR="00D5754C" w:rsidRPr="00CC202E" w:rsidRDefault="00D5754C" w:rsidP="00FB52F1">
      <w:pPr>
        <w:adjustRightInd w:val="0"/>
        <w:spacing w:after="0" w:afterAutospacing="0"/>
        <w:rPr>
          <w:rFonts w:eastAsiaTheme="minorEastAsia" w:cs="Arial"/>
          <w:szCs w:val="24"/>
          <w:lang w:val="en-US"/>
        </w:rPr>
      </w:pPr>
    </w:p>
    <w:p w:rsidR="00FB52F1" w:rsidRPr="0013407A" w:rsidRDefault="00FB52F1" w:rsidP="00FB52F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FB52F1" w:rsidRDefault="00284E16" w:rsidP="00895C16">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It is beneficial to support triggering based HARQ feedback for a fixed or explicitly signaled set of </w:t>
      </w:r>
      <w:r w:rsidR="007860D9">
        <w:rPr>
          <w:rFonts w:eastAsiaTheme="minorEastAsia" w:cs="Arial"/>
          <w:szCs w:val="24"/>
          <w:lang w:val="en-US"/>
        </w:rPr>
        <w:t>HARQ processes with a fixed or signaled HARQ-ACK codebook size.</w:t>
      </w:r>
    </w:p>
    <w:p w:rsidR="00FB52F1" w:rsidRPr="00D83E81" w:rsidRDefault="00FB52F1" w:rsidP="00FB52F1">
      <w:pPr>
        <w:adjustRightInd w:val="0"/>
        <w:spacing w:after="0" w:afterAutospacing="0"/>
        <w:rPr>
          <w:rFonts w:eastAsiaTheme="minorEastAsia" w:cs="Arial"/>
          <w:szCs w:val="24"/>
          <w:lang w:val="en-US"/>
        </w:rPr>
      </w:pPr>
    </w:p>
    <w:p w:rsidR="00264239" w:rsidRPr="00AB10D2" w:rsidRDefault="006B52C9" w:rsidP="00AC2CBD">
      <w:pPr>
        <w:pStyle w:val="20"/>
        <w:rPr>
          <w:lang w:val="en-US" w:eastAsia="zh-CN"/>
        </w:rPr>
      </w:pPr>
      <w:r>
        <w:rPr>
          <w:lang w:val="en-US"/>
        </w:rPr>
        <w:t>Channel access procedure for HARQ-ACK transmission</w:t>
      </w:r>
    </w:p>
    <w:p w:rsidR="0020746E" w:rsidRPr="003C221A" w:rsidRDefault="0020746E" w:rsidP="0020746E">
      <w:pPr>
        <w:adjustRightInd w:val="0"/>
        <w:spacing w:after="0" w:afterAutospacing="0"/>
        <w:rPr>
          <w:rFonts w:cs="Arial"/>
          <w:szCs w:val="24"/>
          <w:lang w:val="en-US"/>
        </w:rPr>
      </w:pPr>
      <w:r>
        <w:rPr>
          <w:rFonts w:eastAsiaTheme="minorEastAsia" w:cs="Arial"/>
          <w:szCs w:val="24"/>
          <w:lang w:val="en-US"/>
        </w:rPr>
        <w:t>In RAN1#9</w:t>
      </w:r>
      <w:r w:rsidR="006B52C9">
        <w:rPr>
          <w:rFonts w:eastAsiaTheme="minorEastAsia" w:cs="Arial"/>
          <w:szCs w:val="24"/>
          <w:lang w:val="en-US"/>
        </w:rPr>
        <w:t>3</w:t>
      </w:r>
      <w:r>
        <w:rPr>
          <w:rFonts w:eastAsiaTheme="minorEastAsia" w:cs="Arial"/>
          <w:szCs w:val="24"/>
          <w:lang w:val="en-US"/>
        </w:rPr>
        <w:t xml:space="preserve"> it wa</w:t>
      </w:r>
      <w:r w:rsidRPr="004566C8">
        <w:rPr>
          <w:rFonts w:eastAsiaTheme="minorEastAsia" w:cs="Arial"/>
          <w:szCs w:val="24"/>
          <w:lang w:val="en-US"/>
        </w:rPr>
        <w:t xml:space="preserve">s </w:t>
      </w:r>
      <w:r w:rsidR="006B52C9">
        <w:rPr>
          <w:rFonts w:eastAsiaTheme="minorEastAsia" w:cs="Arial"/>
          <w:szCs w:val="24"/>
          <w:lang w:val="en-US"/>
        </w:rPr>
        <w:t>identified to be beneficial for transmissions inside COT to support Cat-1 LBT for gap of less than 16us and Cat-2 LBT for gap of above 16us and not exceeding 25us</w:t>
      </w:r>
      <w:r w:rsidR="00AD3457">
        <w:rPr>
          <w:rFonts w:eastAsiaTheme="minorEastAsia" w:cs="Arial"/>
          <w:szCs w:val="24"/>
          <w:lang w:val="en-US"/>
        </w:rPr>
        <w:t xml:space="preserve"> [3]</w:t>
      </w:r>
      <w:r w:rsidR="006B52C9">
        <w:rPr>
          <w:rFonts w:eastAsiaTheme="minorEastAsia" w:cs="Arial"/>
          <w:szCs w:val="24"/>
          <w:lang w:val="en-US"/>
        </w:rPr>
        <w:t xml:space="preserve">. In addition, in RAN1#94 it was agreed NR-U should support that </w:t>
      </w:r>
      <w:r w:rsidR="006B52C9" w:rsidRPr="004108E1">
        <w:rPr>
          <w:lang w:eastAsia="x-none"/>
        </w:rPr>
        <w:t xml:space="preserve">HARQ feedback corresponding to some or all the PDSCHs of a channel occupancy can be reported in the same </w:t>
      </w:r>
      <w:r w:rsidR="009B5357">
        <w:rPr>
          <w:lang w:eastAsia="x-none"/>
        </w:rPr>
        <w:t>COT</w:t>
      </w:r>
      <w:r w:rsidR="00AD3457">
        <w:rPr>
          <w:lang w:eastAsia="x-none"/>
        </w:rPr>
        <w:t xml:space="preserve"> [1]</w:t>
      </w:r>
      <w:r w:rsidR="006B52C9">
        <w:rPr>
          <w:lang w:eastAsia="x-none"/>
        </w:rPr>
        <w:t xml:space="preserve">. </w:t>
      </w:r>
      <w:r w:rsidR="009B5357">
        <w:rPr>
          <w:lang w:eastAsia="x-none"/>
        </w:rPr>
        <w:t xml:space="preserve">Therefore, both Cat-1 and Cat-2 LBTs should be allowed to apply HARQ feedback within the same COT as for the corresponding </w:t>
      </w:r>
      <w:r w:rsidR="009B5357">
        <w:rPr>
          <w:lang w:eastAsia="x-none"/>
        </w:rPr>
        <w:lastRenderedPageBreak/>
        <w:t>PDSCH(s). Of course UEs should also be able to use Cat-4 LBT for HARQ feedback if it is done outside of DL COT.</w:t>
      </w:r>
    </w:p>
    <w:p w:rsidR="0020746E" w:rsidRPr="003C221A" w:rsidRDefault="0020746E" w:rsidP="0020746E">
      <w:pPr>
        <w:adjustRightInd w:val="0"/>
        <w:spacing w:after="0" w:afterAutospacing="0"/>
        <w:rPr>
          <w:rFonts w:cs="Arial"/>
          <w:szCs w:val="24"/>
        </w:rPr>
      </w:pPr>
    </w:p>
    <w:p w:rsidR="0020746E" w:rsidRPr="0013407A" w:rsidRDefault="0020746E" w:rsidP="0020746E">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EC4FA8" w:rsidRDefault="009063A5" w:rsidP="00895C16">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All of the</w:t>
      </w:r>
      <w:r w:rsidR="009B5357">
        <w:rPr>
          <w:rFonts w:eastAsiaTheme="minorEastAsia" w:cs="Arial"/>
          <w:szCs w:val="24"/>
          <w:lang w:val="en-US"/>
        </w:rPr>
        <w:t xml:space="preserve"> Cat-1, Cat-2 and Cat-4 LBTs should be supported for HARQ feedback.</w:t>
      </w:r>
    </w:p>
    <w:p w:rsidR="00646392" w:rsidRDefault="00646392" w:rsidP="00FB52F1">
      <w:pPr>
        <w:adjustRightInd w:val="0"/>
        <w:spacing w:after="0" w:afterAutospacing="0"/>
        <w:rPr>
          <w:rFonts w:eastAsiaTheme="minorEastAsia" w:cs="Arial"/>
          <w:szCs w:val="24"/>
          <w:lang w:val="en-US"/>
        </w:rPr>
      </w:pPr>
    </w:p>
    <w:p w:rsidR="002D7FA4" w:rsidRPr="00AB10D2" w:rsidRDefault="00A81E41" w:rsidP="00A81E41">
      <w:pPr>
        <w:pStyle w:val="20"/>
        <w:rPr>
          <w:lang w:val="en-US" w:eastAsia="zh-CN"/>
        </w:rPr>
      </w:pPr>
      <w:r w:rsidRPr="00A81E41">
        <w:rPr>
          <w:lang w:val="en-US" w:eastAsia="zh-CN"/>
        </w:rPr>
        <w:t>Multiple TTIs scheduling</w:t>
      </w:r>
    </w:p>
    <w:p w:rsidR="002D7FA4" w:rsidRDefault="00A81E41" w:rsidP="002D7FA4">
      <w:pPr>
        <w:adjustRightInd w:val="0"/>
        <w:spacing w:after="0" w:afterAutospacing="0"/>
        <w:rPr>
          <w:rFonts w:cs="Arial"/>
          <w:szCs w:val="24"/>
        </w:rPr>
      </w:pPr>
      <w:r>
        <w:rPr>
          <w:rFonts w:eastAsiaTheme="minorEastAsia" w:cs="Arial"/>
          <w:szCs w:val="24"/>
          <w:lang w:val="en-US"/>
        </w:rPr>
        <w:t>Rel-15 NR supports 1) multiple TTIs with different TBs using multiple UL grants and 2) multiple TTIs for a same TB using a single UL grant, i.e. slot aggregation</w:t>
      </w:r>
      <w:r w:rsidR="006B1C5E">
        <w:rPr>
          <w:rFonts w:eastAsiaTheme="minorEastAsia" w:cs="Arial"/>
          <w:szCs w:val="24"/>
          <w:lang w:val="en-US"/>
        </w:rPr>
        <w:t>.</w:t>
      </w:r>
      <w:r>
        <w:rPr>
          <w:rFonts w:eastAsiaTheme="minorEastAsia" w:cs="Arial"/>
          <w:szCs w:val="24"/>
          <w:lang w:val="en-US"/>
        </w:rPr>
        <w:t xml:space="preserve"> We do not see the need to exclude these options for NR-U. In addition, </w:t>
      </w:r>
      <w:r w:rsidR="00772AB8">
        <w:rPr>
          <w:rFonts w:eastAsiaTheme="minorEastAsia" w:cs="Arial"/>
          <w:szCs w:val="24"/>
          <w:lang w:val="en-US"/>
        </w:rPr>
        <w:t>in order to reduce DCI overhead</w:t>
      </w:r>
      <w:r>
        <w:rPr>
          <w:rFonts w:eastAsiaTheme="minorEastAsia" w:cs="Arial"/>
          <w:szCs w:val="24"/>
          <w:lang w:val="en-US"/>
        </w:rPr>
        <w:t>, it is beneficial to support multiple TTIs for different TBs using single UL grant.</w:t>
      </w:r>
      <w:r w:rsidR="00772AB8">
        <w:rPr>
          <w:rFonts w:eastAsiaTheme="minorEastAsia" w:cs="Arial"/>
          <w:szCs w:val="24"/>
          <w:lang w:val="en-US"/>
        </w:rPr>
        <w:t xml:space="preserve"> Like eLAA, multiple TTI scheduling by a single DCI should support at least a contiguous transmission spanning multiple TTIs without any gap during the transmission. </w:t>
      </w:r>
      <w:r w:rsidR="00023B98">
        <w:rPr>
          <w:rFonts w:eastAsiaTheme="minorEastAsia" w:cs="Arial"/>
          <w:szCs w:val="24"/>
          <w:lang w:val="en-US"/>
        </w:rPr>
        <w:t>Whether it supports non-contiguous transmissions needs further considerations.</w:t>
      </w:r>
      <w:r w:rsidR="00772AB8">
        <w:rPr>
          <w:rFonts w:eastAsiaTheme="minorEastAsia" w:cs="Arial"/>
          <w:szCs w:val="24"/>
          <w:lang w:val="en-US"/>
        </w:rPr>
        <w:t xml:space="preserve"> </w:t>
      </w:r>
    </w:p>
    <w:p w:rsidR="002D7FA4" w:rsidRPr="00C32E6C" w:rsidRDefault="002D7FA4" w:rsidP="002D7FA4">
      <w:pPr>
        <w:adjustRightInd w:val="0"/>
        <w:spacing w:after="0" w:afterAutospacing="0"/>
        <w:rPr>
          <w:rFonts w:cs="Arial"/>
          <w:szCs w:val="24"/>
        </w:rPr>
      </w:pPr>
    </w:p>
    <w:p w:rsidR="002D7FA4" w:rsidRPr="0013407A" w:rsidRDefault="00283816" w:rsidP="002D7FA4">
      <w:pPr>
        <w:adjustRightInd w:val="0"/>
        <w:spacing w:after="0" w:afterAutospacing="0"/>
        <w:rPr>
          <w:rFonts w:cs="Arial"/>
          <w:b/>
          <w:szCs w:val="24"/>
          <w:u w:val="single"/>
        </w:rPr>
      </w:pPr>
      <w:r>
        <w:rPr>
          <w:rFonts w:cs="Arial"/>
          <w:b/>
          <w:szCs w:val="24"/>
          <w:u w:val="single"/>
        </w:rPr>
        <w:t>Proposal</w:t>
      </w:r>
      <w:r w:rsidR="002D7FA4">
        <w:rPr>
          <w:rFonts w:cs="Arial" w:hint="eastAsia"/>
          <w:b/>
          <w:szCs w:val="24"/>
          <w:u w:val="single"/>
        </w:rPr>
        <w:t xml:space="preserve"> </w:t>
      </w:r>
      <w:r>
        <w:rPr>
          <w:rFonts w:cs="Arial"/>
          <w:b/>
          <w:szCs w:val="24"/>
          <w:u w:val="single"/>
        </w:rPr>
        <w:t>3</w:t>
      </w:r>
      <w:r w:rsidR="002D7FA4" w:rsidRPr="0013407A">
        <w:rPr>
          <w:rFonts w:cs="Arial" w:hint="eastAsia"/>
          <w:b/>
          <w:szCs w:val="24"/>
          <w:u w:val="single"/>
        </w:rPr>
        <w:t>:</w:t>
      </w:r>
      <w:r w:rsidR="002D7FA4" w:rsidRPr="0013407A">
        <w:rPr>
          <w:rFonts w:eastAsiaTheme="minorEastAsia" w:cs="Arial" w:hint="eastAsia"/>
          <w:b/>
          <w:szCs w:val="24"/>
          <w:u w:val="single"/>
          <w:lang w:val="en-US"/>
        </w:rPr>
        <w:t xml:space="preserve"> </w:t>
      </w:r>
    </w:p>
    <w:p w:rsidR="00A00585" w:rsidRDefault="00A81E41" w:rsidP="00A81E41">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It is beneficial to support multiple TTIs for different TBs using single UL grant</w:t>
      </w:r>
      <w:r w:rsidR="00DF377D">
        <w:rPr>
          <w:rFonts w:eastAsiaTheme="minorEastAsia" w:cs="Arial"/>
          <w:szCs w:val="24"/>
          <w:lang w:val="en-US"/>
        </w:rPr>
        <w:t>.</w:t>
      </w:r>
    </w:p>
    <w:p w:rsidR="002D7FA4" w:rsidRDefault="002D7FA4" w:rsidP="00FB52F1">
      <w:pPr>
        <w:adjustRightInd w:val="0"/>
        <w:spacing w:after="0" w:afterAutospacing="0"/>
        <w:rPr>
          <w:rFonts w:eastAsiaTheme="minorEastAsia" w:cs="Arial"/>
          <w:szCs w:val="24"/>
          <w:lang w:val="en-US"/>
        </w:rPr>
      </w:pPr>
    </w:p>
    <w:p w:rsidR="00C8549F" w:rsidRPr="00AB10D2" w:rsidRDefault="00CD3609" w:rsidP="00C8549F">
      <w:pPr>
        <w:pStyle w:val="20"/>
        <w:rPr>
          <w:lang w:val="en-US" w:eastAsia="zh-CN"/>
        </w:rPr>
      </w:pPr>
      <w:r>
        <w:rPr>
          <w:lang w:val="en-US" w:eastAsia="zh-CN"/>
        </w:rPr>
        <w:t>T</w:t>
      </w:r>
      <w:r w:rsidR="00844EA4">
        <w:rPr>
          <w:lang w:val="en-US" w:eastAsia="zh-CN"/>
        </w:rPr>
        <w:t>rigger</w:t>
      </w:r>
      <w:r>
        <w:rPr>
          <w:lang w:val="en-US" w:eastAsia="zh-CN"/>
        </w:rPr>
        <w:t>ed grant</w:t>
      </w:r>
    </w:p>
    <w:p w:rsidR="00C8549F" w:rsidRDefault="00C8549F" w:rsidP="00C8549F">
      <w:pPr>
        <w:adjustRightInd w:val="0"/>
        <w:spacing w:after="0" w:afterAutospacing="0"/>
        <w:rPr>
          <w:rFonts w:cs="Arial"/>
          <w:szCs w:val="24"/>
        </w:rPr>
      </w:pPr>
      <w:r>
        <w:rPr>
          <w:rFonts w:eastAsiaTheme="minorEastAsia" w:cs="Arial"/>
          <w:szCs w:val="24"/>
          <w:lang w:val="en-US"/>
        </w:rPr>
        <w:t xml:space="preserve">In RAN1#94 it was agreed NR-U should support that </w:t>
      </w:r>
      <w:r w:rsidRPr="004108E1">
        <w:rPr>
          <w:lang w:eastAsia="x-none"/>
        </w:rPr>
        <w:t xml:space="preserve">HARQ feedback corresponding to PDSCHs of a channel occupancy can be reported outside of that </w:t>
      </w:r>
      <w:r>
        <w:rPr>
          <w:lang w:eastAsia="x-none"/>
        </w:rPr>
        <w:t>COT</w:t>
      </w:r>
      <w:r w:rsidR="00101497">
        <w:rPr>
          <w:lang w:eastAsia="x-none"/>
        </w:rPr>
        <w:t xml:space="preserve"> [1]</w:t>
      </w:r>
      <w:r>
        <w:rPr>
          <w:lang w:eastAsia="x-none"/>
        </w:rPr>
        <w:t>.</w:t>
      </w:r>
      <w:r w:rsidR="00844EA4">
        <w:rPr>
          <w:lang w:eastAsia="x-none"/>
        </w:rPr>
        <w:t xml:space="preserve"> If the DL COT contains PDSCHs intended for multiple UEs and HARQ-ACK reports are done outside the DL COT, all of these UEs has to perform Cat-4 LBT individually. This causes difficulty of HARQ-ACK multiplexing among the UEs. In order to make it easier, </w:t>
      </w:r>
      <w:r w:rsidR="00BE41C0">
        <w:rPr>
          <w:lang w:eastAsia="x-none"/>
        </w:rPr>
        <w:t xml:space="preserve">like </w:t>
      </w:r>
      <w:r w:rsidR="00844EA4">
        <w:rPr>
          <w:lang w:eastAsia="x-none"/>
        </w:rPr>
        <w:t>eLAA</w:t>
      </w:r>
      <w:r w:rsidR="00BE41C0">
        <w:rPr>
          <w:lang w:eastAsia="x-none"/>
        </w:rPr>
        <w:t xml:space="preserve"> PUSCH scheduling,</w:t>
      </w:r>
      <w:r w:rsidR="00844EA4">
        <w:rPr>
          <w:lang w:eastAsia="x-none"/>
        </w:rPr>
        <w:t xml:space="preserve"> trigger</w:t>
      </w:r>
      <w:r w:rsidR="00372C52">
        <w:rPr>
          <w:lang w:eastAsia="x-none"/>
        </w:rPr>
        <w:t>ed grant</w:t>
      </w:r>
      <w:r w:rsidR="00844EA4">
        <w:rPr>
          <w:lang w:eastAsia="x-none"/>
        </w:rPr>
        <w:t xml:space="preserve"> </w:t>
      </w:r>
      <w:r w:rsidR="0002315D">
        <w:rPr>
          <w:lang w:eastAsia="x-none"/>
        </w:rPr>
        <w:t>can</w:t>
      </w:r>
      <w:r w:rsidR="00844EA4">
        <w:rPr>
          <w:lang w:eastAsia="x-none"/>
        </w:rPr>
        <w:t xml:space="preserve"> be considered.</w:t>
      </w:r>
    </w:p>
    <w:p w:rsidR="00C8549F" w:rsidRPr="00C32E6C" w:rsidRDefault="00C8549F" w:rsidP="00C8549F">
      <w:pPr>
        <w:adjustRightInd w:val="0"/>
        <w:spacing w:after="0" w:afterAutospacing="0"/>
        <w:rPr>
          <w:rFonts w:cs="Arial"/>
          <w:szCs w:val="24"/>
        </w:rPr>
      </w:pPr>
    </w:p>
    <w:p w:rsidR="00C8549F" w:rsidRPr="0013407A" w:rsidRDefault="00C8549F" w:rsidP="00C8549F">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C8549F" w:rsidRDefault="00CD3609" w:rsidP="00C8549F">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T</w:t>
      </w:r>
      <w:r w:rsidR="008E3A59">
        <w:rPr>
          <w:rFonts w:eastAsiaTheme="minorEastAsia" w:cs="Arial"/>
          <w:szCs w:val="24"/>
          <w:lang w:val="en-US"/>
        </w:rPr>
        <w:t>rigger</w:t>
      </w:r>
      <w:r>
        <w:rPr>
          <w:rFonts w:eastAsiaTheme="minorEastAsia" w:cs="Arial"/>
          <w:szCs w:val="24"/>
          <w:lang w:val="en-US"/>
        </w:rPr>
        <w:t>ed grant</w:t>
      </w:r>
      <w:r w:rsidR="008E3A59">
        <w:rPr>
          <w:rFonts w:eastAsiaTheme="minorEastAsia" w:cs="Arial"/>
          <w:szCs w:val="24"/>
          <w:lang w:val="en-US"/>
        </w:rPr>
        <w:t xml:space="preserve"> can be considered.</w:t>
      </w:r>
    </w:p>
    <w:p w:rsidR="007E3BD1" w:rsidRPr="00C8549F" w:rsidRDefault="007E3BD1" w:rsidP="004A6E47">
      <w:pPr>
        <w:adjustRightInd w:val="0"/>
        <w:spacing w:after="0" w:afterAutospacing="0"/>
        <w:rPr>
          <w:rFonts w:eastAsiaTheme="minorEastAsia" w:cs="Arial"/>
          <w:szCs w:val="24"/>
          <w:lang w:val="en-US"/>
        </w:rPr>
      </w:pPr>
    </w:p>
    <w:p w:rsidR="00A23C2E" w:rsidRPr="00463A5C" w:rsidRDefault="00A23C2E" w:rsidP="00A23C2E">
      <w:pPr>
        <w:pStyle w:val="10"/>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we present</w:t>
      </w:r>
      <w:r w:rsidR="004556DB" w:rsidRPr="004556DB">
        <w:rPr>
          <w:rFonts w:cs="Arial" w:hint="eastAsia"/>
          <w:szCs w:val="24"/>
        </w:rPr>
        <w:t xml:space="preserve"> </w:t>
      </w:r>
      <w:r w:rsidR="004556DB">
        <w:rPr>
          <w:rFonts w:cs="Arial" w:hint="eastAsia"/>
          <w:szCs w:val="24"/>
        </w:rPr>
        <w:t xml:space="preserve">our views on </w:t>
      </w:r>
      <w:r w:rsidR="004556DB">
        <w:rPr>
          <w:rFonts w:cs="Arial"/>
          <w:szCs w:val="24"/>
        </w:rPr>
        <w:t>HARQ enhancement</w:t>
      </w:r>
      <w:r w:rsidR="004A023B">
        <w:rPr>
          <w:rFonts w:cs="Arial" w:hint="eastAsia"/>
          <w:szCs w:val="24"/>
        </w:rPr>
        <w:t xml:space="preserve">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 and observations</w:t>
      </w:r>
      <w:r>
        <w:rPr>
          <w:rFonts w:eastAsiaTheme="minorEastAsia" w:cs="Arial" w:hint="eastAsia"/>
          <w:szCs w:val="24"/>
          <w:lang w:val="en-US"/>
        </w:rPr>
        <w:t>:</w:t>
      </w:r>
    </w:p>
    <w:p w:rsidR="008540B4" w:rsidRDefault="008540B4" w:rsidP="00D16559">
      <w:pPr>
        <w:adjustRightInd w:val="0"/>
        <w:spacing w:after="0" w:afterAutospacing="0"/>
        <w:rPr>
          <w:rFonts w:eastAsiaTheme="minorEastAsia" w:cs="Arial"/>
          <w:szCs w:val="24"/>
          <w:lang w:val="en-US"/>
        </w:rPr>
      </w:pPr>
    </w:p>
    <w:p w:rsidR="00DF377D" w:rsidRPr="0013407A" w:rsidRDefault="00DF377D" w:rsidP="00DF377D">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DF377D" w:rsidRDefault="00DF377D" w:rsidP="00DF377D">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It is beneficial to support triggering based HARQ feedback for a fixed or explicitly signaled set of HARQ processes with a fixed or signaled HARQ-ACK codebook size.</w:t>
      </w:r>
    </w:p>
    <w:p w:rsidR="00DF377D" w:rsidRPr="00DF377D" w:rsidRDefault="00DF377D" w:rsidP="00DF377D">
      <w:pPr>
        <w:pStyle w:val="aff5"/>
        <w:numPr>
          <w:ilvl w:val="0"/>
          <w:numId w:val="12"/>
        </w:numPr>
        <w:adjustRightInd w:val="0"/>
        <w:spacing w:after="0" w:afterAutospacing="0"/>
        <w:ind w:leftChars="0"/>
        <w:rPr>
          <w:rFonts w:cs="Arial"/>
          <w:b/>
          <w:szCs w:val="24"/>
          <w:u w:val="single"/>
        </w:rPr>
      </w:pPr>
      <w:r w:rsidRPr="00DF377D">
        <w:rPr>
          <w:rFonts w:cs="Arial"/>
          <w:b/>
          <w:szCs w:val="24"/>
          <w:u w:val="single"/>
        </w:rPr>
        <w:t>Proposal</w:t>
      </w:r>
      <w:r w:rsidRPr="00DF377D">
        <w:rPr>
          <w:rFonts w:cs="Arial" w:hint="eastAsia"/>
          <w:b/>
          <w:szCs w:val="24"/>
          <w:u w:val="single"/>
        </w:rPr>
        <w:t xml:space="preserve"> </w:t>
      </w:r>
      <w:r w:rsidRPr="00DF377D">
        <w:rPr>
          <w:rFonts w:cs="Arial"/>
          <w:b/>
          <w:szCs w:val="24"/>
          <w:u w:val="single"/>
        </w:rPr>
        <w:t>2</w:t>
      </w:r>
      <w:r w:rsidRPr="00DF377D">
        <w:rPr>
          <w:rFonts w:cs="Arial" w:hint="eastAsia"/>
          <w:b/>
          <w:szCs w:val="24"/>
          <w:u w:val="single"/>
        </w:rPr>
        <w:t>:</w:t>
      </w:r>
      <w:r w:rsidRPr="00DF377D">
        <w:rPr>
          <w:rFonts w:eastAsiaTheme="minorEastAsia" w:cs="Arial" w:hint="eastAsia"/>
          <w:b/>
          <w:szCs w:val="24"/>
          <w:u w:val="single"/>
          <w:lang w:val="en-US"/>
        </w:rPr>
        <w:t xml:space="preserve"> </w:t>
      </w:r>
    </w:p>
    <w:p w:rsidR="00DF377D" w:rsidRDefault="00DF377D" w:rsidP="00DF377D">
      <w:pPr>
        <w:pStyle w:val="aff5"/>
        <w:ind w:left="960"/>
        <w:rPr>
          <w:rFonts w:eastAsiaTheme="minorEastAsia" w:cs="Arial"/>
          <w:szCs w:val="24"/>
          <w:lang w:val="en-US"/>
        </w:rPr>
      </w:pPr>
      <w:r w:rsidRPr="00DF377D">
        <w:rPr>
          <w:rFonts w:eastAsiaTheme="minorEastAsia" w:cs="Arial"/>
          <w:szCs w:val="24"/>
          <w:lang w:val="en-US"/>
        </w:rPr>
        <w:t>All of the Cat-1, Cat-2 and Cat-4 LBTs should be supported for HARQ feedback.</w:t>
      </w:r>
    </w:p>
    <w:p w:rsidR="00DF377D" w:rsidRPr="0013407A" w:rsidRDefault="00DF377D" w:rsidP="00DF377D">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DF377D" w:rsidRDefault="00DF377D" w:rsidP="00DF377D">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It is beneficial to support multiple TTIs for different TBs using single UL grant.</w:t>
      </w:r>
    </w:p>
    <w:p w:rsidR="00DF377D" w:rsidRPr="0013407A" w:rsidRDefault="00DF377D" w:rsidP="00DF377D">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DF377D" w:rsidRDefault="00DF377D" w:rsidP="00DF377D">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Triggered grant can be considered.</w:t>
      </w:r>
    </w:p>
    <w:p w:rsidR="00F77A1B" w:rsidRPr="00F77A1B" w:rsidRDefault="00F77A1B" w:rsidP="00DF377D">
      <w:pPr>
        <w:pStyle w:val="aff5"/>
        <w:ind w:left="960"/>
        <w:rPr>
          <w:lang w:val="en-US"/>
        </w:rPr>
      </w:pPr>
    </w:p>
    <w:p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rsidR="009808E2" w:rsidRPr="00F22317" w:rsidRDefault="009808E2" w:rsidP="00895C16">
      <w:pPr>
        <w:pStyle w:val="textintend2"/>
        <w:widowControl w:val="0"/>
        <w:numPr>
          <w:ilvl w:val="0"/>
          <w:numId w:val="11"/>
        </w:numPr>
        <w:snapToGrid w:val="0"/>
        <w:spacing w:after="0"/>
        <w:ind w:left="720" w:hanging="720"/>
        <w:rPr>
          <w:szCs w:val="24"/>
        </w:rPr>
      </w:pPr>
      <w:r>
        <w:t>RAN WG1 #94 Chairman’s note, August 2018.</w:t>
      </w:r>
    </w:p>
    <w:p w:rsidR="00F22317" w:rsidRPr="009808E2" w:rsidRDefault="00F22317" w:rsidP="00895C16">
      <w:pPr>
        <w:pStyle w:val="textintend2"/>
        <w:widowControl w:val="0"/>
        <w:numPr>
          <w:ilvl w:val="0"/>
          <w:numId w:val="11"/>
        </w:numPr>
        <w:snapToGrid w:val="0"/>
        <w:spacing w:after="0"/>
        <w:ind w:left="720" w:hanging="720"/>
        <w:rPr>
          <w:szCs w:val="24"/>
        </w:rPr>
      </w:pPr>
      <w:r>
        <w:t>R1-01809921, “Feature lead summary of HARQ enhancement in NR-U”, Huawei, HiSilicon, RAN1#94, August 2018.</w:t>
      </w:r>
    </w:p>
    <w:p w:rsidR="00E96198" w:rsidRPr="00D65461" w:rsidRDefault="00E96198" w:rsidP="00895C16">
      <w:pPr>
        <w:pStyle w:val="textintend2"/>
        <w:widowControl w:val="0"/>
        <w:numPr>
          <w:ilvl w:val="0"/>
          <w:numId w:val="11"/>
        </w:numPr>
        <w:snapToGrid w:val="0"/>
        <w:spacing w:after="0"/>
        <w:ind w:left="720" w:hanging="720"/>
        <w:rPr>
          <w:szCs w:val="24"/>
        </w:rPr>
      </w:pPr>
      <w:r>
        <w:rPr>
          <w:lang w:eastAsia="ja-JP"/>
        </w:rPr>
        <w:t>RAN WG1 #93 Chairman’s note, May 2018.</w:t>
      </w:r>
    </w:p>
    <w:sectPr w:rsidR="00E96198" w:rsidRPr="00D65461"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0244" w:rsidRDefault="00FF0244">
      <w:r>
        <w:separator/>
      </w:r>
    </w:p>
  </w:endnote>
  <w:endnote w:type="continuationSeparator" w:id="0">
    <w:p w:rsidR="00FF0244" w:rsidRDefault="00FF0244">
      <w:r>
        <w:continuationSeparator/>
      </w:r>
    </w:p>
  </w:endnote>
  <w:endnote w:type="continuationNotice" w:id="1">
    <w:p w:rsidR="00FF0244" w:rsidRDefault="00FF02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DF9" w:rsidRDefault="004976EF">
    <w:pPr>
      <w:pStyle w:val="ad"/>
      <w:jc w:val="center"/>
    </w:pPr>
    <w:r>
      <w:rPr>
        <w:b/>
        <w:szCs w:val="24"/>
      </w:rPr>
      <w:fldChar w:fldCharType="begin"/>
    </w:r>
    <w:r w:rsidR="00763DF9">
      <w:rPr>
        <w:b/>
      </w:rPr>
      <w:instrText>PAGE</w:instrText>
    </w:r>
    <w:r>
      <w:rPr>
        <w:b/>
        <w:szCs w:val="24"/>
      </w:rPr>
      <w:fldChar w:fldCharType="separate"/>
    </w:r>
    <w:r w:rsidR="0081110F">
      <w:rPr>
        <w:b/>
        <w:noProof/>
      </w:rPr>
      <w:t>2</w:t>
    </w:r>
    <w:r>
      <w:rPr>
        <w:b/>
        <w:szCs w:val="24"/>
      </w:rPr>
      <w:fldChar w:fldCharType="end"/>
    </w:r>
  </w:p>
  <w:p w:rsidR="00763DF9" w:rsidRDefault="00763DF9">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0244" w:rsidRDefault="00FF0244">
      <w:r>
        <w:separator/>
      </w:r>
    </w:p>
  </w:footnote>
  <w:footnote w:type="continuationSeparator" w:id="0">
    <w:p w:rsidR="00FF0244" w:rsidRDefault="00FF0244">
      <w:r>
        <w:continuationSeparator/>
      </w:r>
    </w:p>
  </w:footnote>
  <w:footnote w:type="continuationNotice" w:id="1">
    <w:p w:rsidR="00FF0244" w:rsidRDefault="00FF024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0E132023"/>
    <w:multiLevelType w:val="hybridMultilevel"/>
    <w:tmpl w:val="CBCE4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650B3B"/>
    <w:multiLevelType w:val="hybridMultilevel"/>
    <w:tmpl w:val="35508E92"/>
    <w:lvl w:ilvl="0" w:tplc="0409000B">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24B1E5F"/>
    <w:multiLevelType w:val="hybridMultilevel"/>
    <w:tmpl w:val="C4708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C926D3"/>
    <w:multiLevelType w:val="hybridMultilevel"/>
    <w:tmpl w:val="49D6F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3A446A"/>
    <w:multiLevelType w:val="hybridMultilevel"/>
    <w:tmpl w:val="90A21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8"/>
  </w:num>
  <w:num w:numId="2">
    <w:abstractNumId w:val="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5"/>
  </w:num>
  <w:num w:numId="6">
    <w:abstractNumId w:val="16"/>
  </w:num>
  <w:num w:numId="7">
    <w:abstractNumId w:val="14"/>
  </w:num>
  <w:num w:numId="8">
    <w:abstractNumId w:val="1"/>
  </w:num>
  <w:num w:numId="9">
    <w:abstractNumId w:val="20"/>
  </w:num>
  <w:num w:numId="10">
    <w:abstractNumId w:val="11"/>
  </w:num>
  <w:num w:numId="11">
    <w:abstractNumId w:val="12"/>
  </w:num>
  <w:num w:numId="12">
    <w:abstractNumId w:val="17"/>
  </w:num>
  <w:num w:numId="13">
    <w:abstractNumId w:val="10"/>
  </w:num>
  <w:num w:numId="14">
    <w:abstractNumId w:val="13"/>
  </w:num>
  <w:num w:numId="15">
    <w:abstractNumId w:val="0"/>
  </w:num>
  <w:num w:numId="16">
    <w:abstractNumId w:val="3"/>
  </w:num>
  <w:num w:numId="17">
    <w:abstractNumId w:val="9"/>
  </w:num>
  <w:num w:numId="18">
    <w:abstractNumId w:val="8"/>
  </w:num>
  <w:num w:numId="19">
    <w:abstractNumId w:val="6"/>
  </w:num>
  <w:num w:numId="20">
    <w:abstractNumId w:val="4"/>
  </w:num>
  <w:num w:numId="21">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A0"/>
    <w:rsid w:val="00021BF7"/>
    <w:rsid w:val="00021F65"/>
    <w:rsid w:val="00022075"/>
    <w:rsid w:val="0002315D"/>
    <w:rsid w:val="00023256"/>
    <w:rsid w:val="00023821"/>
    <w:rsid w:val="0002384A"/>
    <w:rsid w:val="00023B98"/>
    <w:rsid w:val="00023C3B"/>
    <w:rsid w:val="000240CB"/>
    <w:rsid w:val="00024359"/>
    <w:rsid w:val="0002486B"/>
    <w:rsid w:val="000255C5"/>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9D2"/>
    <w:rsid w:val="00047D0A"/>
    <w:rsid w:val="00050B6F"/>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C71"/>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8DA"/>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E50"/>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B79C0"/>
    <w:rsid w:val="000C0472"/>
    <w:rsid w:val="000C069D"/>
    <w:rsid w:val="000C0EDD"/>
    <w:rsid w:val="000C0F95"/>
    <w:rsid w:val="000C12D5"/>
    <w:rsid w:val="000C1A47"/>
    <w:rsid w:val="000C1B4B"/>
    <w:rsid w:val="000C1C18"/>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4CD"/>
    <w:rsid w:val="000D25E9"/>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497"/>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125"/>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42"/>
    <w:rsid w:val="001816B4"/>
    <w:rsid w:val="00182B27"/>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1BFA"/>
    <w:rsid w:val="001B2BE8"/>
    <w:rsid w:val="001B2F9D"/>
    <w:rsid w:val="001B4022"/>
    <w:rsid w:val="001B4578"/>
    <w:rsid w:val="001B4AE0"/>
    <w:rsid w:val="001B63C2"/>
    <w:rsid w:val="001B71FD"/>
    <w:rsid w:val="001B7221"/>
    <w:rsid w:val="001B7CBE"/>
    <w:rsid w:val="001B7F47"/>
    <w:rsid w:val="001C0492"/>
    <w:rsid w:val="001C0588"/>
    <w:rsid w:val="001C0677"/>
    <w:rsid w:val="001C1D61"/>
    <w:rsid w:val="001C20A8"/>
    <w:rsid w:val="001C25FE"/>
    <w:rsid w:val="001C26DB"/>
    <w:rsid w:val="001C3075"/>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2C6"/>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46E"/>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8E4"/>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7F93"/>
    <w:rsid w:val="00260555"/>
    <w:rsid w:val="00260B16"/>
    <w:rsid w:val="002619A8"/>
    <w:rsid w:val="00261A3D"/>
    <w:rsid w:val="00262E12"/>
    <w:rsid w:val="002630F9"/>
    <w:rsid w:val="002635EC"/>
    <w:rsid w:val="00263A00"/>
    <w:rsid w:val="00264239"/>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519"/>
    <w:rsid w:val="00282C02"/>
    <w:rsid w:val="0028362F"/>
    <w:rsid w:val="00283816"/>
    <w:rsid w:val="00284204"/>
    <w:rsid w:val="002848E5"/>
    <w:rsid w:val="00284E16"/>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4F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D7FA4"/>
    <w:rsid w:val="002E0220"/>
    <w:rsid w:val="002E0251"/>
    <w:rsid w:val="002E0622"/>
    <w:rsid w:val="002E06F5"/>
    <w:rsid w:val="002E0C30"/>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6E0"/>
    <w:rsid w:val="00310C71"/>
    <w:rsid w:val="00310FED"/>
    <w:rsid w:val="00311470"/>
    <w:rsid w:val="00311836"/>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2C52"/>
    <w:rsid w:val="003730F2"/>
    <w:rsid w:val="003739A7"/>
    <w:rsid w:val="003739E9"/>
    <w:rsid w:val="00373E0B"/>
    <w:rsid w:val="00374689"/>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962"/>
    <w:rsid w:val="00394A20"/>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5B9"/>
    <w:rsid w:val="00445C54"/>
    <w:rsid w:val="00445D97"/>
    <w:rsid w:val="0044634A"/>
    <w:rsid w:val="00446629"/>
    <w:rsid w:val="004511F3"/>
    <w:rsid w:val="004516C1"/>
    <w:rsid w:val="00452686"/>
    <w:rsid w:val="0045396A"/>
    <w:rsid w:val="00453E10"/>
    <w:rsid w:val="00453EBE"/>
    <w:rsid w:val="00454240"/>
    <w:rsid w:val="0045474A"/>
    <w:rsid w:val="004547D2"/>
    <w:rsid w:val="00454B14"/>
    <w:rsid w:val="0045542F"/>
    <w:rsid w:val="004556DB"/>
    <w:rsid w:val="004557E6"/>
    <w:rsid w:val="00455EF9"/>
    <w:rsid w:val="004560E5"/>
    <w:rsid w:val="004565CD"/>
    <w:rsid w:val="004566C8"/>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22AB"/>
    <w:rsid w:val="00492608"/>
    <w:rsid w:val="0049362E"/>
    <w:rsid w:val="0049421E"/>
    <w:rsid w:val="004945BD"/>
    <w:rsid w:val="00494728"/>
    <w:rsid w:val="0049549E"/>
    <w:rsid w:val="00495694"/>
    <w:rsid w:val="00495863"/>
    <w:rsid w:val="00495881"/>
    <w:rsid w:val="0049632C"/>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204"/>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FE3"/>
    <w:rsid w:val="005335EC"/>
    <w:rsid w:val="00533F39"/>
    <w:rsid w:val="00534D1D"/>
    <w:rsid w:val="00535AA6"/>
    <w:rsid w:val="00536CA4"/>
    <w:rsid w:val="00537265"/>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B46"/>
    <w:rsid w:val="00562071"/>
    <w:rsid w:val="00563930"/>
    <w:rsid w:val="00563A1D"/>
    <w:rsid w:val="00564109"/>
    <w:rsid w:val="0056431A"/>
    <w:rsid w:val="005643B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46A3"/>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B7A"/>
    <w:rsid w:val="005A3E55"/>
    <w:rsid w:val="005A4309"/>
    <w:rsid w:val="005A50C0"/>
    <w:rsid w:val="005A5ECA"/>
    <w:rsid w:val="005A61C7"/>
    <w:rsid w:val="005A6D4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2B8"/>
    <w:rsid w:val="005D367B"/>
    <w:rsid w:val="005D3961"/>
    <w:rsid w:val="005D52A9"/>
    <w:rsid w:val="005D5484"/>
    <w:rsid w:val="005D5539"/>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5CB"/>
    <w:rsid w:val="005F1D45"/>
    <w:rsid w:val="005F1F06"/>
    <w:rsid w:val="005F311F"/>
    <w:rsid w:val="005F35DE"/>
    <w:rsid w:val="005F3B21"/>
    <w:rsid w:val="005F484A"/>
    <w:rsid w:val="005F4BD8"/>
    <w:rsid w:val="005F510F"/>
    <w:rsid w:val="005F6852"/>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D55"/>
    <w:rsid w:val="00614DD7"/>
    <w:rsid w:val="006165D3"/>
    <w:rsid w:val="00616D64"/>
    <w:rsid w:val="006173FD"/>
    <w:rsid w:val="00617BCA"/>
    <w:rsid w:val="006200F7"/>
    <w:rsid w:val="00621011"/>
    <w:rsid w:val="0062292D"/>
    <w:rsid w:val="0062394A"/>
    <w:rsid w:val="00624FE3"/>
    <w:rsid w:val="006253A6"/>
    <w:rsid w:val="00625C1A"/>
    <w:rsid w:val="0062673B"/>
    <w:rsid w:val="00626D02"/>
    <w:rsid w:val="00627144"/>
    <w:rsid w:val="0062738A"/>
    <w:rsid w:val="00630297"/>
    <w:rsid w:val="00630854"/>
    <w:rsid w:val="00630BF1"/>
    <w:rsid w:val="00631405"/>
    <w:rsid w:val="00631B6C"/>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392"/>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C5E"/>
    <w:rsid w:val="006B1DF1"/>
    <w:rsid w:val="006B24AB"/>
    <w:rsid w:val="006B35C0"/>
    <w:rsid w:val="006B3AD7"/>
    <w:rsid w:val="006B4043"/>
    <w:rsid w:val="006B4914"/>
    <w:rsid w:val="006B4B9A"/>
    <w:rsid w:val="006B4F72"/>
    <w:rsid w:val="006B4F92"/>
    <w:rsid w:val="006B52C9"/>
    <w:rsid w:val="006B57F1"/>
    <w:rsid w:val="006B5C1C"/>
    <w:rsid w:val="006B64AF"/>
    <w:rsid w:val="006B64E3"/>
    <w:rsid w:val="006B732A"/>
    <w:rsid w:val="006C011B"/>
    <w:rsid w:val="006C0379"/>
    <w:rsid w:val="006C0409"/>
    <w:rsid w:val="006C071D"/>
    <w:rsid w:val="006C0990"/>
    <w:rsid w:val="006C282A"/>
    <w:rsid w:val="006C2891"/>
    <w:rsid w:val="006C2A94"/>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E25"/>
    <w:rsid w:val="006F50E3"/>
    <w:rsid w:val="006F5282"/>
    <w:rsid w:val="006F5441"/>
    <w:rsid w:val="006F55E0"/>
    <w:rsid w:val="006F59B4"/>
    <w:rsid w:val="006F6856"/>
    <w:rsid w:val="006F6E4A"/>
    <w:rsid w:val="006F74B4"/>
    <w:rsid w:val="006F7830"/>
    <w:rsid w:val="00700C6C"/>
    <w:rsid w:val="00700F40"/>
    <w:rsid w:val="0070113F"/>
    <w:rsid w:val="007016D5"/>
    <w:rsid w:val="00701B75"/>
    <w:rsid w:val="00702E74"/>
    <w:rsid w:val="00703282"/>
    <w:rsid w:val="00703A87"/>
    <w:rsid w:val="00703C7A"/>
    <w:rsid w:val="007048EB"/>
    <w:rsid w:val="00704DFD"/>
    <w:rsid w:val="007054D4"/>
    <w:rsid w:val="0070570E"/>
    <w:rsid w:val="00705C67"/>
    <w:rsid w:val="0070625A"/>
    <w:rsid w:val="007070E9"/>
    <w:rsid w:val="0070722E"/>
    <w:rsid w:val="007072F2"/>
    <w:rsid w:val="0070796D"/>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5FAD"/>
    <w:rsid w:val="007266B4"/>
    <w:rsid w:val="00726D34"/>
    <w:rsid w:val="00726DA4"/>
    <w:rsid w:val="00727372"/>
    <w:rsid w:val="007275B8"/>
    <w:rsid w:val="007277CB"/>
    <w:rsid w:val="007277ED"/>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F0E"/>
    <w:rsid w:val="00746327"/>
    <w:rsid w:val="00746887"/>
    <w:rsid w:val="00746919"/>
    <w:rsid w:val="007473CF"/>
    <w:rsid w:val="0075048D"/>
    <w:rsid w:val="00750703"/>
    <w:rsid w:val="00750A29"/>
    <w:rsid w:val="00750CFB"/>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AB8"/>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0D9"/>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61A"/>
    <w:rsid w:val="007977B1"/>
    <w:rsid w:val="00797BB7"/>
    <w:rsid w:val="00797D05"/>
    <w:rsid w:val="007A05B7"/>
    <w:rsid w:val="007A0664"/>
    <w:rsid w:val="007A06A7"/>
    <w:rsid w:val="007A0930"/>
    <w:rsid w:val="007A2DA1"/>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712"/>
    <w:rsid w:val="007B2997"/>
    <w:rsid w:val="007B2B22"/>
    <w:rsid w:val="007B2D0E"/>
    <w:rsid w:val="007B4675"/>
    <w:rsid w:val="007B476E"/>
    <w:rsid w:val="007B4F2F"/>
    <w:rsid w:val="007B5548"/>
    <w:rsid w:val="007B55BA"/>
    <w:rsid w:val="007B604A"/>
    <w:rsid w:val="007B780C"/>
    <w:rsid w:val="007B7BB3"/>
    <w:rsid w:val="007C00E0"/>
    <w:rsid w:val="007C0445"/>
    <w:rsid w:val="007C0A01"/>
    <w:rsid w:val="007C1A59"/>
    <w:rsid w:val="007C2535"/>
    <w:rsid w:val="007C28A4"/>
    <w:rsid w:val="007C3BE3"/>
    <w:rsid w:val="007C4574"/>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E019B"/>
    <w:rsid w:val="007E01E1"/>
    <w:rsid w:val="007E1F2B"/>
    <w:rsid w:val="007E1FE6"/>
    <w:rsid w:val="007E23FA"/>
    <w:rsid w:val="007E2545"/>
    <w:rsid w:val="007E2A50"/>
    <w:rsid w:val="007E3487"/>
    <w:rsid w:val="007E3BD1"/>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3725"/>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FC7"/>
    <w:rsid w:val="0081110F"/>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1F4A"/>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4EA4"/>
    <w:rsid w:val="0084541F"/>
    <w:rsid w:val="00845727"/>
    <w:rsid w:val="00845928"/>
    <w:rsid w:val="00845BE5"/>
    <w:rsid w:val="00845D60"/>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6EF9"/>
    <w:rsid w:val="008671C0"/>
    <w:rsid w:val="00870617"/>
    <w:rsid w:val="0087109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354A"/>
    <w:rsid w:val="008836F1"/>
    <w:rsid w:val="00883DD7"/>
    <w:rsid w:val="00883F37"/>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5C16"/>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1A4"/>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A5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3A5"/>
    <w:rsid w:val="00906524"/>
    <w:rsid w:val="0090659A"/>
    <w:rsid w:val="00906B31"/>
    <w:rsid w:val="009103E0"/>
    <w:rsid w:val="0091096D"/>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41FC"/>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3A5"/>
    <w:rsid w:val="00960E40"/>
    <w:rsid w:val="00961A0F"/>
    <w:rsid w:val="00962CFA"/>
    <w:rsid w:val="009635E9"/>
    <w:rsid w:val="00963666"/>
    <w:rsid w:val="00963E12"/>
    <w:rsid w:val="00963E3E"/>
    <w:rsid w:val="0096407B"/>
    <w:rsid w:val="009647C7"/>
    <w:rsid w:val="00964DF8"/>
    <w:rsid w:val="00965576"/>
    <w:rsid w:val="00965BB3"/>
    <w:rsid w:val="009661AE"/>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8E2"/>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63CB"/>
    <w:rsid w:val="009A6859"/>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CAF"/>
    <w:rsid w:val="009B5357"/>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C34"/>
    <w:rsid w:val="009E5522"/>
    <w:rsid w:val="009E56FF"/>
    <w:rsid w:val="009E6AD8"/>
    <w:rsid w:val="009E6B7C"/>
    <w:rsid w:val="009E75D5"/>
    <w:rsid w:val="009F09FF"/>
    <w:rsid w:val="009F0DE7"/>
    <w:rsid w:val="009F145D"/>
    <w:rsid w:val="009F2578"/>
    <w:rsid w:val="009F264F"/>
    <w:rsid w:val="009F2F35"/>
    <w:rsid w:val="009F36D7"/>
    <w:rsid w:val="009F5148"/>
    <w:rsid w:val="009F51BD"/>
    <w:rsid w:val="009F5B06"/>
    <w:rsid w:val="009F5BE4"/>
    <w:rsid w:val="009F6119"/>
    <w:rsid w:val="009F6EC0"/>
    <w:rsid w:val="00A002D8"/>
    <w:rsid w:val="00A00585"/>
    <w:rsid w:val="00A01126"/>
    <w:rsid w:val="00A01474"/>
    <w:rsid w:val="00A02C41"/>
    <w:rsid w:val="00A0354A"/>
    <w:rsid w:val="00A05392"/>
    <w:rsid w:val="00A05CB9"/>
    <w:rsid w:val="00A05DCC"/>
    <w:rsid w:val="00A05F44"/>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1E41"/>
    <w:rsid w:val="00A82461"/>
    <w:rsid w:val="00A83F45"/>
    <w:rsid w:val="00A845A6"/>
    <w:rsid w:val="00A8479A"/>
    <w:rsid w:val="00A84A5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264"/>
    <w:rsid w:val="00AB03A3"/>
    <w:rsid w:val="00AB0C5C"/>
    <w:rsid w:val="00AB10D2"/>
    <w:rsid w:val="00AB23E1"/>
    <w:rsid w:val="00AB2FEE"/>
    <w:rsid w:val="00AB3523"/>
    <w:rsid w:val="00AB3EE8"/>
    <w:rsid w:val="00AB40D2"/>
    <w:rsid w:val="00AB4B26"/>
    <w:rsid w:val="00AB56F4"/>
    <w:rsid w:val="00AB5DFD"/>
    <w:rsid w:val="00AB5F48"/>
    <w:rsid w:val="00AB728A"/>
    <w:rsid w:val="00AB7F94"/>
    <w:rsid w:val="00AC10BC"/>
    <w:rsid w:val="00AC1EE3"/>
    <w:rsid w:val="00AC247B"/>
    <w:rsid w:val="00AC2C2D"/>
    <w:rsid w:val="00AC2CBD"/>
    <w:rsid w:val="00AC31CA"/>
    <w:rsid w:val="00AC388A"/>
    <w:rsid w:val="00AC38F9"/>
    <w:rsid w:val="00AC3B89"/>
    <w:rsid w:val="00AC3C91"/>
    <w:rsid w:val="00AC547A"/>
    <w:rsid w:val="00AC5650"/>
    <w:rsid w:val="00AC58BF"/>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457"/>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4A3"/>
    <w:rsid w:val="00AF66EC"/>
    <w:rsid w:val="00AF6F95"/>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27F0D"/>
    <w:rsid w:val="00B30935"/>
    <w:rsid w:val="00B30BCC"/>
    <w:rsid w:val="00B3183B"/>
    <w:rsid w:val="00B325AA"/>
    <w:rsid w:val="00B327AF"/>
    <w:rsid w:val="00B328C9"/>
    <w:rsid w:val="00B32AE5"/>
    <w:rsid w:val="00B337B4"/>
    <w:rsid w:val="00B33BBA"/>
    <w:rsid w:val="00B347FB"/>
    <w:rsid w:val="00B34D6E"/>
    <w:rsid w:val="00B3602A"/>
    <w:rsid w:val="00B36590"/>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FAE"/>
    <w:rsid w:val="00B74FBE"/>
    <w:rsid w:val="00B756FD"/>
    <w:rsid w:val="00B75C8E"/>
    <w:rsid w:val="00B76149"/>
    <w:rsid w:val="00B77098"/>
    <w:rsid w:val="00B7710C"/>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B63"/>
    <w:rsid w:val="00B90E65"/>
    <w:rsid w:val="00B91437"/>
    <w:rsid w:val="00B915C5"/>
    <w:rsid w:val="00B91A3F"/>
    <w:rsid w:val="00B93B04"/>
    <w:rsid w:val="00B9514C"/>
    <w:rsid w:val="00B9529F"/>
    <w:rsid w:val="00B95904"/>
    <w:rsid w:val="00B95A6E"/>
    <w:rsid w:val="00B95A73"/>
    <w:rsid w:val="00B96789"/>
    <w:rsid w:val="00B97BE7"/>
    <w:rsid w:val="00BA1AB9"/>
    <w:rsid w:val="00BA21D0"/>
    <w:rsid w:val="00BA2722"/>
    <w:rsid w:val="00BA2A3A"/>
    <w:rsid w:val="00BA3CBF"/>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CE"/>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E90"/>
    <w:rsid w:val="00BE3EDC"/>
    <w:rsid w:val="00BE41C0"/>
    <w:rsid w:val="00BE574C"/>
    <w:rsid w:val="00BE5BBD"/>
    <w:rsid w:val="00BE6EC1"/>
    <w:rsid w:val="00BE74E8"/>
    <w:rsid w:val="00BE7B52"/>
    <w:rsid w:val="00BE7E8B"/>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06CE2"/>
    <w:rsid w:val="00C10B22"/>
    <w:rsid w:val="00C114A7"/>
    <w:rsid w:val="00C117A0"/>
    <w:rsid w:val="00C11AF5"/>
    <w:rsid w:val="00C12918"/>
    <w:rsid w:val="00C12DF3"/>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95C"/>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549F"/>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B7272"/>
    <w:rsid w:val="00CB7E0D"/>
    <w:rsid w:val="00CC188F"/>
    <w:rsid w:val="00CC19ED"/>
    <w:rsid w:val="00CC202E"/>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09"/>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DD1"/>
    <w:rsid w:val="00D2449B"/>
    <w:rsid w:val="00D2498D"/>
    <w:rsid w:val="00D24DB1"/>
    <w:rsid w:val="00D24DC7"/>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823"/>
    <w:rsid w:val="00D35E19"/>
    <w:rsid w:val="00D3640A"/>
    <w:rsid w:val="00D36A43"/>
    <w:rsid w:val="00D36F7F"/>
    <w:rsid w:val="00D37358"/>
    <w:rsid w:val="00D37478"/>
    <w:rsid w:val="00D375B0"/>
    <w:rsid w:val="00D37D03"/>
    <w:rsid w:val="00D37F20"/>
    <w:rsid w:val="00D406FF"/>
    <w:rsid w:val="00D410BB"/>
    <w:rsid w:val="00D41294"/>
    <w:rsid w:val="00D41D4A"/>
    <w:rsid w:val="00D41FE7"/>
    <w:rsid w:val="00D424FC"/>
    <w:rsid w:val="00D4299F"/>
    <w:rsid w:val="00D42A0B"/>
    <w:rsid w:val="00D42EA0"/>
    <w:rsid w:val="00D437FE"/>
    <w:rsid w:val="00D43E13"/>
    <w:rsid w:val="00D453E3"/>
    <w:rsid w:val="00D4574D"/>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54C"/>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E81"/>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6D7"/>
    <w:rsid w:val="00DF335D"/>
    <w:rsid w:val="00DF377D"/>
    <w:rsid w:val="00DF3B17"/>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AAE"/>
    <w:rsid w:val="00E07DDC"/>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1EC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57DC2"/>
    <w:rsid w:val="00E60D1E"/>
    <w:rsid w:val="00E61BB3"/>
    <w:rsid w:val="00E62949"/>
    <w:rsid w:val="00E62ABC"/>
    <w:rsid w:val="00E62D83"/>
    <w:rsid w:val="00E630F9"/>
    <w:rsid w:val="00E6365D"/>
    <w:rsid w:val="00E63719"/>
    <w:rsid w:val="00E63B8D"/>
    <w:rsid w:val="00E63C97"/>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374"/>
    <w:rsid w:val="00EA64D1"/>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4FA8"/>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317"/>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3390"/>
    <w:rsid w:val="00F93A98"/>
    <w:rsid w:val="00F9501E"/>
    <w:rsid w:val="00F954F1"/>
    <w:rsid w:val="00F95502"/>
    <w:rsid w:val="00F95AD2"/>
    <w:rsid w:val="00F966C3"/>
    <w:rsid w:val="00F9746C"/>
    <w:rsid w:val="00F97B3D"/>
    <w:rsid w:val="00F97F38"/>
    <w:rsid w:val="00FA0B82"/>
    <w:rsid w:val="00FA0C43"/>
    <w:rsid w:val="00FA1419"/>
    <w:rsid w:val="00FA1FE3"/>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2F1"/>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9EA"/>
    <w:rsid w:val="00FD7C04"/>
    <w:rsid w:val="00FE0AAC"/>
    <w:rsid w:val="00FE0BC3"/>
    <w:rsid w:val="00FE0FCF"/>
    <w:rsid w:val="00FE13CE"/>
    <w:rsid w:val="00FE161E"/>
    <w:rsid w:val="00FE2768"/>
    <w:rsid w:val="00FE27E5"/>
    <w:rsid w:val="00FE310D"/>
    <w:rsid w:val="00FE598D"/>
    <w:rsid w:val="00FE5B1A"/>
    <w:rsid w:val="00FE5D59"/>
    <w:rsid w:val="00FE602B"/>
    <w:rsid w:val="00FE681B"/>
    <w:rsid w:val="00FE7232"/>
    <w:rsid w:val="00FE741A"/>
    <w:rsid w:val="00FE7A41"/>
    <w:rsid w:val="00FE7DE8"/>
    <w:rsid w:val="00FF0244"/>
    <w:rsid w:val="00FF03CF"/>
    <w:rsid w:val="00FF0981"/>
    <w:rsid w:val="00FF0DE0"/>
    <w:rsid w:val="00FF2066"/>
    <w:rsid w:val="00FF314C"/>
    <w:rsid w:val="00FF447F"/>
    <w:rsid w:val="00FF5B6D"/>
    <w:rsid w:val="00FF5D15"/>
    <w:rsid w:val="00FF799D"/>
    <w:rsid w:val="00FF7E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99CEE-52DB-46EC-9790-3CC55BE93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3398</TotalTime>
  <Pages>4</Pages>
  <Words>1017</Words>
  <Characters>5798</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野上智造/主任研究員</cp:lastModifiedBy>
  <cp:revision>360</cp:revision>
  <cp:lastPrinted>2014-04-22T06:35:00Z</cp:lastPrinted>
  <dcterms:created xsi:type="dcterms:W3CDTF">2017-01-06T07:16:00Z</dcterms:created>
  <dcterms:modified xsi:type="dcterms:W3CDTF">2018-09-28T05:58:00Z</dcterms:modified>
</cp:coreProperties>
</file>