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F6799" w14:textId="216E1773" w:rsidR="008824AD" w:rsidRPr="008671BB" w:rsidRDefault="008824AD" w:rsidP="2562ABD0">
      <w:pPr>
        <w:pStyle w:val="Header"/>
        <w:rPr>
          <w:rFonts w:eastAsia="Arial" w:cs="Arial"/>
          <w:noProof w:val="0"/>
          <w:sz w:val="24"/>
          <w:szCs w:val="24"/>
          <w:lang w:val="en-GB"/>
        </w:rPr>
      </w:pPr>
      <w:r w:rsidRPr="008671BB">
        <w:rPr>
          <w:noProof w:val="0"/>
          <w:sz w:val="24"/>
          <w:szCs w:val="24"/>
          <w:lang w:val="en-GB"/>
        </w:rPr>
        <w:t>3GPP TSG RAN WG1 Meeting #9</w:t>
      </w:r>
      <w:r w:rsidR="0032324A" w:rsidRPr="008671BB">
        <w:rPr>
          <w:noProof w:val="0"/>
          <w:sz w:val="24"/>
          <w:szCs w:val="24"/>
          <w:lang w:val="en-GB"/>
        </w:rPr>
        <w:t>4</w:t>
      </w:r>
      <w:r w:rsidR="008D1329">
        <w:rPr>
          <w:noProof w:val="0"/>
          <w:sz w:val="24"/>
          <w:szCs w:val="24"/>
          <w:lang w:val="en-GB"/>
        </w:rPr>
        <w:t>b</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004F7D4F" w:rsidRPr="004F7D4F">
        <w:rPr>
          <w:noProof w:val="0"/>
          <w:sz w:val="24"/>
          <w:szCs w:val="24"/>
          <w:lang w:val="en-GB"/>
        </w:rPr>
        <w:t>R1-18</w:t>
      </w:r>
      <w:r w:rsidR="001A4302">
        <w:rPr>
          <w:noProof w:val="0"/>
          <w:sz w:val="24"/>
          <w:szCs w:val="24"/>
          <w:lang w:val="en-GB"/>
        </w:rPr>
        <w:t>10619</w:t>
      </w:r>
    </w:p>
    <w:p w14:paraId="56A8114B" w14:textId="4FE0B8E0" w:rsidR="00CA26CE" w:rsidRPr="008671BB" w:rsidRDefault="2562ABD0" w:rsidP="2562ABD0">
      <w:pPr>
        <w:pStyle w:val="Header"/>
        <w:rPr>
          <w:rFonts w:eastAsia="Arial" w:cs="Arial"/>
          <w:noProof w:val="0"/>
          <w:sz w:val="24"/>
          <w:szCs w:val="24"/>
          <w:lang w:val="en-GB"/>
        </w:rPr>
      </w:pPr>
      <w:r w:rsidRPr="2562ABD0">
        <w:rPr>
          <w:noProof w:val="0"/>
          <w:sz w:val="24"/>
          <w:szCs w:val="24"/>
          <w:lang w:val="en-GB"/>
        </w:rPr>
        <w:t>Chengdu</w:t>
      </w:r>
      <w:r w:rsidRPr="2562ABD0">
        <w:rPr>
          <w:rFonts w:eastAsia="Arial" w:cs="Arial"/>
          <w:noProof w:val="0"/>
          <w:sz w:val="24"/>
          <w:szCs w:val="24"/>
          <w:lang w:val="en-GB"/>
        </w:rPr>
        <w:t xml:space="preserve">, </w:t>
      </w:r>
      <w:r w:rsidRPr="2562ABD0">
        <w:rPr>
          <w:noProof w:val="0"/>
          <w:sz w:val="24"/>
          <w:szCs w:val="24"/>
          <w:lang w:val="en-GB"/>
        </w:rPr>
        <w:t>China</w:t>
      </w:r>
      <w:r w:rsidRPr="2562ABD0">
        <w:rPr>
          <w:rFonts w:eastAsia="Arial" w:cs="Arial"/>
          <w:noProof w:val="0"/>
          <w:sz w:val="24"/>
          <w:szCs w:val="24"/>
          <w:lang w:val="en-GB"/>
        </w:rPr>
        <w:t xml:space="preserve">, </w:t>
      </w:r>
      <w:r w:rsidRPr="2562ABD0">
        <w:rPr>
          <w:noProof w:val="0"/>
          <w:sz w:val="24"/>
          <w:szCs w:val="24"/>
          <w:lang w:val="en-GB"/>
        </w:rPr>
        <w:t>October</w:t>
      </w:r>
      <w:r w:rsidRPr="2562ABD0">
        <w:rPr>
          <w:rFonts w:eastAsia="Arial" w:cs="Arial"/>
          <w:noProof w:val="0"/>
          <w:sz w:val="24"/>
          <w:szCs w:val="24"/>
          <w:lang w:val="en-GB"/>
        </w:rPr>
        <w:t xml:space="preserve"> </w:t>
      </w:r>
      <w:r w:rsidRPr="2562ABD0">
        <w:rPr>
          <w:noProof w:val="0"/>
          <w:sz w:val="24"/>
          <w:szCs w:val="24"/>
          <w:lang w:val="en-GB"/>
        </w:rPr>
        <w:t>8th – 12th, 2018</w:t>
      </w:r>
    </w:p>
    <w:p w14:paraId="62BDED9C" w14:textId="77777777" w:rsidR="008824AD" w:rsidRPr="0016316A" w:rsidRDefault="008824AD" w:rsidP="008824AD">
      <w:pPr>
        <w:pStyle w:val="Header"/>
        <w:rPr>
          <w:bCs/>
          <w:noProof w:val="0"/>
          <w:sz w:val="24"/>
          <w:lang w:val="en-GB" w:eastAsia="ja-JP"/>
        </w:rPr>
      </w:pPr>
    </w:p>
    <w:p w14:paraId="08AC4AD5" w14:textId="6F1E95BE" w:rsidR="0034111C" w:rsidRPr="008671BB" w:rsidRDefault="0034111C" w:rsidP="2562ABD0">
      <w:pPr>
        <w:pStyle w:val="CRCoverPage"/>
        <w:rPr>
          <w:rFonts w:eastAsia="Arial" w:cs="Arial"/>
          <w:b/>
          <w:bCs/>
          <w:sz w:val="24"/>
          <w:szCs w:val="24"/>
          <w:lang w:val="en-US" w:eastAsia="ja-JP"/>
        </w:rPr>
      </w:pPr>
      <w:r w:rsidRPr="008671BB">
        <w:rPr>
          <w:b/>
          <w:bCs/>
          <w:sz w:val="24"/>
          <w:szCs w:val="24"/>
        </w:rPr>
        <w:t>Agenda item:</w:t>
      </w:r>
      <w:r w:rsidRPr="00195EC5">
        <w:rPr>
          <w:rFonts w:cs="Arial"/>
          <w:b/>
          <w:bCs/>
          <w:sz w:val="24"/>
        </w:rPr>
        <w:tab/>
      </w:r>
      <w:r w:rsidRPr="00195EC5">
        <w:rPr>
          <w:rFonts w:cs="Arial"/>
          <w:b/>
          <w:bCs/>
          <w:sz w:val="24"/>
        </w:rPr>
        <w:tab/>
      </w:r>
      <w:r w:rsidR="00E215CE" w:rsidRPr="001A4302">
        <w:rPr>
          <w:b/>
          <w:bCs/>
          <w:sz w:val="24"/>
          <w:szCs w:val="24"/>
        </w:rPr>
        <w:t>7.</w:t>
      </w:r>
      <w:r w:rsidR="00B11646" w:rsidRPr="001A4302">
        <w:rPr>
          <w:b/>
          <w:bCs/>
          <w:sz w:val="24"/>
          <w:szCs w:val="24"/>
        </w:rPr>
        <w:t>1.</w:t>
      </w:r>
      <w:r w:rsidR="00E215CE" w:rsidRPr="001A4302">
        <w:rPr>
          <w:b/>
          <w:bCs/>
          <w:sz w:val="24"/>
          <w:szCs w:val="24"/>
        </w:rPr>
        <w:t>3.1</w:t>
      </w:r>
    </w:p>
    <w:p w14:paraId="54BF8606" w14:textId="6C255ADC" w:rsidR="00E128F2" w:rsidRPr="008671BB" w:rsidRDefault="0034111C" w:rsidP="2562ABD0">
      <w:pPr>
        <w:tabs>
          <w:tab w:val="left" w:pos="1985"/>
        </w:tabs>
        <w:spacing w:after="120"/>
        <w:ind w:left="1985" w:hanging="1985"/>
        <w:rPr>
          <w:rFonts w:ascii="Arial" w:eastAsia="Arial" w:hAnsi="Arial" w:cs="Arial"/>
          <w:b/>
          <w:bCs/>
          <w:sz w:val="24"/>
          <w:szCs w:val="24"/>
          <w:lang w:val="en-US"/>
        </w:rPr>
      </w:pPr>
      <w:r w:rsidRPr="008671BB">
        <w:rPr>
          <w:rFonts w:ascii="Arial" w:eastAsia="Arial" w:hAnsi="Arial" w:cs="Arial"/>
          <w:b/>
          <w:bCs/>
          <w:sz w:val="24"/>
          <w:szCs w:val="24"/>
        </w:rPr>
        <w:t>Source:</w:t>
      </w:r>
      <w:r w:rsidRPr="0016316A">
        <w:rPr>
          <w:rFonts w:ascii="Arial" w:hAnsi="Arial" w:cs="Arial"/>
          <w:b/>
          <w:bCs/>
          <w:sz w:val="24"/>
        </w:rPr>
        <w:tab/>
      </w:r>
      <w:r w:rsidR="00013455" w:rsidRPr="008671BB">
        <w:rPr>
          <w:rFonts w:ascii="Arial" w:eastAsia="Arial" w:hAnsi="Arial" w:cs="Arial"/>
          <w:b/>
          <w:bCs/>
          <w:sz w:val="24"/>
          <w:szCs w:val="24"/>
        </w:rPr>
        <w:t xml:space="preserve">Nokia, </w:t>
      </w:r>
      <w:r w:rsidR="00B22CD3" w:rsidRPr="008671BB">
        <w:rPr>
          <w:rFonts w:ascii="Arial" w:eastAsia="Arial" w:hAnsi="Arial" w:cs="Arial"/>
          <w:b/>
          <w:bCs/>
          <w:sz w:val="24"/>
          <w:szCs w:val="24"/>
        </w:rPr>
        <w:t xml:space="preserve">Nokia </w:t>
      </w:r>
      <w:r w:rsidR="00013455" w:rsidRPr="008671BB">
        <w:rPr>
          <w:rFonts w:ascii="Arial" w:eastAsia="Arial" w:hAnsi="Arial" w:cs="Arial"/>
          <w:b/>
          <w:bCs/>
          <w:sz w:val="24"/>
          <w:szCs w:val="24"/>
        </w:rPr>
        <w:t>Shanghai Bell</w:t>
      </w:r>
    </w:p>
    <w:p w14:paraId="52857A4E" w14:textId="7D60AD16" w:rsidR="0034111C" w:rsidRPr="008671BB" w:rsidRDefault="0034111C" w:rsidP="2562ABD0">
      <w:pPr>
        <w:ind w:left="1985" w:hanging="1985"/>
        <w:rPr>
          <w:rFonts w:ascii="Arial" w:eastAsia="Arial" w:hAnsi="Arial" w:cs="Arial"/>
          <w:b/>
          <w:bCs/>
          <w:sz w:val="24"/>
          <w:szCs w:val="24"/>
        </w:rPr>
      </w:pPr>
      <w:r w:rsidRPr="008671BB">
        <w:rPr>
          <w:rFonts w:ascii="Arial" w:eastAsia="Arial" w:hAnsi="Arial" w:cs="Arial"/>
          <w:b/>
          <w:bCs/>
          <w:sz w:val="24"/>
          <w:szCs w:val="24"/>
        </w:rPr>
        <w:t>Title:</w:t>
      </w:r>
      <w:r w:rsidRPr="0016316A">
        <w:rPr>
          <w:rFonts w:ascii="Arial" w:hAnsi="Arial" w:cs="Arial"/>
          <w:b/>
          <w:bCs/>
          <w:sz w:val="24"/>
        </w:rPr>
        <w:tab/>
      </w:r>
      <w:r w:rsidR="001A4302" w:rsidRPr="2562ABD0">
        <w:rPr>
          <w:rFonts w:ascii="Arial" w:hAnsi="Arial" w:cs="Arial"/>
          <w:b/>
          <w:bCs/>
          <w:sz w:val="24"/>
          <w:szCs w:val="24"/>
        </w:rPr>
        <w:t>Maintenance for</w:t>
      </w:r>
      <w:r w:rsidR="00536910" w:rsidRPr="008671BB">
        <w:rPr>
          <w:rFonts w:ascii="Arial" w:eastAsia="Arial" w:hAnsi="Arial" w:cs="Arial"/>
          <w:b/>
          <w:bCs/>
          <w:sz w:val="24"/>
          <w:szCs w:val="24"/>
        </w:rPr>
        <w:t xml:space="preserve"> DL control </w:t>
      </w:r>
    </w:p>
    <w:p w14:paraId="65B1F247" w14:textId="77777777" w:rsidR="0034111C" w:rsidRPr="008671BB" w:rsidRDefault="0034111C" w:rsidP="2562ABD0">
      <w:pPr>
        <w:rPr>
          <w:rFonts w:ascii="Arial" w:eastAsia="Arial" w:hAnsi="Arial" w:cs="Arial"/>
          <w:b/>
          <w:bCs/>
          <w:sz w:val="24"/>
          <w:szCs w:val="24"/>
        </w:rPr>
      </w:pPr>
      <w:r w:rsidRPr="008671BB">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8671BB">
        <w:rPr>
          <w:rFonts w:ascii="Arial" w:eastAsia="Arial" w:hAnsi="Arial" w:cs="Arial"/>
          <w:b/>
          <w:bCs/>
          <w:sz w:val="24"/>
          <w:szCs w:val="24"/>
        </w:rPr>
        <w:t>Discussion and Decision</w:t>
      </w:r>
    </w:p>
    <w:p w14:paraId="76A875DE" w14:textId="28A114F3" w:rsidR="0034111C" w:rsidRPr="0016316A" w:rsidRDefault="2562ABD0" w:rsidP="001F1E0F">
      <w:pPr>
        <w:pStyle w:val="Heading1"/>
      </w:pPr>
      <w:r>
        <w:t>Introduction</w:t>
      </w:r>
    </w:p>
    <w:p w14:paraId="25049A04" w14:textId="219686E1" w:rsidR="00536910" w:rsidRDefault="2562ABD0" w:rsidP="2562ABD0">
      <w:pPr>
        <w:overflowPunct/>
        <w:autoSpaceDE/>
        <w:autoSpaceDN/>
        <w:adjustRightInd/>
        <w:spacing w:before="100" w:beforeAutospacing="1" w:after="100" w:afterAutospacing="1"/>
        <w:jc w:val="both"/>
        <w:textAlignment w:val="auto"/>
        <w:rPr>
          <w:rFonts w:eastAsia="Times New Roman"/>
        </w:rPr>
      </w:pPr>
      <w:r>
        <w:t xml:space="preserve">In this contribution, we will discuss the following remaining open topics of DL control </w:t>
      </w:r>
      <w:r w:rsidRPr="2562ABD0">
        <w:rPr>
          <w:rFonts w:eastAsia="Times New Roman"/>
        </w:rPr>
        <w:t xml:space="preserve"> </w:t>
      </w:r>
    </w:p>
    <w:p w14:paraId="26C128A7" w14:textId="7780C343" w:rsidR="002A7603" w:rsidRPr="002A7603" w:rsidRDefault="2562ABD0" w:rsidP="2562ABD0">
      <w:pPr>
        <w:pStyle w:val="ListParagraph"/>
        <w:numPr>
          <w:ilvl w:val="0"/>
          <w:numId w:val="6"/>
        </w:numPr>
        <w:spacing w:before="100" w:beforeAutospacing="1" w:after="100" w:afterAutospacing="1"/>
        <w:jc w:val="both"/>
        <w:rPr>
          <w:rFonts w:eastAsia="Times New Roman"/>
          <w:b/>
          <w:bCs/>
          <w:lang w:val="en-US"/>
        </w:rPr>
      </w:pPr>
      <w:r w:rsidRPr="2562ABD0">
        <w:rPr>
          <w:rFonts w:eastAsia="Times New Roman"/>
          <w:b/>
          <w:bCs/>
          <w:lang w:val="en-US"/>
        </w:rPr>
        <w:t>PDCCH structure and search-space design:</w:t>
      </w:r>
    </w:p>
    <w:p w14:paraId="244E15B5" w14:textId="122D1421" w:rsidR="008C6D94" w:rsidRDefault="2562ABD0" w:rsidP="2562ABD0">
      <w:pPr>
        <w:pStyle w:val="ListParagraph"/>
        <w:numPr>
          <w:ilvl w:val="1"/>
          <w:numId w:val="6"/>
        </w:numPr>
        <w:spacing w:before="100" w:beforeAutospacing="1" w:after="100" w:afterAutospacing="1"/>
        <w:jc w:val="both"/>
        <w:rPr>
          <w:rFonts w:eastAsia="Times New Roman"/>
          <w:sz w:val="22"/>
          <w:szCs w:val="22"/>
          <w:lang w:val="en-US"/>
        </w:rPr>
      </w:pPr>
      <w:r w:rsidRPr="2562ABD0">
        <w:rPr>
          <w:b/>
          <w:bCs/>
          <w:sz w:val="22"/>
          <w:szCs w:val="22"/>
          <w:lang w:val="en-US"/>
        </w:rPr>
        <w:t>TCI state for CORESET#0</w:t>
      </w:r>
      <w:r w:rsidRPr="2562ABD0">
        <w:rPr>
          <w:rFonts w:eastAsia="Times New Roman"/>
          <w:sz w:val="22"/>
          <w:szCs w:val="22"/>
          <w:lang w:val="en-US"/>
        </w:rPr>
        <w:t xml:space="preserve"> </w:t>
      </w:r>
    </w:p>
    <w:p w14:paraId="38867E6E" w14:textId="0A2140D2" w:rsidR="008D1329" w:rsidRPr="008D1329" w:rsidRDefault="2562ABD0" w:rsidP="2562ABD0">
      <w:pPr>
        <w:pStyle w:val="ListParagraph"/>
        <w:numPr>
          <w:ilvl w:val="1"/>
          <w:numId w:val="6"/>
        </w:numPr>
        <w:spacing w:before="100" w:beforeAutospacing="1" w:after="100" w:afterAutospacing="1"/>
        <w:jc w:val="both"/>
        <w:rPr>
          <w:rFonts w:eastAsia="Times New Roman"/>
          <w:b/>
          <w:bCs/>
          <w:sz w:val="22"/>
          <w:szCs w:val="22"/>
          <w:lang w:val="en-US"/>
        </w:rPr>
      </w:pPr>
      <w:r w:rsidRPr="2562ABD0">
        <w:rPr>
          <w:rFonts w:eastAsia="Times New Roman"/>
          <w:b/>
          <w:bCs/>
          <w:sz w:val="22"/>
          <w:szCs w:val="22"/>
          <w:lang w:val="en-GB"/>
        </w:rPr>
        <w:t>Collision of CORESETs with different QCL</w:t>
      </w:r>
    </w:p>
    <w:p w14:paraId="736C96FD" w14:textId="48C840BA" w:rsidR="00B76131" w:rsidRPr="008D1329" w:rsidRDefault="2562ABD0" w:rsidP="2562ABD0">
      <w:pPr>
        <w:pStyle w:val="ListParagraph"/>
        <w:numPr>
          <w:ilvl w:val="1"/>
          <w:numId w:val="6"/>
        </w:numPr>
        <w:spacing w:before="100" w:beforeAutospacing="1" w:after="100" w:afterAutospacing="1"/>
        <w:jc w:val="both"/>
        <w:rPr>
          <w:rFonts w:eastAsia="Times New Roman"/>
          <w:b/>
          <w:bCs/>
          <w:sz w:val="22"/>
          <w:szCs w:val="22"/>
          <w:lang w:val="en-US"/>
        </w:rPr>
      </w:pPr>
      <w:r w:rsidRPr="2562ABD0">
        <w:rPr>
          <w:rFonts w:eastAsia="Times New Roman"/>
          <w:b/>
          <w:bCs/>
          <w:sz w:val="22"/>
          <w:szCs w:val="22"/>
          <w:lang w:val="en-US"/>
        </w:rPr>
        <w:t>BD/CCE limits for serving cells with mixed numerology</w:t>
      </w:r>
    </w:p>
    <w:p w14:paraId="577C4580" w14:textId="34EF7D65" w:rsidR="0094232B" w:rsidRPr="00B76131" w:rsidRDefault="2562ABD0" w:rsidP="2562ABD0">
      <w:pPr>
        <w:pStyle w:val="ListParagraph"/>
        <w:numPr>
          <w:ilvl w:val="1"/>
          <w:numId w:val="6"/>
        </w:numPr>
        <w:spacing w:before="100" w:beforeAutospacing="1" w:after="100" w:afterAutospacing="1"/>
        <w:jc w:val="both"/>
        <w:rPr>
          <w:rFonts w:eastAsia="Times New Roman"/>
          <w:b/>
          <w:bCs/>
          <w:sz w:val="22"/>
          <w:szCs w:val="22"/>
          <w:lang w:val="en-US"/>
        </w:rPr>
      </w:pPr>
      <w:r w:rsidRPr="2562ABD0">
        <w:rPr>
          <w:rFonts w:eastAsia="Times New Roman"/>
          <w:b/>
          <w:bCs/>
          <w:sz w:val="22"/>
          <w:szCs w:val="22"/>
          <w:lang w:val="en-US"/>
        </w:rPr>
        <w:t>TP: CORESET configuration</w:t>
      </w:r>
    </w:p>
    <w:p w14:paraId="29E11478" w14:textId="27AB79AB" w:rsidR="008D1329" w:rsidRPr="00AE5AA5" w:rsidRDefault="2562ABD0" w:rsidP="2562ABD0">
      <w:pPr>
        <w:pStyle w:val="ListParagraph"/>
        <w:numPr>
          <w:ilvl w:val="1"/>
          <w:numId w:val="6"/>
        </w:numPr>
        <w:spacing w:before="100" w:beforeAutospacing="1" w:after="100" w:afterAutospacing="1"/>
        <w:jc w:val="both"/>
        <w:rPr>
          <w:rFonts w:eastAsia="Times New Roman"/>
          <w:b/>
          <w:bCs/>
          <w:sz w:val="22"/>
          <w:szCs w:val="22"/>
          <w:lang w:val="en-US"/>
        </w:rPr>
      </w:pPr>
      <w:r w:rsidRPr="2562ABD0">
        <w:rPr>
          <w:rFonts w:eastAsia="Times New Roman"/>
          <w:b/>
          <w:bCs/>
          <w:sz w:val="22"/>
          <w:szCs w:val="22"/>
          <w:lang w:val="en-US"/>
        </w:rPr>
        <w:t>TP: Interleaver initialization for ControlResourceSetZero</w:t>
      </w:r>
    </w:p>
    <w:p w14:paraId="696036EF" w14:textId="6DBFE9F8" w:rsidR="00057E5A" w:rsidRDefault="2562ABD0" w:rsidP="2562ABD0">
      <w:pPr>
        <w:pStyle w:val="ListParagraph"/>
        <w:numPr>
          <w:ilvl w:val="1"/>
          <w:numId w:val="6"/>
        </w:numPr>
        <w:spacing w:before="100" w:beforeAutospacing="1" w:after="100" w:afterAutospacing="1"/>
        <w:jc w:val="both"/>
        <w:rPr>
          <w:rFonts w:eastAsia="Times New Roman"/>
          <w:b/>
          <w:bCs/>
          <w:sz w:val="22"/>
          <w:szCs w:val="22"/>
          <w:lang w:val="en-US"/>
        </w:rPr>
      </w:pPr>
      <w:r w:rsidRPr="2562ABD0">
        <w:rPr>
          <w:rFonts w:eastAsia="Times New Roman"/>
          <w:b/>
          <w:bCs/>
          <w:sz w:val="22"/>
          <w:szCs w:val="22"/>
          <w:lang w:val="en-US"/>
        </w:rPr>
        <w:t>Configuration of TYPE0-TYPE2 search-spaces for BWPs of Feature 6-1a</w:t>
      </w:r>
    </w:p>
    <w:p w14:paraId="767FAE79" w14:textId="417DF4F1" w:rsidR="008E3D46" w:rsidRDefault="2562ABD0" w:rsidP="2562ABD0">
      <w:pPr>
        <w:pStyle w:val="ListParagraph"/>
        <w:numPr>
          <w:ilvl w:val="1"/>
          <w:numId w:val="6"/>
        </w:numPr>
        <w:spacing w:before="100" w:beforeAutospacing="1" w:after="100" w:afterAutospacing="1"/>
        <w:jc w:val="both"/>
        <w:rPr>
          <w:rFonts w:eastAsia="Times New Roman"/>
          <w:b/>
          <w:bCs/>
          <w:sz w:val="22"/>
          <w:szCs w:val="22"/>
          <w:lang w:val="en-US"/>
        </w:rPr>
      </w:pPr>
      <w:r w:rsidRPr="2562ABD0">
        <w:rPr>
          <w:rFonts w:eastAsia="Times New Roman"/>
          <w:b/>
          <w:bCs/>
          <w:sz w:val="22"/>
          <w:szCs w:val="22"/>
          <w:lang w:val="en-US"/>
        </w:rPr>
        <w:t>On monitoring of OSI and paging by RRC connected UE</w:t>
      </w:r>
    </w:p>
    <w:p w14:paraId="080C2625" w14:textId="5BE6D103" w:rsidR="006818BE" w:rsidRDefault="2562ABD0" w:rsidP="006818BE">
      <w:pPr>
        <w:pStyle w:val="Heading1"/>
      </w:pPr>
      <w:r>
        <w:t xml:space="preserve">CORESET#0 configurations and TCI state </w:t>
      </w:r>
    </w:p>
    <w:p w14:paraId="738A9843" w14:textId="77777777" w:rsidR="00B76131" w:rsidRDefault="2562ABD0" w:rsidP="002252D3">
      <w:pPr>
        <w:jc w:val="both"/>
      </w:pPr>
      <w:r>
        <w:t>In RAN1#91 MIMO AI agreed:</w:t>
      </w:r>
    </w:p>
    <w:p w14:paraId="0B17F102" w14:textId="77777777" w:rsidR="00B76131" w:rsidRPr="00B76131" w:rsidRDefault="2562ABD0" w:rsidP="2562ABD0">
      <w:pPr>
        <w:pStyle w:val="text"/>
        <w:rPr>
          <w:i/>
          <w:iCs/>
          <w:sz w:val="20"/>
          <w:szCs w:val="20"/>
          <w:highlight w:val="green"/>
          <w:lang w:val="en-US" w:eastAsia="ja-JP"/>
        </w:rPr>
      </w:pPr>
      <w:r w:rsidRPr="2562ABD0">
        <w:rPr>
          <w:i/>
          <w:iCs/>
          <w:sz w:val="20"/>
          <w:szCs w:val="20"/>
          <w:highlight w:val="green"/>
          <w:lang w:val="en-US" w:eastAsia="ja-JP"/>
        </w:rPr>
        <w:t>Agreement:</w:t>
      </w:r>
    </w:p>
    <w:p w14:paraId="3085887C" w14:textId="77777777" w:rsidR="00B76131" w:rsidRPr="00B76131" w:rsidRDefault="2562ABD0" w:rsidP="2562ABD0">
      <w:pPr>
        <w:pStyle w:val="bullet1"/>
        <w:rPr>
          <w:i/>
          <w:iCs/>
          <w:sz w:val="20"/>
          <w:szCs w:val="20"/>
          <w:lang w:val="en-US"/>
        </w:rPr>
      </w:pPr>
      <w:r w:rsidRPr="2562ABD0">
        <w:rPr>
          <w:i/>
          <w:iCs/>
          <w:sz w:val="20"/>
          <w:szCs w:val="20"/>
          <w:lang w:val="en-US"/>
        </w:rPr>
        <w:t>A candidate set of DL RSs are configured using RRC mechanism</w:t>
      </w:r>
    </w:p>
    <w:p w14:paraId="0DD1BDB7" w14:textId="77777777" w:rsidR="00B76131" w:rsidRPr="00B56F74" w:rsidRDefault="2562ABD0" w:rsidP="2562ABD0">
      <w:pPr>
        <w:pStyle w:val="bullet2"/>
        <w:rPr>
          <w:i/>
          <w:iCs/>
          <w:sz w:val="20"/>
          <w:szCs w:val="20"/>
          <w:lang w:val="en-US"/>
        </w:rPr>
      </w:pPr>
      <w:r w:rsidRPr="2562ABD0">
        <w:rPr>
          <w:i/>
          <w:iCs/>
          <w:sz w:val="20"/>
          <w:szCs w:val="20"/>
          <w:lang w:val="en-US"/>
        </w:rPr>
        <w:t>Each state of M TCI states is RRC configured with a downlink RS set used as a QCL reference, and MAC-CE is used to select up to 2^N TCI states out of M for PDSCH QCL indication</w:t>
      </w:r>
    </w:p>
    <w:p w14:paraId="4267BF97" w14:textId="77777777" w:rsidR="00B76131" w:rsidRPr="00B76131" w:rsidRDefault="2562ABD0" w:rsidP="2562ABD0">
      <w:pPr>
        <w:pStyle w:val="bullet3"/>
        <w:ind w:hanging="360"/>
        <w:rPr>
          <w:i/>
          <w:iCs/>
          <w:sz w:val="20"/>
          <w:szCs w:val="20"/>
          <w:lang w:val="en-US"/>
        </w:rPr>
      </w:pPr>
      <w:r w:rsidRPr="2562ABD0">
        <w:rPr>
          <w:i/>
          <w:iCs/>
          <w:sz w:val="20"/>
          <w:szCs w:val="20"/>
          <w:highlight w:val="yellow"/>
          <w:lang w:val="en-US"/>
        </w:rPr>
        <w:t>The same set of M TCI states are reused for CORESET</w:t>
      </w:r>
    </w:p>
    <w:p w14:paraId="212DE0D8" w14:textId="77777777" w:rsidR="00B76131" w:rsidRPr="00B56F74" w:rsidRDefault="2562ABD0" w:rsidP="2562ABD0">
      <w:pPr>
        <w:pStyle w:val="bullet3"/>
        <w:ind w:hanging="360"/>
        <w:rPr>
          <w:i/>
          <w:iCs/>
          <w:sz w:val="20"/>
          <w:szCs w:val="20"/>
          <w:lang w:val="en-US"/>
        </w:rPr>
      </w:pPr>
      <w:r w:rsidRPr="2562ABD0">
        <w:rPr>
          <w:i/>
          <w:iCs/>
          <w:sz w:val="20"/>
          <w:szCs w:val="20"/>
          <w:lang w:val="en-US"/>
        </w:rPr>
        <w:t xml:space="preserve">K TCI states are configured per CORESET </w:t>
      </w:r>
    </w:p>
    <w:p w14:paraId="781781E7" w14:textId="77777777" w:rsidR="00B76131" w:rsidRPr="00B76131" w:rsidRDefault="2562ABD0" w:rsidP="2562ABD0">
      <w:pPr>
        <w:pStyle w:val="bullet3"/>
        <w:ind w:hanging="360"/>
        <w:rPr>
          <w:i/>
          <w:iCs/>
          <w:sz w:val="20"/>
          <w:szCs w:val="20"/>
          <w:lang w:val="en-US"/>
        </w:rPr>
      </w:pPr>
      <w:r w:rsidRPr="2562ABD0">
        <w:rPr>
          <w:i/>
          <w:iCs/>
          <w:sz w:val="20"/>
          <w:szCs w:val="20"/>
          <w:lang w:val="en-US"/>
        </w:rPr>
        <w:t>When K&gt;1, MAC CE can indicate which one TCI state to use for control channel QCL indication</w:t>
      </w:r>
    </w:p>
    <w:p w14:paraId="38DF670A" w14:textId="2240B2BC" w:rsidR="00B76131" w:rsidRPr="00B76131" w:rsidRDefault="2562ABD0" w:rsidP="2562ABD0">
      <w:pPr>
        <w:pStyle w:val="bullet3"/>
        <w:ind w:hanging="360"/>
        <w:rPr>
          <w:rFonts w:ascii="Segoe UI Emoji" w:hAnsi="Segoe UI Emoji" w:cs="Segoe UI Emoji"/>
          <w:i/>
          <w:iCs/>
          <w:sz w:val="20"/>
          <w:szCs w:val="20"/>
          <w:lang w:val="en-US"/>
        </w:rPr>
      </w:pPr>
      <w:r w:rsidRPr="2562ABD0">
        <w:rPr>
          <w:i/>
          <w:iCs/>
          <w:sz w:val="20"/>
          <w:szCs w:val="20"/>
          <w:lang w:val="en-US"/>
        </w:rPr>
        <w:t>When K=1, no additional MAC CE signaling is necessary</w:t>
      </w:r>
    </w:p>
    <w:p w14:paraId="61880D09" w14:textId="21B0F5E6" w:rsidR="00B76131" w:rsidRDefault="00B76131" w:rsidP="002252D3">
      <w:pPr>
        <w:jc w:val="both"/>
      </w:pPr>
      <w:r>
        <w:t xml:space="preserve"> </w:t>
      </w:r>
      <w:r w:rsidR="004D0AFE">
        <w:t xml:space="preserve"> </w:t>
      </w:r>
    </w:p>
    <w:p w14:paraId="6B87D80B" w14:textId="01FB28D3" w:rsidR="00B56F74" w:rsidRDefault="2562ABD0" w:rsidP="002252D3">
      <w:pPr>
        <w:jc w:val="both"/>
      </w:pPr>
      <w:r>
        <w:t xml:space="preserve">The above agreement says that the TCI states configured in </w:t>
      </w:r>
      <w:r w:rsidRPr="2562ABD0">
        <w:rPr>
          <w:i/>
          <w:iCs/>
        </w:rPr>
        <w:t>pdsch-Config</w:t>
      </w:r>
      <w:r>
        <w:t xml:space="preserve"> shall be used also for CORESET. And it is unclear why “re-indexing” of TCI states is performed in </w:t>
      </w:r>
      <w:r w:rsidRPr="2562ABD0">
        <w:rPr>
          <w:i/>
          <w:iCs/>
        </w:rPr>
        <w:t>ControlResrouceSet (see below).</w:t>
      </w:r>
      <w:r>
        <w:t xml:space="preserve"> </w:t>
      </w:r>
    </w:p>
    <w:p w14:paraId="3D6A1E95" w14:textId="360B8B32" w:rsidR="00520EDD" w:rsidRDefault="00520EDD" w:rsidP="002252D3">
      <w:pPr>
        <w:jc w:val="both"/>
      </w:pPr>
      <w:r>
        <w:rPr>
          <w:noProof/>
        </w:rPr>
        <w:drawing>
          <wp:inline distT="0" distB="0" distL="0" distR="0" wp14:anchorId="73E7CBB0" wp14:editId="06239EB1">
            <wp:extent cx="6120765" cy="20059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005965"/>
                    </a:xfrm>
                    <a:prstGeom prst="rect">
                      <a:avLst/>
                    </a:prstGeom>
                  </pic:spPr>
                </pic:pic>
              </a:graphicData>
            </a:graphic>
          </wp:inline>
        </w:drawing>
      </w:r>
    </w:p>
    <w:p w14:paraId="009F2064" w14:textId="79FC8884" w:rsidR="00B76131" w:rsidRPr="00B56F74" w:rsidRDefault="2562ABD0" w:rsidP="2562ABD0">
      <w:pPr>
        <w:jc w:val="both"/>
        <w:rPr>
          <w:i/>
          <w:iCs/>
        </w:rPr>
      </w:pPr>
      <w:r w:rsidRPr="2562ABD0">
        <w:rPr>
          <w:b/>
          <w:bCs/>
          <w:i/>
          <w:iCs/>
        </w:rPr>
        <w:t>Observation-1</w:t>
      </w:r>
      <w:r w:rsidRPr="2562ABD0">
        <w:rPr>
          <w:i/>
          <w:iCs/>
        </w:rPr>
        <w:t>: TCI states configured in pdsch-Config</w:t>
      </w:r>
      <w:r w:rsidR="008336F1">
        <w:rPr>
          <w:i/>
          <w:iCs/>
        </w:rPr>
        <w:t xml:space="preserve"> IE</w:t>
      </w:r>
      <w:r w:rsidRPr="2562ABD0">
        <w:rPr>
          <w:i/>
          <w:iCs/>
        </w:rPr>
        <w:t xml:space="preserve"> are only re-indexed in ControlResrouceSet configuration IE.</w:t>
      </w:r>
    </w:p>
    <w:p w14:paraId="674AFFBC" w14:textId="0BB0E0EC" w:rsidR="00044672" w:rsidRDefault="2562ABD0" w:rsidP="00351D97">
      <w:pPr>
        <w:jc w:val="both"/>
      </w:pPr>
      <w:r>
        <w:lastRenderedPageBreak/>
        <w:t xml:space="preserve">The MAC-CE command </w:t>
      </w:r>
      <w:r w:rsidR="00351D97">
        <w:t>(below)</w:t>
      </w:r>
      <w:r>
        <w:t xml:space="preserve"> from </w:t>
      </w:r>
      <w:r w:rsidR="00351D97">
        <w:t>TS38.321, indicating</w:t>
      </w:r>
      <w:r>
        <w:t xml:space="preserve"> a TCI State ID, currently points to the ID as configured in </w:t>
      </w:r>
      <w:r w:rsidRPr="2562ABD0">
        <w:rPr>
          <w:i/>
          <w:iCs/>
        </w:rPr>
        <w:t xml:space="preserve">pdsch-Config, </w:t>
      </w:r>
      <w:r>
        <w:t xml:space="preserve">this means that </w:t>
      </w:r>
      <w:r w:rsidRPr="2562ABD0">
        <w:rPr>
          <w:i/>
          <w:iCs/>
        </w:rPr>
        <w:t>tci-StatesPDCCH-ToAddList</w:t>
      </w:r>
      <w:r>
        <w:t xml:space="preserve"> IE in</w:t>
      </w:r>
      <w:r w:rsidRPr="2562ABD0">
        <w:rPr>
          <w:i/>
          <w:iCs/>
        </w:rPr>
        <w:t xml:space="preserve"> ControlResourceSet</w:t>
      </w:r>
      <w:r>
        <w:t xml:space="preserve"> IE is an obsolete parameter, except for the case when gNB wants to set different QCL for PDCCH and PDSCH, but does not want to use MAC-CE command. However, this is a minor restriction, which could be tolerated for CORESET#0</w:t>
      </w:r>
      <w:r w:rsidR="00371A6B">
        <w:t xml:space="preserve">. In other words, default TCI state would not be available for CORESET#0. Furthermore, CORESET#0 would be typically used for </w:t>
      </w:r>
      <w:r w:rsidR="00351D97">
        <w:t>RACH</w:t>
      </w:r>
      <w:r w:rsidR="00371A6B">
        <w:t xml:space="preserve">, and in this case, UE adopts anyway QCL Type-D from SSB/CSI-RS associated with selected PRACH preamble. Therefore, default QCL for CORESET#0 is typically not needed. </w:t>
      </w:r>
    </w:p>
    <w:p w14:paraId="4669FAFC" w14:textId="359B9EB9" w:rsidR="00B76131" w:rsidRDefault="00B76131" w:rsidP="002252D3">
      <w:pPr>
        <w:jc w:val="both"/>
      </w:pPr>
    </w:p>
    <w:tbl>
      <w:tblPr>
        <w:tblStyle w:val="TableGrid"/>
        <w:tblW w:w="0" w:type="auto"/>
        <w:tblLook w:val="04A0" w:firstRow="1" w:lastRow="0" w:firstColumn="1" w:lastColumn="0" w:noHBand="0" w:noVBand="1"/>
      </w:tblPr>
      <w:tblGrid>
        <w:gridCol w:w="9629"/>
      </w:tblGrid>
      <w:tr w:rsidR="00044672" w14:paraId="0C415D19" w14:textId="77777777" w:rsidTr="2562ABD0">
        <w:tc>
          <w:tcPr>
            <w:tcW w:w="9629" w:type="dxa"/>
          </w:tcPr>
          <w:p w14:paraId="2336C351" w14:textId="77777777" w:rsidR="00044672" w:rsidRPr="00F72E89" w:rsidRDefault="00044672" w:rsidP="2562ABD0">
            <w:pPr>
              <w:pStyle w:val="Heading4"/>
              <w:rPr>
                <w:lang w:eastAsia="ko-KR"/>
              </w:rPr>
            </w:pPr>
            <w:bookmarkStart w:id="0" w:name="_Hlk525832135"/>
            <w:r w:rsidRPr="00F72E89">
              <w:rPr>
                <w:lang w:eastAsia="ko-KR"/>
              </w:rPr>
              <w:t>.1.3.15</w:t>
            </w:r>
            <w:r w:rsidRPr="00F72E89">
              <w:rPr>
                <w:lang w:eastAsia="ko-KR"/>
              </w:rPr>
              <w:tab/>
              <w:t>TCI State Indication for UE-specific PDCCH MAC CE</w:t>
            </w:r>
          </w:p>
          <w:p w14:paraId="06EFB4A6" w14:textId="77777777" w:rsidR="00044672" w:rsidRPr="00F72E89" w:rsidRDefault="2562ABD0" w:rsidP="2562ABD0">
            <w:pPr>
              <w:rPr>
                <w:lang w:eastAsia="ko-KR"/>
              </w:rPr>
            </w:pPr>
            <w:r w:rsidRPr="2562ABD0">
              <w:rPr>
                <w:lang w:eastAsia="ko-KR"/>
              </w:rPr>
              <w:t>The TCI State Indication for UE-specific PDCCH MAC CE is identified by a MAC PDU subheader with LCID as specified in Table 6.2.1-1. It has a fixed size of 16 bits with following fields:</w:t>
            </w:r>
          </w:p>
          <w:p w14:paraId="34F1FCF4" w14:textId="77777777" w:rsidR="00044672" w:rsidRPr="00F72E89" w:rsidRDefault="00044672" w:rsidP="00044672">
            <w:pPr>
              <w:pStyle w:val="B1"/>
              <w:rPr>
                <w:noProof/>
                <w:lang w:eastAsia="zh-CN"/>
              </w:rPr>
            </w:pPr>
            <w:r w:rsidRPr="00F72E89">
              <w:rPr>
                <w:noProof/>
              </w:rPr>
              <w:t>-</w:t>
            </w:r>
            <w:r w:rsidRPr="00F72E89">
              <w:rPr>
                <w:noProof/>
              </w:rPr>
              <w:tab/>
              <w:t xml:space="preserve">Serving Cell ID: </w:t>
            </w:r>
            <w:r w:rsidRPr="00F72E89">
              <w:rPr>
                <w:noProof/>
                <w:lang w:eastAsia="zh-CN"/>
              </w:rPr>
              <w:t>This field indicates the identity of the Serving Cell for which the MAC CE applies. The length of the field is 5 bits;</w:t>
            </w:r>
          </w:p>
          <w:p w14:paraId="4281DC68" w14:textId="77777777" w:rsidR="00044672" w:rsidRPr="00F72E89" w:rsidRDefault="00044672" w:rsidP="2562ABD0">
            <w:pPr>
              <w:pStyle w:val="B1"/>
              <w:rPr>
                <w:noProof/>
              </w:rPr>
            </w:pPr>
            <w:r w:rsidRPr="00F72E89">
              <w:rPr>
                <w:noProof/>
              </w:rPr>
              <w:t>-</w:t>
            </w:r>
            <w:r w:rsidRPr="00F72E89">
              <w:rPr>
                <w:noProof/>
              </w:rPr>
              <w:tab/>
              <w:t xml:space="preserve">BWP ID: This field contains </w:t>
            </w:r>
            <w:r w:rsidRPr="2562ABD0">
              <w:rPr>
                <w:i/>
                <w:iCs/>
              </w:rPr>
              <w:t>BWP-Id</w:t>
            </w:r>
            <w:r w:rsidRPr="00F72E89">
              <w:rPr>
                <w:noProof/>
              </w:rPr>
              <w:t xml:space="preserve">, as specified in TS 38.331 [8], of a downlink bandwidth part </w:t>
            </w:r>
            <w:r w:rsidRPr="00F72E89">
              <w:rPr>
                <w:noProof/>
                <w:lang w:eastAsia="zh-CN"/>
              </w:rPr>
              <w:t>for which the MAC CE applies</w:t>
            </w:r>
            <w:r w:rsidRPr="00F72E89">
              <w:rPr>
                <w:noProof/>
              </w:rPr>
              <w:t>. The length of the BWP ID field is 2 bits;</w:t>
            </w:r>
          </w:p>
          <w:p w14:paraId="0AF14B5D" w14:textId="77777777" w:rsidR="00044672" w:rsidRPr="00F72E89" w:rsidRDefault="00044672" w:rsidP="2562ABD0">
            <w:pPr>
              <w:pStyle w:val="B1"/>
              <w:rPr>
                <w:noProof/>
                <w:lang w:eastAsia="ko-KR"/>
              </w:rPr>
            </w:pPr>
            <w:r w:rsidRPr="00F72E89">
              <w:rPr>
                <w:noProof/>
              </w:rPr>
              <w:t>-</w:t>
            </w:r>
            <w:r w:rsidRPr="00F72E89">
              <w:rPr>
                <w:noProof/>
              </w:rPr>
              <w:tab/>
            </w:r>
            <w:r w:rsidRPr="00F72E89">
              <w:rPr>
                <w:noProof/>
                <w:lang w:eastAsia="ko-KR"/>
              </w:rPr>
              <w:t>CORESET ID</w:t>
            </w:r>
            <w:r w:rsidRPr="00F72E89">
              <w:rPr>
                <w:noProof/>
              </w:rPr>
              <w:t xml:space="preserve">: This field indicates a Control Resource Set identified with </w:t>
            </w:r>
            <w:r w:rsidRPr="2562ABD0">
              <w:rPr>
                <w:i/>
                <w:iCs/>
              </w:rPr>
              <w:t>ControlResourceSetId</w:t>
            </w:r>
            <w:r w:rsidRPr="00F72E89">
              <w:t xml:space="preserve"> as specified in TS 38.331 [8], for which the TCI State is being indicated. </w:t>
            </w:r>
            <w:r w:rsidRPr="00F72E89">
              <w:rPr>
                <w:noProof/>
              </w:rPr>
              <w:t>The length of the field is 2 bits;</w:t>
            </w:r>
          </w:p>
          <w:p w14:paraId="65E4F07F" w14:textId="77777777" w:rsidR="00044672" w:rsidRPr="00F72E89" w:rsidRDefault="00044672" w:rsidP="2562ABD0">
            <w:pPr>
              <w:pStyle w:val="B1"/>
              <w:rPr>
                <w:noProof/>
              </w:rPr>
            </w:pPr>
            <w:r w:rsidRPr="00F72E89">
              <w:rPr>
                <w:noProof/>
              </w:rPr>
              <w:t>-</w:t>
            </w:r>
            <w:r w:rsidRPr="00F72E89">
              <w:rPr>
                <w:noProof/>
              </w:rPr>
              <w:tab/>
            </w:r>
            <w:r w:rsidRPr="00F72E89">
              <w:rPr>
                <w:noProof/>
                <w:lang w:eastAsia="ko-KR"/>
              </w:rPr>
              <w:t>T</w:t>
            </w:r>
            <w:r w:rsidRPr="00F72E89">
              <w:rPr>
                <w:noProof/>
              </w:rPr>
              <w:t>CI State ID</w:t>
            </w:r>
            <w:r w:rsidRPr="00044672">
              <w:rPr>
                <w:noProof/>
                <w:highlight w:val="yellow"/>
              </w:rPr>
              <w:t xml:space="preserve">: This field indicates the TCI state identified by </w:t>
            </w:r>
            <w:r w:rsidRPr="2562ABD0">
              <w:rPr>
                <w:i/>
                <w:iCs/>
                <w:highlight w:val="yellow"/>
              </w:rPr>
              <w:t>TCI-StateId</w:t>
            </w:r>
            <w:r w:rsidRPr="00044672">
              <w:rPr>
                <w:highlight w:val="yellow"/>
              </w:rPr>
              <w:t xml:space="preserve"> </w:t>
            </w:r>
            <w:r w:rsidRPr="00044672">
              <w:rPr>
                <w:noProof/>
                <w:highlight w:val="yellow"/>
              </w:rPr>
              <w:t xml:space="preserve">as specified in </w:t>
            </w:r>
            <w:r w:rsidRPr="00044672">
              <w:rPr>
                <w:highlight w:val="yellow"/>
                <w:lang w:eastAsia="ko-KR"/>
              </w:rPr>
              <w:t>TS 38.331 [8]</w:t>
            </w:r>
            <w:r w:rsidRPr="00F72E89">
              <w:rPr>
                <w:lang w:eastAsia="ko-KR"/>
              </w:rPr>
              <w:t xml:space="preserve"> applicable to the Control Resource Set identified by CORESET ID field</w:t>
            </w:r>
            <w:r w:rsidRPr="00F72E89">
              <w:rPr>
                <w:noProof/>
              </w:rPr>
              <w:t xml:space="preserve">. The length of the field is </w:t>
            </w:r>
            <w:r w:rsidRPr="00394C1C">
              <w:rPr>
                <w:rFonts w:eastAsia="Malgun Gothic"/>
                <w:noProof/>
                <w:lang w:eastAsia="ko-KR"/>
              </w:rPr>
              <w:t>7</w:t>
            </w:r>
            <w:r w:rsidRPr="00F72E89">
              <w:rPr>
                <w:noProof/>
              </w:rPr>
              <w:t xml:space="preserve"> bits;</w:t>
            </w:r>
          </w:p>
          <w:p w14:paraId="1AEB1D71" w14:textId="77777777" w:rsidR="00044672" w:rsidRPr="00F72E89" w:rsidRDefault="00044672" w:rsidP="2562ABD0">
            <w:pPr>
              <w:pStyle w:val="B1"/>
              <w:rPr>
                <w:lang w:eastAsia="ko-KR"/>
              </w:rPr>
            </w:pPr>
            <w:r w:rsidRPr="00F72E89">
              <w:rPr>
                <w:lang w:eastAsia="ko-KR"/>
              </w:rPr>
              <w:t>-</w:t>
            </w:r>
            <w:r w:rsidRPr="00F72E89">
              <w:rPr>
                <w:lang w:eastAsia="ko-KR"/>
              </w:rPr>
              <w:tab/>
              <w:t>R: Reserved bit, set to "0".</w:t>
            </w:r>
          </w:p>
          <w:p w14:paraId="48D541B5" w14:textId="77777777" w:rsidR="00044672" w:rsidRPr="00F72E89" w:rsidRDefault="00044672" w:rsidP="00044672">
            <w:pPr>
              <w:pStyle w:val="TH"/>
            </w:pPr>
            <w:r w:rsidRPr="00F72E89">
              <w:object w:dxaOrig="5700" w:dyaOrig="1590" w14:anchorId="429D2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79.2pt" o:ole="">
                  <v:imagedata r:id="rId14" o:title=""/>
                </v:shape>
                <o:OLEObject Type="Embed" ProgID="Visio.Drawing.15" ShapeID="_x0000_i1025" DrawAspect="Content" ObjectID="_1599659471" r:id="rId15"/>
              </w:object>
            </w:r>
          </w:p>
          <w:p w14:paraId="772CC9A9" w14:textId="3846856F" w:rsidR="00044672" w:rsidRDefault="2562ABD0" w:rsidP="00044672">
            <w:pPr>
              <w:jc w:val="both"/>
            </w:pPr>
            <w:r w:rsidRPr="2562ABD0">
              <w:rPr>
                <w:noProof/>
                <w:lang w:eastAsia="ko-KR"/>
              </w:rPr>
              <w:t xml:space="preserve">Figure 6.1.3.15-1: </w:t>
            </w:r>
            <w:r w:rsidRPr="2562ABD0">
              <w:rPr>
                <w:lang w:eastAsia="ko-KR"/>
              </w:rPr>
              <w:t>TCI State Indication for UE-specific PDCCH MAC CE</w:t>
            </w:r>
          </w:p>
        </w:tc>
      </w:tr>
      <w:bookmarkEnd w:id="0"/>
    </w:tbl>
    <w:p w14:paraId="2E24FA06" w14:textId="77777777" w:rsidR="00044672" w:rsidRPr="00B56F74" w:rsidRDefault="00044672" w:rsidP="002252D3">
      <w:pPr>
        <w:jc w:val="both"/>
      </w:pPr>
    </w:p>
    <w:p w14:paraId="26D71796" w14:textId="0479D483" w:rsidR="00AB35E5" w:rsidRDefault="00AB35E5" w:rsidP="00AB35E5">
      <w:pPr>
        <w:keepNext/>
        <w:jc w:val="center"/>
      </w:pPr>
    </w:p>
    <w:p w14:paraId="0DDB3444" w14:textId="77777777" w:rsidR="00371A6B" w:rsidRDefault="2562ABD0" w:rsidP="2562ABD0">
      <w:pPr>
        <w:rPr>
          <w:i/>
          <w:iCs/>
          <w:lang w:val="en-US"/>
        </w:rPr>
      </w:pPr>
      <w:r w:rsidRPr="2562ABD0">
        <w:rPr>
          <w:b/>
          <w:bCs/>
          <w:i/>
          <w:iCs/>
          <w:lang w:val="en-US"/>
        </w:rPr>
        <w:t>Observation-2</w:t>
      </w:r>
      <w:r w:rsidRPr="2562ABD0">
        <w:rPr>
          <w:i/>
          <w:iCs/>
          <w:lang w:val="en-US"/>
        </w:rPr>
        <w:t xml:space="preserve">: tci-StatesPDCCH-ToAddList IE in ControlResourceSet IE is useful only if gNB wants to configure </w:t>
      </w:r>
      <w:r w:rsidR="00371A6B">
        <w:rPr>
          <w:i/>
          <w:iCs/>
          <w:lang w:val="en-US"/>
        </w:rPr>
        <w:t>default</w:t>
      </w:r>
      <w:r w:rsidRPr="2562ABD0">
        <w:rPr>
          <w:i/>
          <w:iCs/>
          <w:lang w:val="en-US"/>
        </w:rPr>
        <w:t xml:space="preserve"> </w:t>
      </w:r>
      <w:r w:rsidR="00371A6B">
        <w:rPr>
          <w:i/>
          <w:iCs/>
          <w:lang w:val="en-US"/>
        </w:rPr>
        <w:t>TCI state</w:t>
      </w:r>
      <w:r w:rsidRPr="2562ABD0">
        <w:rPr>
          <w:i/>
          <w:iCs/>
          <w:lang w:val="en-US"/>
        </w:rPr>
        <w:t xml:space="preserve"> for PDCCH</w:t>
      </w:r>
      <w:r w:rsidR="00371A6B">
        <w:rPr>
          <w:i/>
          <w:iCs/>
          <w:lang w:val="en-US"/>
        </w:rPr>
        <w:t xml:space="preserve"> that is different for TCI state for PDSCH (as TCI state with the first index)</w:t>
      </w:r>
      <w:r w:rsidRPr="2562ABD0">
        <w:rPr>
          <w:i/>
          <w:iCs/>
          <w:lang w:val="en-US"/>
        </w:rPr>
        <w:t>.</w:t>
      </w:r>
    </w:p>
    <w:p w14:paraId="479ACD43" w14:textId="2AC5A4BF" w:rsidR="000E4602" w:rsidRDefault="00371A6B" w:rsidP="2562ABD0">
      <w:pPr>
        <w:rPr>
          <w:i/>
          <w:iCs/>
          <w:lang w:val="en-US"/>
        </w:rPr>
      </w:pPr>
      <w:r w:rsidRPr="00371A6B">
        <w:rPr>
          <w:b/>
          <w:i/>
          <w:iCs/>
          <w:lang w:val="en-US"/>
        </w:rPr>
        <w:t>Observation-3:</w:t>
      </w:r>
      <w:r>
        <w:rPr>
          <w:i/>
          <w:iCs/>
          <w:lang w:val="en-US"/>
        </w:rPr>
        <w:t xml:space="preserve"> TCI state can be indicated for CORESET#0 in MAC-CE</w:t>
      </w:r>
      <w:r w:rsidR="2562ABD0" w:rsidRPr="2562ABD0">
        <w:rPr>
          <w:i/>
          <w:iCs/>
          <w:lang w:val="en-US"/>
        </w:rPr>
        <w:t xml:space="preserve"> </w:t>
      </w:r>
    </w:p>
    <w:p w14:paraId="37A294AC" w14:textId="1A490145" w:rsidR="00F447AC" w:rsidRDefault="2562ABD0" w:rsidP="00520EDD">
      <w:pPr>
        <w:pStyle w:val="Heading1"/>
      </w:pPr>
      <w:r>
        <w:t>Collision of CORESETs with different QCL</w:t>
      </w:r>
    </w:p>
    <w:p w14:paraId="5D12715E" w14:textId="2505EC64" w:rsidR="00520EDD" w:rsidRDefault="2562ABD0" w:rsidP="00520EDD">
      <w:r>
        <w:t>The issue to be addressed is the collision of two monitoring occasions from two CORESETs with different TCI-state. The MIMO AI summary in previous meeting states that this issue shall be handled in PDCCH AI. And PDCCH AI offline proposal has been the following:</w:t>
      </w:r>
    </w:p>
    <w:p w14:paraId="15334E38" w14:textId="77777777" w:rsidR="00573659" w:rsidRPr="00573659" w:rsidRDefault="2562ABD0" w:rsidP="2562ABD0">
      <w:pPr>
        <w:jc w:val="both"/>
        <w:rPr>
          <w:i/>
          <w:iCs/>
          <w:lang w:eastAsia="ja-JP"/>
        </w:rPr>
      </w:pPr>
      <w:r w:rsidRPr="2562ABD0">
        <w:rPr>
          <w:i/>
          <w:iCs/>
          <w:highlight w:val="yellow"/>
          <w:lang w:eastAsia="ja-JP"/>
        </w:rPr>
        <w:t>Offline proposal:</w:t>
      </w:r>
    </w:p>
    <w:p w14:paraId="6C4C6A85" w14:textId="77777777" w:rsidR="00573659" w:rsidRPr="00573659" w:rsidRDefault="2562ABD0" w:rsidP="2562ABD0">
      <w:pPr>
        <w:pStyle w:val="ListParagraph"/>
        <w:numPr>
          <w:ilvl w:val="0"/>
          <w:numId w:val="22"/>
        </w:numPr>
        <w:spacing w:after="200" w:line="276" w:lineRule="auto"/>
        <w:contextualSpacing w:val="0"/>
        <w:jc w:val="both"/>
        <w:rPr>
          <w:i/>
          <w:iCs/>
          <w:sz w:val="20"/>
          <w:szCs w:val="20"/>
          <w:lang w:val="en-US" w:eastAsia="ja-JP"/>
        </w:rPr>
      </w:pPr>
      <w:r w:rsidRPr="2562ABD0">
        <w:rPr>
          <w:i/>
          <w:iCs/>
          <w:color w:val="000000" w:themeColor="text1"/>
          <w:sz w:val="20"/>
          <w:szCs w:val="20"/>
          <w:lang w:val="en-US"/>
        </w:rPr>
        <w:t>For a UE monitors multiple search spaces associated with different CORESETs,</w:t>
      </w:r>
    </w:p>
    <w:p w14:paraId="6F4A6C8D" w14:textId="4F0895C6" w:rsidR="00573659" w:rsidRPr="00573659" w:rsidRDefault="2562ABD0" w:rsidP="2562ABD0">
      <w:pPr>
        <w:pStyle w:val="ListParagraph"/>
        <w:numPr>
          <w:ilvl w:val="1"/>
          <w:numId w:val="22"/>
        </w:numPr>
        <w:spacing w:after="200" w:line="276" w:lineRule="auto"/>
        <w:contextualSpacing w:val="0"/>
        <w:jc w:val="both"/>
        <w:rPr>
          <w:i/>
          <w:iCs/>
          <w:sz w:val="20"/>
          <w:szCs w:val="20"/>
          <w:lang w:val="en-US" w:eastAsia="ja-JP"/>
        </w:rPr>
      </w:pPr>
      <w:r w:rsidRPr="2562ABD0">
        <w:rPr>
          <w:i/>
          <w:iCs/>
          <w:color w:val="000000" w:themeColor="text1"/>
          <w:sz w:val="20"/>
          <w:szCs w:val="20"/>
          <w:lang w:val="en-US"/>
        </w:rPr>
        <w:t xml:space="preserve">if the monitoring occasions of the search spaces are overlapped in time </w:t>
      </w:r>
      <w:r w:rsidRPr="2562ABD0">
        <w:rPr>
          <w:i/>
          <w:iCs/>
          <w:strike/>
          <w:color w:val="FF0000"/>
          <w:sz w:val="20"/>
          <w:szCs w:val="20"/>
          <w:lang w:val="en-US"/>
        </w:rPr>
        <w:t>[</w:t>
      </w:r>
      <w:r w:rsidRPr="2562ABD0">
        <w:rPr>
          <w:i/>
          <w:iCs/>
          <w:color w:val="000000" w:themeColor="text1"/>
          <w:sz w:val="20"/>
          <w:szCs w:val="20"/>
          <w:lang w:val="en-US"/>
        </w:rPr>
        <w:t>or are separated less than Threshold-Sched-Offset in time</w:t>
      </w:r>
      <w:r w:rsidRPr="2562ABD0">
        <w:rPr>
          <w:i/>
          <w:iCs/>
          <w:strike/>
          <w:color w:val="FF0000"/>
          <w:sz w:val="20"/>
          <w:szCs w:val="20"/>
          <w:lang w:val="en-US"/>
        </w:rPr>
        <w:t>]</w:t>
      </w:r>
      <w:r w:rsidRPr="2562ABD0">
        <w:rPr>
          <w:i/>
          <w:iCs/>
          <w:color w:val="000000" w:themeColor="text1"/>
          <w:sz w:val="20"/>
          <w:szCs w:val="20"/>
          <w:lang w:val="en-US"/>
        </w:rPr>
        <w:t>, the UE may assume that the DM-RS of PDCCHs in the search spaces are quasi co-located with the RS(s) in the TCI state with respect to the QCL parameter(s) used for PDCCH quasi co-location indication of the lowest CORESET-ID among the CORESETs associated with the search spaces.</w:t>
      </w:r>
    </w:p>
    <w:p w14:paraId="222E7C65" w14:textId="70833EE5" w:rsidR="00B110C4" w:rsidRDefault="2562ABD0" w:rsidP="0066279A">
      <w:pPr>
        <w:jc w:val="both"/>
        <w:rPr>
          <w:lang w:val="en-US"/>
        </w:rPr>
      </w:pPr>
      <w:r w:rsidRPr="2562ABD0">
        <w:rPr>
          <w:lang w:val="en-US"/>
        </w:rPr>
        <w:lastRenderedPageBreak/>
        <w:t xml:space="preserve">The above proposal looks fine at the first glance. However, for configuration example in Figure 1, where value of parameter </w:t>
      </w:r>
      <w:r w:rsidRPr="2562ABD0">
        <w:rPr>
          <w:i/>
          <w:iCs/>
          <w:lang w:val="en-US"/>
        </w:rPr>
        <w:t>Threshold-Sched-Offset</w:t>
      </w:r>
      <w:r w:rsidRPr="2562ABD0">
        <w:rPr>
          <w:lang w:val="en-US"/>
        </w:rPr>
        <w:t xml:space="preserve"> is assume</w:t>
      </w:r>
      <w:r w:rsidR="0066279A">
        <w:rPr>
          <w:lang w:val="en-US"/>
        </w:rPr>
        <w:t>d</w:t>
      </w:r>
      <w:r w:rsidRPr="2562ABD0">
        <w:rPr>
          <w:lang w:val="en-US"/>
        </w:rPr>
        <w:t xml:space="preserve"> to be 14 symbols and three CORESETs (#0, #1 and #2) are configured with associated monitoring occasions. In first two slot, it is clear that TCI is determined by CORESET#0. However, in third slot, TCI</w:t>
      </w:r>
      <w:r w:rsidR="0066279A">
        <w:rPr>
          <w:lang w:val="en-US"/>
        </w:rPr>
        <w:t xml:space="preserve"> state</w:t>
      </w:r>
      <w:r w:rsidRPr="2562ABD0">
        <w:rPr>
          <w:lang w:val="en-US"/>
        </w:rPr>
        <w:t xml:space="preserve"> of CORESET#1 would be followed, which is obviously wrong.      </w:t>
      </w:r>
    </w:p>
    <w:p w14:paraId="68FC9331" w14:textId="3CA7B556" w:rsidR="00537792" w:rsidRDefault="00537792" w:rsidP="00163D02">
      <w:pPr>
        <w:rPr>
          <w:lang w:val="en-US"/>
        </w:rPr>
      </w:pPr>
    </w:p>
    <w:p w14:paraId="5E2F5AAE" w14:textId="4911DEE7" w:rsidR="00BF25EE" w:rsidRDefault="00162066" w:rsidP="00BF25EE">
      <w:pPr>
        <w:keepNext/>
      </w:pPr>
      <w:r>
        <w:object w:dxaOrig="9996" w:dyaOrig="4464" w14:anchorId="7BD1480D">
          <v:shape id="_x0000_i1026" type="#_x0000_t75" style="width:412.8pt;height:184.2pt" o:ole="">
            <v:imagedata r:id="rId16" o:title=""/>
          </v:shape>
          <o:OLEObject Type="Embed" ProgID="Visio.Drawing.15" ShapeID="_x0000_i1026" DrawAspect="Content" ObjectID="_1599659472" r:id="rId17"/>
        </w:object>
      </w:r>
    </w:p>
    <w:p w14:paraId="08E48BB9" w14:textId="2D605CFC" w:rsidR="00537792" w:rsidRDefault="00BF25EE" w:rsidP="2562ABD0">
      <w:pPr>
        <w:pStyle w:val="Caption"/>
        <w:jc w:val="center"/>
        <w:rPr>
          <w:lang w:val="en-US"/>
        </w:rPr>
      </w:pPr>
      <w:r>
        <w:t xml:space="preserve">Figure </w:t>
      </w:r>
      <w:r>
        <w:fldChar w:fldCharType="begin"/>
      </w:r>
      <w:r>
        <w:instrText xml:space="preserve"> SEQ Figure \* ARABIC </w:instrText>
      </w:r>
      <w:r>
        <w:fldChar w:fldCharType="separate"/>
      </w:r>
      <w:r w:rsidR="00A05F4A">
        <w:rPr>
          <w:noProof/>
        </w:rPr>
        <w:t>1</w:t>
      </w:r>
      <w:r>
        <w:fldChar w:fldCharType="end"/>
      </w:r>
      <w:r w:rsidR="00FF69AF">
        <w:t xml:space="preserve"> Example of </w:t>
      </w:r>
      <w:r w:rsidR="00162066">
        <w:t>CORESET</w:t>
      </w:r>
      <w:r w:rsidR="00FF69AF">
        <w:t xml:space="preserve"> configuration</w:t>
      </w:r>
      <w:r w:rsidR="00162066">
        <w:t xml:space="preserve"> </w:t>
      </w:r>
    </w:p>
    <w:p w14:paraId="2E7AA831" w14:textId="329318E6" w:rsidR="00537792" w:rsidRDefault="00537792" w:rsidP="00163D02">
      <w:pPr>
        <w:rPr>
          <w:lang w:val="en-US"/>
        </w:rPr>
      </w:pPr>
    </w:p>
    <w:p w14:paraId="502EF2C4" w14:textId="2E330704" w:rsidR="00537792" w:rsidRDefault="2562ABD0" w:rsidP="2562ABD0">
      <w:pPr>
        <w:rPr>
          <w:lang w:val="en-US"/>
        </w:rPr>
      </w:pPr>
      <w:r w:rsidRPr="2562ABD0">
        <w:rPr>
          <w:lang w:val="en-US"/>
        </w:rPr>
        <w:t xml:space="preserve">Therefore, we propose the following rule instead: </w:t>
      </w:r>
    </w:p>
    <w:p w14:paraId="72516541" w14:textId="083B0F95" w:rsidR="00162066" w:rsidRPr="00C16FC6" w:rsidRDefault="2562ABD0" w:rsidP="0066279A">
      <w:pPr>
        <w:jc w:val="both"/>
        <w:rPr>
          <w:b/>
          <w:bCs/>
          <w:i/>
          <w:iCs/>
          <w:lang w:val="en-US"/>
        </w:rPr>
      </w:pPr>
      <w:r w:rsidRPr="2562ABD0">
        <w:rPr>
          <w:b/>
          <w:bCs/>
          <w:i/>
          <w:iCs/>
          <w:lang w:val="en-US"/>
        </w:rPr>
        <w:t>Proposal-</w:t>
      </w:r>
      <w:r w:rsidR="0066279A">
        <w:rPr>
          <w:b/>
          <w:bCs/>
          <w:i/>
          <w:iCs/>
          <w:lang w:val="en-US"/>
        </w:rPr>
        <w:t>1</w:t>
      </w:r>
      <w:r w:rsidRPr="2562ABD0">
        <w:rPr>
          <w:b/>
          <w:bCs/>
          <w:i/>
          <w:iCs/>
          <w:lang w:val="en-US"/>
        </w:rPr>
        <w:t xml:space="preserve">: </w:t>
      </w:r>
      <w:r w:rsidRPr="2562ABD0">
        <w:rPr>
          <w:i/>
          <w:iCs/>
          <w:lang w:val="en-US"/>
        </w:rPr>
        <w:t>I</w:t>
      </w:r>
      <w:r w:rsidRPr="2562ABD0">
        <w:rPr>
          <w:i/>
          <w:iCs/>
          <w:color w:val="000000" w:themeColor="text1"/>
          <w:lang w:val="en-US"/>
        </w:rPr>
        <w:t xml:space="preserve">f the starting symbol of a current monitoring occasion is separated from the last symbol of the most recent monitoring </w:t>
      </w:r>
      <w:r w:rsidRPr="0066279A">
        <w:rPr>
          <w:i/>
          <w:iCs/>
          <w:color w:val="000000" w:themeColor="text1"/>
          <w:lang w:val="en-US"/>
        </w:rPr>
        <w:t>occasion by 1 to Threshold-Sched-Offset symbols, the UE may assume that the DM-RS of PDCCHs in t</w:t>
      </w:r>
      <w:r w:rsidRPr="0066279A">
        <w:rPr>
          <w:i/>
          <w:iCs/>
          <w:lang w:val="en-US"/>
        </w:rPr>
        <w:t>he current monitoring occasion</w:t>
      </w:r>
      <w:r w:rsidRPr="0066279A">
        <w:rPr>
          <w:i/>
          <w:iCs/>
          <w:color w:val="000000" w:themeColor="text1"/>
          <w:lang w:val="en-US"/>
        </w:rPr>
        <w:t xml:space="preserve"> are quasi co-located with the RS(s) in the TCI state used for monitoring PDCCHs in the most recent monitoring occasion. Otherwise, UE assumes that the DM-RS of PDCCHs in t</w:t>
      </w:r>
      <w:r w:rsidRPr="0066279A">
        <w:rPr>
          <w:i/>
          <w:iCs/>
          <w:lang w:val="en-US"/>
        </w:rPr>
        <w:t>he current monitoring occasion</w:t>
      </w:r>
      <w:r w:rsidRPr="0066279A">
        <w:rPr>
          <w:i/>
          <w:iCs/>
          <w:color w:val="000000" w:themeColor="text1"/>
          <w:lang w:val="en-US"/>
        </w:rPr>
        <w:t xml:space="preserve"> are quasi co-located with the RS(s) in the TCI state indicated for the CORESET with the lowest ID among CORESETs associated with monitoring occasions with the same starting symbol.</w:t>
      </w:r>
    </w:p>
    <w:p w14:paraId="4574B576" w14:textId="77777777" w:rsidR="00B110C4" w:rsidRDefault="00B110C4" w:rsidP="00163D02">
      <w:pPr>
        <w:rPr>
          <w:lang w:val="en-US"/>
        </w:rPr>
      </w:pPr>
    </w:p>
    <w:p w14:paraId="6853D9FA" w14:textId="488D644C" w:rsidR="000E4602" w:rsidRDefault="2562ABD0" w:rsidP="2562ABD0">
      <w:pPr>
        <w:pStyle w:val="Heading1"/>
        <w:rPr>
          <w:lang w:val="en-US"/>
        </w:rPr>
      </w:pPr>
      <w:r w:rsidRPr="2562ABD0">
        <w:rPr>
          <w:lang w:val="en-US"/>
        </w:rPr>
        <w:t>Open issues on BD and CCE capabilities in CA</w:t>
      </w:r>
    </w:p>
    <w:p w14:paraId="1755C2C1" w14:textId="1BC2CBCC" w:rsidR="00AA0649" w:rsidRPr="00AA0649" w:rsidRDefault="2562ABD0" w:rsidP="2562ABD0">
      <w:pPr>
        <w:rPr>
          <w:b/>
          <w:bCs/>
          <w:u w:val="single"/>
        </w:rPr>
      </w:pPr>
      <w:r w:rsidRPr="2562ABD0">
        <w:rPr>
          <w:b/>
          <w:bCs/>
          <w:u w:val="single"/>
        </w:rPr>
        <w:t>BD/CCE capability in CA and BWP adaptation:</w:t>
      </w:r>
    </w:p>
    <w:p w14:paraId="43C7A87B" w14:textId="19F2EC09" w:rsidR="00AA0649" w:rsidRPr="00AA0649" w:rsidRDefault="2562ABD0" w:rsidP="007031BB">
      <w:r>
        <w:t xml:space="preserve">In RAN1#93, WA on difficult CA case where capability </w:t>
      </w:r>
      <w:r w:rsidRPr="2562ABD0">
        <w:rPr>
          <w:i/>
          <w:iCs/>
        </w:rPr>
        <w:t>y</w:t>
      </w:r>
      <w:r>
        <w:t xml:space="preserve"> is smaller than number of configured serving cells </w:t>
      </w:r>
      <w:r w:rsidRPr="2562ABD0">
        <w:rPr>
          <w:i/>
          <w:iCs/>
        </w:rPr>
        <w:t>T</w:t>
      </w:r>
      <w:r>
        <w:t xml:space="preserve"> (T&gt;y). And it was not clear how this WA interacts with BWP adaptation.</w:t>
      </w:r>
    </w:p>
    <w:p w14:paraId="7590477D" w14:textId="0920A0DB" w:rsidR="007031BB" w:rsidRPr="00985DB4" w:rsidRDefault="2562ABD0" w:rsidP="007031BB">
      <w:r w:rsidRPr="2562ABD0">
        <w:rPr>
          <w:highlight w:val="green"/>
        </w:rPr>
        <w:t>Agreements</w:t>
      </w:r>
      <w:r>
        <w:t>:</w:t>
      </w:r>
    </w:p>
    <w:p w14:paraId="3B136F89" w14:textId="77777777" w:rsidR="007031BB" w:rsidRPr="00985DB4" w:rsidRDefault="2562ABD0" w:rsidP="2562ABD0">
      <w:pPr>
        <w:numPr>
          <w:ilvl w:val="0"/>
          <w:numId w:val="16"/>
        </w:numPr>
        <w:overflowPunct/>
        <w:autoSpaceDE/>
        <w:autoSpaceDN/>
        <w:adjustRightInd/>
        <w:spacing w:after="0"/>
        <w:textAlignment w:val="auto"/>
        <w:rPr>
          <w:lang w:val="en-US"/>
        </w:rPr>
      </w:pPr>
      <w:r w:rsidRPr="2562ABD0">
        <w:rPr>
          <w:lang w:val="en-US"/>
        </w:rPr>
        <w:t>For UE BD capability reporting y = integer(4, …, 16), at least for self-scheduling,</w:t>
      </w:r>
    </w:p>
    <w:p w14:paraId="73AAAE9D" w14:textId="77777777" w:rsidR="007031BB" w:rsidRPr="00985DB4" w:rsidRDefault="2562ABD0" w:rsidP="2562ABD0">
      <w:pPr>
        <w:numPr>
          <w:ilvl w:val="0"/>
          <w:numId w:val="15"/>
        </w:numPr>
        <w:overflowPunct/>
        <w:autoSpaceDE/>
        <w:autoSpaceDN/>
        <w:adjustRightInd/>
        <w:spacing w:after="0"/>
        <w:textAlignment w:val="auto"/>
        <w:rPr>
          <w:lang w:val="en-US"/>
        </w:rPr>
      </w:pPr>
      <w:r w:rsidRPr="2562ABD0">
        <w:rPr>
          <w:lang w:val="en-US"/>
        </w:rPr>
        <w:t>For UE not supporting CA with different numerologies, the reported value equally applies to all numerologies</w:t>
      </w:r>
    </w:p>
    <w:p w14:paraId="75F9A0B0" w14:textId="77777777" w:rsidR="007031BB" w:rsidRPr="00985DB4" w:rsidRDefault="2562ABD0" w:rsidP="2562ABD0">
      <w:pPr>
        <w:numPr>
          <w:ilvl w:val="0"/>
          <w:numId w:val="15"/>
        </w:numPr>
        <w:overflowPunct/>
        <w:autoSpaceDE/>
        <w:autoSpaceDN/>
        <w:adjustRightInd/>
        <w:spacing w:after="0"/>
        <w:textAlignment w:val="auto"/>
        <w:rPr>
          <w:lang w:val="en-US"/>
        </w:rPr>
      </w:pPr>
      <w:r>
        <w:t>(</w:t>
      </w:r>
      <w:r w:rsidRPr="2562ABD0">
        <w:rPr>
          <w:highlight w:val="darkYellow"/>
        </w:rPr>
        <w:t>Working assumption</w:t>
      </w:r>
      <w:r>
        <w:t>)</w:t>
      </w:r>
      <w:r w:rsidRPr="2562ABD0">
        <w:rPr>
          <w:lang w:val="en-US"/>
        </w:rPr>
        <w:t xml:space="preserve"> For UE supporting CA with different numerologies, </w:t>
      </w:r>
    </w:p>
    <w:p w14:paraId="04967042" w14:textId="77777777" w:rsidR="007031BB" w:rsidRPr="00985DB4" w:rsidRDefault="2562ABD0" w:rsidP="2562ABD0">
      <w:pPr>
        <w:numPr>
          <w:ilvl w:val="1"/>
          <w:numId w:val="15"/>
        </w:numPr>
        <w:overflowPunct/>
        <w:autoSpaceDE/>
        <w:autoSpaceDN/>
        <w:adjustRightInd/>
        <w:spacing w:after="0"/>
        <w:textAlignment w:val="auto"/>
        <w:rPr>
          <w:lang w:val="en-US"/>
        </w:rPr>
      </w:pPr>
      <w:r w:rsidRPr="2562ABD0">
        <w:rPr>
          <w:lang w:val="en-US"/>
        </w:rPr>
        <w:t>When the UE is configured with CA with the same numerology, the reported value applies</w:t>
      </w:r>
    </w:p>
    <w:p w14:paraId="1A5D523F" w14:textId="77777777" w:rsidR="007031BB" w:rsidRPr="00985DB4" w:rsidRDefault="2562ABD0" w:rsidP="2562ABD0">
      <w:pPr>
        <w:numPr>
          <w:ilvl w:val="1"/>
          <w:numId w:val="15"/>
        </w:numPr>
        <w:overflowPunct/>
        <w:autoSpaceDE/>
        <w:autoSpaceDN/>
        <w:adjustRightInd/>
        <w:spacing w:after="0"/>
        <w:textAlignment w:val="auto"/>
        <w:rPr>
          <w:lang w:val="en-US"/>
        </w:rPr>
      </w:pPr>
      <w:r w:rsidRPr="2562ABD0">
        <w:rPr>
          <w:lang w:val="en-US"/>
        </w:rPr>
        <w:t>When the UE is configured with CA with different numerologies, the reported value applies to each set of DL-CCs with the same numerology, i.e.:</w:t>
      </w:r>
    </w:p>
    <w:p w14:paraId="0928EC31" w14:textId="77777777" w:rsidR="007031BB" w:rsidRPr="00985DB4" w:rsidRDefault="2562ABD0" w:rsidP="2562ABD0">
      <w:pPr>
        <w:numPr>
          <w:ilvl w:val="2"/>
          <w:numId w:val="15"/>
        </w:numPr>
        <w:tabs>
          <w:tab w:val="num" w:pos="2160"/>
        </w:tabs>
        <w:overflowPunct/>
        <w:autoSpaceDE/>
        <w:autoSpaceDN/>
        <w:adjustRightInd/>
        <w:spacing w:after="0"/>
        <w:textAlignment w:val="auto"/>
        <w:rPr>
          <w:lang w:val="en-US"/>
        </w:rPr>
      </w:pPr>
      <w:r w:rsidRPr="2562ABD0">
        <w:rPr>
          <w:lang w:val="en-US"/>
        </w:rPr>
        <w:t xml:space="preserve">If a UE is configured with DL-CCs of X0, X1, X2, X3, where Xi denotes the number of DL-CCs with the numerology i, the </w:t>
      </w:r>
      <w:r w:rsidRPr="2562ABD0">
        <w:rPr>
          <w:color w:val="FF0000"/>
          <w:u w:val="single"/>
          <w:lang w:val="en-US"/>
        </w:rPr>
        <w:t>limit</w:t>
      </w:r>
      <w:r w:rsidRPr="2562ABD0">
        <w:rPr>
          <w:lang w:val="en-US"/>
        </w:rPr>
        <w:t xml:space="preserve"> </w:t>
      </w:r>
      <w:r w:rsidRPr="2562ABD0">
        <w:rPr>
          <w:strike/>
          <w:color w:val="FF0000"/>
          <w:lang w:val="en-US"/>
        </w:rPr>
        <w:t>total number</w:t>
      </w:r>
      <w:r w:rsidRPr="2562ABD0">
        <w:rPr>
          <w:lang w:val="en-US"/>
        </w:rPr>
        <w:t xml:space="preserve"> of (BDs or CCEs) for the DL-CCs with the numerology i is given by Floor{Xi / (X0 + X1 + X2 + X3) * (Mi or Ni) * y} per slot of the numerology i</w:t>
      </w:r>
    </w:p>
    <w:p w14:paraId="01F9DB36" w14:textId="77777777" w:rsidR="007031BB" w:rsidRPr="00985DB4" w:rsidRDefault="2562ABD0" w:rsidP="007031BB">
      <w:pPr>
        <w:numPr>
          <w:ilvl w:val="3"/>
          <w:numId w:val="15"/>
        </w:numPr>
        <w:overflowPunct/>
        <w:autoSpaceDE/>
        <w:autoSpaceDN/>
        <w:adjustRightInd/>
        <w:spacing w:after="0"/>
        <w:textAlignment w:val="auto"/>
      </w:pPr>
      <w:r w:rsidRPr="2562ABD0">
        <w:rPr>
          <w:lang w:val="en-US"/>
        </w:rPr>
        <w:t>Where Mi and Ni represent the number of BDs and CCEs per slot specified for non-CA case, respectively</w:t>
      </w:r>
    </w:p>
    <w:p w14:paraId="695B5E10" w14:textId="77777777" w:rsidR="007031BB" w:rsidRPr="00985DB4" w:rsidRDefault="2562ABD0" w:rsidP="007031BB">
      <w:pPr>
        <w:numPr>
          <w:ilvl w:val="3"/>
          <w:numId w:val="15"/>
        </w:numPr>
        <w:overflowPunct/>
        <w:autoSpaceDE/>
        <w:autoSpaceDN/>
        <w:adjustRightInd/>
        <w:spacing w:after="0"/>
        <w:textAlignment w:val="auto"/>
      </w:pPr>
      <w:r>
        <w:t>Note: some of the values of Xi may be zero depending on the CA configuration</w:t>
      </w:r>
    </w:p>
    <w:p w14:paraId="71347589" w14:textId="77777777" w:rsidR="007031BB" w:rsidRPr="00985DB4" w:rsidRDefault="2562ABD0" w:rsidP="007031BB">
      <w:pPr>
        <w:numPr>
          <w:ilvl w:val="1"/>
          <w:numId w:val="15"/>
        </w:numPr>
        <w:overflowPunct/>
        <w:autoSpaceDE/>
        <w:autoSpaceDN/>
        <w:adjustRightInd/>
        <w:spacing w:after="0"/>
        <w:textAlignment w:val="auto"/>
      </w:pPr>
      <w:r>
        <w:t>For each CC, the non-CA limit still applies</w:t>
      </w:r>
    </w:p>
    <w:p w14:paraId="048E04EE" w14:textId="77777777" w:rsidR="007031BB" w:rsidRPr="00985DB4" w:rsidRDefault="2562ABD0" w:rsidP="007031BB">
      <w:pPr>
        <w:numPr>
          <w:ilvl w:val="0"/>
          <w:numId w:val="15"/>
        </w:numPr>
        <w:overflowPunct/>
        <w:autoSpaceDE/>
        <w:autoSpaceDN/>
        <w:adjustRightInd/>
        <w:spacing w:after="0"/>
        <w:textAlignment w:val="auto"/>
      </w:pPr>
      <w:r w:rsidRPr="2562ABD0">
        <w:rPr>
          <w:highlight w:val="yellow"/>
        </w:rPr>
        <w:lastRenderedPageBreak/>
        <w:t>FFS the impact of BWP, if any</w:t>
      </w:r>
    </w:p>
    <w:p w14:paraId="280BD794" w14:textId="695A0ED2" w:rsidR="007031BB" w:rsidRDefault="007031BB" w:rsidP="002252D3">
      <w:pPr>
        <w:jc w:val="both"/>
        <w:rPr>
          <w:i/>
        </w:rPr>
      </w:pPr>
    </w:p>
    <w:p w14:paraId="62066A77" w14:textId="1E0E8B32" w:rsidR="00685C9D" w:rsidRPr="00685C9D" w:rsidRDefault="2562ABD0" w:rsidP="008E33D7">
      <w:pPr>
        <w:jc w:val="both"/>
      </w:pPr>
      <w:r>
        <w:t>For BWP features 6-1, 6-2 and 6-3, configured dedicated BWP(s) of a serving cell are of the same numerology while initial BWP can be of different numerology. In 6-4, also dedicated BWP can be configured with different numerology. In mandatory feature 6-1, BWP can be changed only by RRC reconfiguration, therefore there is no impact from dynamic switching. However, in the other features, active numerology of a serving cell can change dynamically. We see two alternatives how to determine BD limits:</w:t>
      </w:r>
    </w:p>
    <w:p w14:paraId="61E6EFD0" w14:textId="5A83A0C7" w:rsidR="00685C9D" w:rsidRPr="006F5B37" w:rsidRDefault="2562ABD0" w:rsidP="2562ABD0">
      <w:pPr>
        <w:pStyle w:val="ListParagraph"/>
        <w:numPr>
          <w:ilvl w:val="0"/>
          <w:numId w:val="8"/>
        </w:numPr>
        <w:jc w:val="both"/>
        <w:rPr>
          <w:sz w:val="20"/>
          <w:szCs w:val="20"/>
          <w:lang w:val="en-US"/>
        </w:rPr>
      </w:pPr>
      <w:r w:rsidRPr="2562ABD0">
        <w:rPr>
          <w:b/>
          <w:bCs/>
          <w:sz w:val="20"/>
          <w:szCs w:val="20"/>
          <w:lang w:val="en-US"/>
        </w:rPr>
        <w:t>Alt1</w:t>
      </w:r>
      <w:r w:rsidRPr="2562ABD0">
        <w:rPr>
          <w:sz w:val="20"/>
          <w:szCs w:val="20"/>
          <w:lang w:val="en-US"/>
        </w:rPr>
        <w:t>: Determination based on active numerology, the BD/CCE limit per SCS group will dynamically change on slot bases.</w:t>
      </w:r>
    </w:p>
    <w:p w14:paraId="738AE2F7" w14:textId="2C9E61B7" w:rsidR="00685C9D" w:rsidRPr="006F5B37" w:rsidRDefault="2562ABD0" w:rsidP="2562ABD0">
      <w:pPr>
        <w:pStyle w:val="ListParagraph"/>
        <w:numPr>
          <w:ilvl w:val="0"/>
          <w:numId w:val="8"/>
        </w:numPr>
        <w:jc w:val="both"/>
        <w:rPr>
          <w:sz w:val="20"/>
          <w:szCs w:val="20"/>
          <w:lang w:val="en-US"/>
        </w:rPr>
      </w:pPr>
      <w:r w:rsidRPr="2562ABD0">
        <w:rPr>
          <w:b/>
          <w:bCs/>
          <w:sz w:val="20"/>
          <w:szCs w:val="20"/>
          <w:lang w:val="en-US"/>
        </w:rPr>
        <w:t>Alt2:</w:t>
      </w:r>
      <w:r w:rsidRPr="2562ABD0">
        <w:rPr>
          <w:sz w:val="20"/>
          <w:szCs w:val="20"/>
          <w:lang w:val="en-US"/>
        </w:rPr>
        <w:t xml:space="preserve"> The numerology of serving cell for BD/CCE limit is determined by the BWP with the lowest configured SCS in the serving cell. The BD/CCE limits of other BWP of the serving cell are linearly scaled down and rounded.  </w:t>
      </w:r>
    </w:p>
    <w:p w14:paraId="5BEF5EEE" w14:textId="44DE35D3" w:rsidR="006F60D9" w:rsidRDefault="006F60D9" w:rsidP="008E33D7">
      <w:pPr>
        <w:jc w:val="both"/>
      </w:pPr>
    </w:p>
    <w:p w14:paraId="462F1E0E" w14:textId="11C0020B" w:rsidR="0050658D" w:rsidRDefault="2562ABD0" w:rsidP="008E33D7">
      <w:pPr>
        <w:jc w:val="both"/>
      </w:pPr>
      <w:r>
        <w:t>On one hand, following the spirit of the above Working assumption, Alt1 would be more optimal choice. On the other hand, dynamic change of BD limits would be difficult to implement, unless gNB configures the same number of BDs to all BWPs of cells of the given SCS. Furthermore, mixed numerology deployment can be achieved by configuring two serving cells, each serving cell with BWPs of the same numerology. Therefore, not optimizing the capability signalling for mixed numerology in a serving cell would be acceptable to us, and we therefore propose the Alt2.</w:t>
      </w:r>
    </w:p>
    <w:p w14:paraId="5E2092B7" w14:textId="6BC69910" w:rsidR="0050658D" w:rsidRDefault="2562ABD0" w:rsidP="2562ABD0">
      <w:pPr>
        <w:rPr>
          <w:i/>
          <w:iCs/>
          <w:lang w:val="en-US"/>
        </w:rPr>
      </w:pPr>
      <w:r w:rsidRPr="2562ABD0">
        <w:rPr>
          <w:b/>
          <w:bCs/>
          <w:i/>
          <w:iCs/>
          <w:lang w:val="en-US"/>
        </w:rPr>
        <w:t>Proposal-</w:t>
      </w:r>
      <w:r w:rsidR="0066279A">
        <w:rPr>
          <w:b/>
          <w:bCs/>
          <w:i/>
          <w:iCs/>
          <w:lang w:val="en-US"/>
        </w:rPr>
        <w:t>2</w:t>
      </w:r>
      <w:r w:rsidRPr="2562ABD0">
        <w:rPr>
          <w:i/>
          <w:iCs/>
          <w:lang w:val="en-US"/>
        </w:rPr>
        <w:t xml:space="preserve">: A numerology of serving cell for BD/CCE limit is determined by the BWP with the lowest configured SCS in the serving cell. The BD/CCE limits of other BWP of the serving cell are linearly scaled down and rounded.  </w:t>
      </w:r>
    </w:p>
    <w:p w14:paraId="30118B1D" w14:textId="7BA1EAC2" w:rsidR="00E231CD" w:rsidRDefault="2562ABD0" w:rsidP="2562ABD0">
      <w:pPr>
        <w:pStyle w:val="Heading1"/>
        <w:rPr>
          <w:lang w:val="en-US"/>
        </w:rPr>
      </w:pPr>
      <w:r w:rsidRPr="2562ABD0">
        <w:rPr>
          <w:lang w:val="en-US"/>
        </w:rPr>
        <w:t>CORESET configuration</w:t>
      </w:r>
    </w:p>
    <w:p w14:paraId="25794642" w14:textId="5F9C74C5" w:rsidR="00585316" w:rsidRDefault="2562ABD0" w:rsidP="00585316">
      <w:r>
        <w:t>RAN1 TS 38.213 specification in sub-clause 10.1 say:</w:t>
      </w:r>
    </w:p>
    <w:p w14:paraId="5DF00AA5" w14:textId="3F93D5AE" w:rsidR="00585316" w:rsidRPr="00585316" w:rsidRDefault="00585316" w:rsidP="2562ABD0">
      <w:pPr>
        <w:jc w:val="both"/>
        <w:rPr>
          <w:i/>
          <w:iCs/>
        </w:rPr>
      </w:pPr>
      <w:r w:rsidRPr="2562ABD0">
        <w:rPr>
          <w:i/>
          <w:iCs/>
        </w:rPr>
        <w:t xml:space="preserve">For each control resource set in a DL BWP of a serving cell, a respective higher layer parameter frequencyDomainResources provides a bitmap. The bits of the bitmap have a one-to-one mapping with non-overlapping groups of 6 consecutive PRBs, in ascending order of the PRB index in the DL BWP bandwidth of </w:t>
      </w:r>
      <w:r w:rsidRPr="00585316">
        <w:rPr>
          <w:i/>
          <w:position w:val="-10"/>
        </w:rPr>
        <w:object w:dxaOrig="520" w:dyaOrig="340" w14:anchorId="20774412">
          <v:shape id="_x0000_i1027" type="#_x0000_t75" style="width:25.8pt;height:16.8pt" o:ole="">
            <v:imagedata r:id="rId18" o:title=""/>
          </v:shape>
          <o:OLEObject Type="Embed" ProgID="Equation.3" ShapeID="_x0000_i1027" DrawAspect="Content" ObjectID="_1599659473" r:id="rId19"/>
        </w:object>
      </w:r>
      <w:r w:rsidRPr="2562ABD0">
        <w:rPr>
          <w:i/>
          <w:iCs/>
        </w:rPr>
        <w:t xml:space="preserve"> PRBs with starting position </w:t>
      </w:r>
      <w:r w:rsidRPr="00585316">
        <w:rPr>
          <w:i/>
          <w:position w:val="-10"/>
        </w:rPr>
        <w:object w:dxaOrig="499" w:dyaOrig="340" w14:anchorId="1A7B3A89">
          <v:shape id="_x0000_i1028" type="#_x0000_t75" style="width:24.6pt;height:16.8pt" o:ole="">
            <v:imagedata r:id="rId20" o:title=""/>
          </v:shape>
          <o:OLEObject Type="Embed" ProgID="Equation.3" ShapeID="_x0000_i1028" DrawAspect="Content" ObjectID="_1599659474" r:id="rId21"/>
        </w:object>
      </w:r>
      <w:r w:rsidRPr="2562ABD0">
        <w:rPr>
          <w:i/>
          <w:iCs/>
        </w:rPr>
        <w:t xml:space="preserve"> where the first common RB of the first group of 6 PRBs has index </w:t>
      </w:r>
      <w:r w:rsidRPr="00585316">
        <w:rPr>
          <w:i/>
          <w:position w:val="-10"/>
        </w:rPr>
        <w:object w:dxaOrig="1040" w:dyaOrig="340" w14:anchorId="04816500">
          <v:shape id="_x0000_i1029" type="#_x0000_t75" style="width:51.6pt;height:16.8pt" o:ole="">
            <v:imagedata r:id="rId22" o:title=""/>
          </v:shape>
          <o:OLEObject Type="Embed" ProgID="Equation.3" ShapeID="_x0000_i1029" DrawAspect="Content" ObjectID="_1599659475" r:id="rId23"/>
        </w:object>
      </w:r>
      <w:r w:rsidRPr="2562ABD0">
        <w:rPr>
          <w:i/>
          <w:iCs/>
        </w:rPr>
        <w:t>. A group of 6 PRBs is allocated to a control resource set if a corresponding bit value in the bitmap is 1; else, if a corresponding bit value in the bitmap is 0, the group of 6 PRBs is not allocated to the control resource set.</w:t>
      </w:r>
    </w:p>
    <w:p w14:paraId="7B9C7E64" w14:textId="77777777" w:rsidR="00585316" w:rsidRDefault="00585316" w:rsidP="00585316"/>
    <w:p w14:paraId="0E345BBF" w14:textId="26DFAFC0" w:rsidR="00585316" w:rsidRDefault="2562ABD0" w:rsidP="00585316">
      <w:r>
        <w:t>RAN2 configures frequency domain resources using bitmap of 45 bits</w:t>
      </w:r>
    </w:p>
    <w:p w14:paraId="09B07A25" w14:textId="77777777" w:rsidR="00585316" w:rsidRDefault="00585316" w:rsidP="00585316">
      <w:pPr>
        <w:pStyle w:val="PL"/>
      </w:pPr>
      <w:bookmarkStart w:id="1" w:name="_Hlk504372411"/>
      <w:r>
        <w:t>frequencyDomainResources</w:t>
      </w:r>
      <w:bookmarkEnd w:id="1"/>
      <w:r>
        <w:tab/>
      </w:r>
      <w:r>
        <w:tab/>
      </w:r>
      <w:r>
        <w:tab/>
      </w:r>
      <w:r>
        <w:tab/>
      </w:r>
      <w:r>
        <w:rPr>
          <w:color w:val="993366"/>
        </w:rPr>
        <w:t>BIT</w:t>
      </w:r>
      <w:r>
        <w:t xml:space="preserve"> </w:t>
      </w:r>
      <w:r>
        <w:rPr>
          <w:color w:val="993366"/>
        </w:rPr>
        <w:t>STRING</w:t>
      </w:r>
      <w:r>
        <w:t xml:space="preserve"> (</w:t>
      </w:r>
      <w:r>
        <w:rPr>
          <w:color w:val="993366"/>
        </w:rPr>
        <w:t>SIZE</w:t>
      </w:r>
      <w:r>
        <w:t xml:space="preserve"> (45)),</w:t>
      </w:r>
    </w:p>
    <w:p w14:paraId="524A830E" w14:textId="77777777" w:rsidR="00585316" w:rsidRDefault="00585316" w:rsidP="00585316"/>
    <w:p w14:paraId="0F9290F9" w14:textId="67699391" w:rsidR="00585316" w:rsidRDefault="00585316" w:rsidP="00232DFB">
      <w:pPr>
        <w:jc w:val="both"/>
      </w:pPr>
      <w:r>
        <w:t xml:space="preserve">While the RAN1 specification talks about the one-to-one mapping of bitmap bits to groups of 6PRBs in BWPs in ascending order. It is not very clear </w:t>
      </w:r>
      <w:r w:rsidR="0030384D">
        <w:t xml:space="preserve">how the bits are mapped to </w:t>
      </w:r>
      <w:r>
        <w:t>45-bit bitmap</w:t>
      </w:r>
      <w:r w:rsidR="00232DFB">
        <w:t>, i.e. which bit</w:t>
      </w:r>
      <w:r>
        <w:t xml:space="preserve"> corresponds to which 6PRB group. For example, in Figure </w:t>
      </w:r>
      <w:r w:rsidR="0066279A">
        <w:t>2</w:t>
      </w:r>
      <w:r>
        <w:t>, the following two alternatives follow the above specification text; both are one-to-one mapping, and both are in ascending order</w:t>
      </w:r>
      <w:r w:rsidRPr="2562ABD0">
        <w:rPr>
          <w:b/>
          <w:bCs/>
        </w:rPr>
        <w:t>. In the Alt1, first 6PRB group is mapped to MSB</w:t>
      </w:r>
      <w:r w:rsidR="0091433E" w:rsidRPr="2562ABD0">
        <w:rPr>
          <w:b/>
          <w:bCs/>
        </w:rPr>
        <w:t xml:space="preserve"> of bitmap</w:t>
      </w:r>
      <w:r w:rsidRPr="2562ABD0">
        <w:rPr>
          <w:b/>
          <w:bCs/>
        </w:rPr>
        <w:t xml:space="preserve">. In the Alt 2, first PRB groups is mapped to </w:t>
      </w:r>
      <m:oMath>
        <m:d>
          <m:dPr>
            <m:begChr m:val="⌊"/>
            <m:endChr m:val="⌋"/>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-offsetToCarrier) /6</m:t>
            </m:r>
          </m:e>
        </m:d>
      </m:oMath>
      <w:r w:rsidR="002A6824" w:rsidRPr="2562ABD0">
        <w:rPr>
          <w:b/>
          <w:bCs/>
        </w:rPr>
        <w:t xml:space="preserve"> bit of the bitmap</w:t>
      </w:r>
      <w:r w:rsidR="002A6824">
        <w:t xml:space="preserve">. </w:t>
      </w:r>
      <w:r>
        <w:t xml:space="preserve">   </w:t>
      </w:r>
    </w:p>
    <w:p w14:paraId="04D04E9E" w14:textId="3C170F9C" w:rsidR="00585316" w:rsidRPr="00585316" w:rsidRDefault="2562ABD0" w:rsidP="2562ABD0">
      <w:pPr>
        <w:pStyle w:val="ListParagraph"/>
        <w:numPr>
          <w:ilvl w:val="0"/>
          <w:numId w:val="23"/>
        </w:numPr>
        <w:rPr>
          <w:sz w:val="20"/>
          <w:szCs w:val="20"/>
          <w:lang w:val="en-US"/>
        </w:rPr>
      </w:pPr>
      <w:r w:rsidRPr="2562ABD0">
        <w:rPr>
          <w:sz w:val="20"/>
          <w:szCs w:val="20"/>
          <w:lang w:val="en-US"/>
        </w:rPr>
        <w:t xml:space="preserve">Alt1: 11111111000000…  </w:t>
      </w:r>
    </w:p>
    <w:p w14:paraId="4664B2AE" w14:textId="77777777" w:rsidR="00585316" w:rsidRPr="00585316" w:rsidRDefault="2562ABD0" w:rsidP="2562ABD0">
      <w:pPr>
        <w:pStyle w:val="ListParagraph"/>
        <w:numPr>
          <w:ilvl w:val="0"/>
          <w:numId w:val="23"/>
        </w:numPr>
        <w:rPr>
          <w:sz w:val="20"/>
          <w:szCs w:val="20"/>
          <w:lang w:val="en-US"/>
        </w:rPr>
      </w:pPr>
      <w:r w:rsidRPr="2562ABD0">
        <w:rPr>
          <w:sz w:val="20"/>
          <w:szCs w:val="20"/>
          <w:lang w:val="en-US"/>
        </w:rPr>
        <w:t>Alt2: 00000111111110…</w:t>
      </w:r>
    </w:p>
    <w:p w14:paraId="2027884B" w14:textId="7EAED423" w:rsidR="00585316" w:rsidRDefault="00585316" w:rsidP="00585316">
      <w:pPr>
        <w:keepNext/>
        <w:jc w:val="center"/>
      </w:pPr>
      <w:r>
        <w:object w:dxaOrig="7045" w:dyaOrig="2365" w14:anchorId="5AEB4148">
          <v:shape id="_x0000_i1030" type="#_x0000_t75" style="width:350.4pt;height:117.6pt" o:ole="">
            <v:imagedata r:id="rId24" o:title=""/>
          </v:shape>
          <o:OLEObject Type="Embed" ProgID="Visio.Drawing.15" ShapeID="_x0000_i1030" DrawAspect="Content" ObjectID="_1599659476" r:id="rId25"/>
        </w:object>
      </w:r>
    </w:p>
    <w:p w14:paraId="27A458E0" w14:textId="7F22A2D5" w:rsidR="00585316" w:rsidRDefault="00585316" w:rsidP="00585316">
      <w:pPr>
        <w:pStyle w:val="Caption"/>
        <w:jc w:val="center"/>
      </w:pPr>
      <w:r>
        <w:t xml:space="preserve">Figure </w:t>
      </w:r>
      <w:r>
        <w:fldChar w:fldCharType="begin"/>
      </w:r>
      <w:r>
        <w:instrText xml:space="preserve"> SEQ Figure \* ARABIC </w:instrText>
      </w:r>
      <w:r>
        <w:fldChar w:fldCharType="separate"/>
      </w:r>
      <w:r w:rsidR="0066279A">
        <w:rPr>
          <w:noProof/>
        </w:rPr>
        <w:t>2</w:t>
      </w:r>
      <w:r>
        <w:fldChar w:fldCharType="end"/>
      </w:r>
      <w:r>
        <w:t xml:space="preserve"> Example of CORESET configuration</w:t>
      </w:r>
    </w:p>
    <w:p w14:paraId="66F2429E" w14:textId="77777777" w:rsidR="00585316" w:rsidRDefault="00585316" w:rsidP="00585316"/>
    <w:p w14:paraId="611BF6E3" w14:textId="448424E3" w:rsidR="00585316" w:rsidRDefault="2562ABD0" w:rsidP="00585316">
      <w:r>
        <w:t>Our preferred alternative is Alt1 because it is simpler. Text proposal TS38.213 Section 10</w:t>
      </w:r>
      <w:r w:rsidR="0066279A">
        <w:t>.1</w:t>
      </w:r>
    </w:p>
    <w:tbl>
      <w:tblPr>
        <w:tblStyle w:val="TableGrid"/>
        <w:tblW w:w="0" w:type="auto"/>
        <w:tblLook w:val="04A0" w:firstRow="1" w:lastRow="0" w:firstColumn="1" w:lastColumn="0" w:noHBand="0" w:noVBand="1"/>
      </w:tblPr>
      <w:tblGrid>
        <w:gridCol w:w="9629"/>
      </w:tblGrid>
      <w:tr w:rsidR="00511D40" w14:paraId="3C763727" w14:textId="77777777" w:rsidTr="2562ABD0">
        <w:tc>
          <w:tcPr>
            <w:tcW w:w="9629" w:type="dxa"/>
          </w:tcPr>
          <w:p w14:paraId="6AD43473" w14:textId="6E80A9DB" w:rsidR="0066279A" w:rsidRDefault="0066279A" w:rsidP="2562ABD0">
            <w:r>
              <w:t>…..</w:t>
            </w:r>
          </w:p>
          <w:p w14:paraId="1D1D79EB" w14:textId="77777777" w:rsidR="00511D40" w:rsidRDefault="00511D40" w:rsidP="2562ABD0">
            <w:r>
              <w:t xml:space="preserve">For each control resource set in a DL BWP of a serving cell, a respective </w:t>
            </w:r>
            <w:r w:rsidRPr="00B916EC">
              <w:t xml:space="preserve">higher layer parameter </w:t>
            </w:r>
            <w:r w:rsidRPr="2562ABD0">
              <w:rPr>
                <w:i/>
                <w:iCs/>
              </w:rPr>
              <w:t>frequencyDomainResources</w:t>
            </w:r>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7ED5404F">
                <v:shape id="_x0000_i1031" type="#_x0000_t75" style="width:25.8pt;height:16.8pt" o:ole="">
                  <v:imagedata r:id="rId18" o:title=""/>
                </v:shape>
                <o:OLEObject Type="Embed" ProgID="Equation.3" ShapeID="_x0000_i1031" DrawAspect="Content" ObjectID="_1599659477" r:id="rId26"/>
              </w:object>
            </w:r>
            <w:r>
              <w:t xml:space="preserve"> PRBs with starting position </w:t>
            </w:r>
            <w:r w:rsidRPr="00D75938">
              <w:rPr>
                <w:position w:val="-10"/>
              </w:rPr>
              <w:object w:dxaOrig="499" w:dyaOrig="340" w14:anchorId="56110020">
                <v:shape id="_x0000_i1032" type="#_x0000_t75" style="width:24.6pt;height:16.8pt" o:ole="">
                  <v:imagedata r:id="rId20" o:title=""/>
                </v:shape>
                <o:OLEObject Type="Embed" ProgID="Equation.3" ShapeID="_x0000_i1032" DrawAspect="Content" ObjectID="_1599659478" r:id="rId27"/>
              </w:object>
            </w:r>
            <w:r>
              <w:t xml:space="preserve"> where the first common RB of the first group of 6 PRBs </w:t>
            </w:r>
            <w:r w:rsidRPr="00511D40">
              <w:rPr>
                <w:color w:val="FF0000"/>
              </w:rPr>
              <w:t>mapped to the</w:t>
            </w:r>
            <w:r>
              <w:rPr>
                <w:color w:val="FF0000"/>
              </w:rPr>
              <w:t xml:space="preserve"> MSB of the bitmap </w:t>
            </w:r>
            <w:r>
              <w:t xml:space="preserve">has index </w:t>
            </w:r>
            <w:r w:rsidRPr="00D75938">
              <w:rPr>
                <w:position w:val="-10"/>
              </w:rPr>
              <w:object w:dxaOrig="1040" w:dyaOrig="340" w14:anchorId="653EA084">
                <v:shape id="_x0000_i1033" type="#_x0000_t75" style="width:51.6pt;height:16.8pt" o:ole="">
                  <v:imagedata r:id="rId22" o:title=""/>
                </v:shape>
                <o:OLEObject Type="Embed" ProgID="Equation.3" ShapeID="_x0000_i1033" DrawAspect="Content" ObjectID="_1599659479" r:id="rId28"/>
              </w:object>
            </w:r>
            <w:r>
              <w:t xml:space="preserve">. </w:t>
            </w:r>
            <w:r w:rsidRPr="003174F5">
              <w:t>A gro</w:t>
            </w:r>
            <w:r>
              <w:t>up of 6 PRBs is allocated to a control resource set if a</w:t>
            </w:r>
            <w:r w:rsidRPr="003174F5">
              <w:t xml:space="preserve"> correspondi</w:t>
            </w:r>
            <w:r>
              <w:t xml:space="preserve">ng bit value in the bitmap is 1; else, if a </w:t>
            </w:r>
            <w:r w:rsidRPr="003174F5">
              <w:t>correspondi</w:t>
            </w:r>
            <w:r>
              <w:t>ng bit value in the bitmap is 0, the group of 6 PRBs</w:t>
            </w:r>
            <w:r w:rsidRPr="003174F5">
              <w:t xml:space="preserve"> is not allocated to the control resource set.</w:t>
            </w:r>
          </w:p>
          <w:p w14:paraId="653BA6AD" w14:textId="07526A5A" w:rsidR="0066279A" w:rsidRDefault="0066279A" w:rsidP="2562ABD0">
            <w:pPr>
              <w:rPr>
                <w:i/>
                <w:iCs/>
              </w:rPr>
            </w:pPr>
            <w:r>
              <w:t>…..</w:t>
            </w:r>
          </w:p>
        </w:tc>
      </w:tr>
    </w:tbl>
    <w:p w14:paraId="0104CBF8" w14:textId="4DAFB97E" w:rsidR="00E231CD" w:rsidRDefault="00E231CD">
      <w:pPr>
        <w:rPr>
          <w:i/>
          <w:iCs/>
        </w:rPr>
      </w:pPr>
    </w:p>
    <w:p w14:paraId="783D5EFB" w14:textId="3875D1A6" w:rsidR="0030384D" w:rsidRDefault="2562ABD0" w:rsidP="2562ABD0">
      <w:pPr>
        <w:pStyle w:val="Heading1"/>
        <w:rPr>
          <w:lang w:val="en-US"/>
        </w:rPr>
      </w:pPr>
      <w:r w:rsidRPr="2562ABD0">
        <w:rPr>
          <w:lang w:val="en-US"/>
        </w:rPr>
        <w:t>Interleaver initialization for ControlResourceSetZero</w:t>
      </w:r>
    </w:p>
    <w:p w14:paraId="696C055E" w14:textId="0301C6EE" w:rsidR="0030384D" w:rsidRPr="00CB002C" w:rsidRDefault="2562ABD0">
      <w:pPr>
        <w:rPr>
          <w:iCs/>
        </w:rPr>
      </w:pPr>
      <w:r>
        <w:t xml:space="preserve">CORESET#0 configured for some UEs by SIB1 or PBCH can be for other UEs configured by dedicated parameter </w:t>
      </w:r>
      <w:r w:rsidR="0066279A">
        <w:rPr>
          <w:i/>
          <w:iCs/>
        </w:rPr>
        <w:t>pdcch-ConfigCommon</w:t>
      </w:r>
      <w:r w:rsidRPr="2562ABD0">
        <w:rPr>
          <w:i/>
          <w:iCs/>
        </w:rPr>
        <w:t xml:space="preserve">. </w:t>
      </w:r>
      <w:r>
        <w:t xml:space="preserve">The following update is essential. </w:t>
      </w:r>
    </w:p>
    <w:p w14:paraId="162076DB" w14:textId="47F94A18" w:rsidR="00CB002C" w:rsidRPr="00CB002C" w:rsidRDefault="2562ABD0">
      <w:pPr>
        <w:rPr>
          <w:iCs/>
        </w:rPr>
      </w:pPr>
      <w:r>
        <w:t>TP for TS 28.211 in sub-clause 7.3.2.2</w:t>
      </w:r>
    </w:p>
    <w:tbl>
      <w:tblPr>
        <w:tblStyle w:val="TableGrid"/>
        <w:tblW w:w="0" w:type="auto"/>
        <w:tblLook w:val="04A0" w:firstRow="1" w:lastRow="0" w:firstColumn="1" w:lastColumn="0" w:noHBand="0" w:noVBand="1"/>
      </w:tblPr>
      <w:tblGrid>
        <w:gridCol w:w="9629"/>
      </w:tblGrid>
      <w:tr w:rsidR="00CB002C" w14:paraId="07824C59" w14:textId="77777777" w:rsidTr="2562ABD0">
        <w:tc>
          <w:tcPr>
            <w:tcW w:w="9629" w:type="dxa"/>
          </w:tcPr>
          <w:p w14:paraId="23F4D42D" w14:textId="157CE290" w:rsidR="00CB002C" w:rsidRDefault="2562ABD0" w:rsidP="00CB002C">
            <w:r>
              <w:t>…..</w:t>
            </w:r>
          </w:p>
          <w:p w14:paraId="3A5C7315" w14:textId="419C4AF8" w:rsidR="00CB002C" w:rsidRDefault="2562ABD0" w:rsidP="00CB002C">
            <w:r>
              <w:t xml:space="preserve">The interleaver is defined by </w:t>
            </w:r>
          </w:p>
          <w:p w14:paraId="07B7CB7E" w14:textId="77777777" w:rsidR="00CB002C" w:rsidRDefault="00CB002C" w:rsidP="00CB002C">
            <w:pPr>
              <w:pStyle w:val="EQ"/>
              <w:jc w:val="center"/>
            </w:pPr>
            <w:r>
              <w:rPr>
                <w:position w:val="-74"/>
              </w:rPr>
              <w:object w:dxaOrig="3360" w:dyaOrig="1605" w14:anchorId="2CB79AB8">
                <v:shape id="_x0000_i1034" type="#_x0000_t75" style="width:166.2pt;height:79.8pt" o:ole="">
                  <v:imagedata r:id="rId29" o:title=""/>
                </v:shape>
                <o:OLEObject Type="Embed" ProgID="Equation.3" ShapeID="_x0000_i1034" DrawAspect="Content" ObjectID="_1599659480" r:id="rId30"/>
              </w:object>
            </w:r>
          </w:p>
          <w:p w14:paraId="3106529A" w14:textId="77777777" w:rsidR="00CB002C" w:rsidRDefault="00CB002C" w:rsidP="00CB002C">
            <w:r>
              <w:t xml:space="preserve">where </w:t>
            </w:r>
            <w:r>
              <w:rPr>
                <w:position w:val="-10"/>
              </w:rPr>
              <w:object w:dxaOrig="915" w:dyaOrig="300" w14:anchorId="1AB75B04">
                <v:shape id="_x0000_i1035" type="#_x0000_t75" style="width:43.8pt;height:14.4pt" o:ole="">
                  <v:imagedata r:id="rId31" o:title=""/>
                </v:shape>
                <o:OLEObject Type="Embed" ProgID="Equation.3" ShapeID="_x0000_i1035" DrawAspect="Content" ObjectID="_1599659481" r:id="rId32"/>
              </w:object>
            </w:r>
            <w:r>
              <w:t xml:space="preserve"> is given by the higher-layer parameter </w:t>
            </w:r>
            <w:r w:rsidRPr="2562ABD0">
              <w:rPr>
                <w:i/>
                <w:iCs/>
              </w:rPr>
              <w:t>interleaverSize</w:t>
            </w:r>
            <w:r>
              <w:t xml:space="preserve"> and where</w:t>
            </w:r>
          </w:p>
          <w:p w14:paraId="5A9BAFC4" w14:textId="71DC3763" w:rsidR="00CB002C" w:rsidRDefault="00CB002C" w:rsidP="00CB002C">
            <w:pPr>
              <w:pStyle w:val="B1"/>
            </w:pPr>
            <w:r>
              <w:t>-</w:t>
            </w:r>
            <w:r>
              <w:tab/>
            </w:r>
            <w:r>
              <w:rPr>
                <w:position w:val="-10"/>
              </w:rPr>
              <w:object w:dxaOrig="960" w:dyaOrig="315" w14:anchorId="072B5796">
                <v:shape id="_x0000_i1036" type="#_x0000_t75" style="width:50.4pt;height:14.4pt" o:ole="">
                  <v:imagedata r:id="rId33" o:title=""/>
                </v:shape>
                <o:OLEObject Type="Embed" ProgID="Equation.DSMT4" ShapeID="_x0000_i1036" DrawAspect="Content" ObjectID="_1599659482" r:id="rId34"/>
              </w:object>
            </w:r>
            <w:r>
              <w:t xml:space="preserve"> for a PDCCH transmitted in a CORESET configured by the PBCH or </w:t>
            </w:r>
            <w:r w:rsidRPr="00CB002C">
              <w:rPr>
                <w:strike/>
                <w:color w:val="FF0000"/>
              </w:rPr>
              <w:t>SIB1</w:t>
            </w:r>
            <w:r>
              <w:t xml:space="preserve"> </w:t>
            </w:r>
            <w:r w:rsidRPr="00CB002C">
              <w:rPr>
                <w:color w:val="FF0000"/>
              </w:rPr>
              <w:t>by</w:t>
            </w:r>
            <w:r>
              <w:t xml:space="preserve"> </w:t>
            </w:r>
            <w:r w:rsidRPr="00CB002C">
              <w:rPr>
                <w:color w:val="FF0000"/>
              </w:rPr>
              <w:t>ControlResrouceSetZero</w:t>
            </w:r>
            <w:r>
              <w:t xml:space="preserve">, and </w:t>
            </w:r>
          </w:p>
          <w:p w14:paraId="21B2D988" w14:textId="77777777" w:rsidR="00CB002C" w:rsidRDefault="00CB002C" w:rsidP="00CB002C">
            <w:pPr>
              <w:pStyle w:val="B1"/>
            </w:pPr>
            <w:r>
              <w:t>-</w:t>
            </w:r>
            <w:r>
              <w:tab/>
              <w:t xml:space="preserve">otherwise </w:t>
            </w:r>
            <w:r>
              <w:rPr>
                <w:position w:val="-10"/>
              </w:rPr>
              <w:object w:dxaOrig="1545" w:dyaOrig="300" w14:anchorId="24CBD2A3">
                <v:shape id="_x0000_i1037" type="#_x0000_t75" style="width:79.2pt;height:14.4pt" o:ole="">
                  <v:imagedata r:id="rId35" o:title=""/>
                </v:shape>
                <o:OLEObject Type="Embed" ProgID="Equation.3" ShapeID="_x0000_i1037" DrawAspect="Content" ObjectID="_1599659483" r:id="rId36"/>
              </w:object>
            </w:r>
            <w:r>
              <w:t xml:space="preserve"> is given by the higher-layer parameter </w:t>
            </w:r>
            <w:r w:rsidRPr="2562ABD0">
              <w:rPr>
                <w:i/>
                <w:iCs/>
              </w:rPr>
              <w:t>shiftIndex</w:t>
            </w:r>
            <w:r>
              <w:t>.</w:t>
            </w:r>
          </w:p>
          <w:p w14:paraId="4B3D3E0D" w14:textId="2C37E93A" w:rsidR="00CB002C" w:rsidRDefault="2562ABD0" w:rsidP="2562ABD0">
            <w:pPr>
              <w:rPr>
                <w:i/>
                <w:iCs/>
              </w:rPr>
            </w:pPr>
            <w:r w:rsidRPr="2562ABD0">
              <w:rPr>
                <w:i/>
                <w:iCs/>
              </w:rPr>
              <w:t>…..</w:t>
            </w:r>
          </w:p>
        </w:tc>
      </w:tr>
    </w:tbl>
    <w:p w14:paraId="3CAAEAB5" w14:textId="77777777" w:rsidR="00CB002C" w:rsidRDefault="00CB002C">
      <w:pPr>
        <w:rPr>
          <w:i/>
          <w:iCs/>
        </w:rPr>
      </w:pPr>
    </w:p>
    <w:p w14:paraId="43576C1D" w14:textId="5FC32928" w:rsidR="005D2B3C" w:rsidRDefault="2562ABD0" w:rsidP="2562ABD0">
      <w:pPr>
        <w:pStyle w:val="Heading1"/>
        <w:rPr>
          <w:lang w:val="en-US"/>
        </w:rPr>
      </w:pPr>
      <w:r w:rsidRPr="2562ABD0">
        <w:rPr>
          <w:lang w:val="en-US"/>
        </w:rPr>
        <w:lastRenderedPageBreak/>
        <w:t>Configuration of TYPE0-TYPE2 search-spaces for BWPs of Feature 6-1a</w:t>
      </w:r>
    </w:p>
    <w:p w14:paraId="7D19D240" w14:textId="35D7B607" w:rsidR="005D2B3C" w:rsidRDefault="2562ABD0" w:rsidP="005D2B3C">
      <w:pPr>
        <w:jc w:val="both"/>
        <w:rPr>
          <w:iCs/>
        </w:rPr>
      </w:pPr>
      <w:r>
        <w:t>In Features 6-1a, there can be a BWP on a Pcell, which is not overlapping with the CD-SSB. For such a BWP TYPE0-TYPE2 (which can be configured only in pdcch-ConfigCommon) cannot be (at moment) configured, because it would break RAN2 consistency rule if SIB1 broadcasts pdcch-ConfigCommon for initial DL BWP.</w:t>
      </w:r>
    </w:p>
    <w:p w14:paraId="379A1894" w14:textId="467208DC" w:rsidR="005D2B3C" w:rsidRPr="005871BF" w:rsidRDefault="2562ABD0" w:rsidP="005D2B3C">
      <w:pPr>
        <w:jc w:val="both"/>
        <w:rPr>
          <w:iCs/>
        </w:rPr>
      </w:pPr>
      <w:r>
        <w:t xml:space="preserve">During the offline discussion two options were identified </w:t>
      </w:r>
    </w:p>
    <w:p w14:paraId="3C460787" w14:textId="708BAE99" w:rsidR="005D2B3C" w:rsidRPr="005871BF" w:rsidRDefault="2562ABD0" w:rsidP="2562ABD0">
      <w:pPr>
        <w:pStyle w:val="ListParagraph"/>
        <w:numPr>
          <w:ilvl w:val="0"/>
          <w:numId w:val="25"/>
        </w:numPr>
        <w:jc w:val="both"/>
        <w:rPr>
          <w:sz w:val="20"/>
          <w:szCs w:val="20"/>
          <w:lang w:val="en-US"/>
        </w:rPr>
      </w:pPr>
      <w:r w:rsidRPr="2562ABD0">
        <w:rPr>
          <w:b/>
          <w:bCs/>
          <w:sz w:val="20"/>
          <w:szCs w:val="20"/>
          <w:lang w:val="en-US"/>
        </w:rPr>
        <w:t>Option-1</w:t>
      </w:r>
      <w:r w:rsidRPr="2562ABD0">
        <w:rPr>
          <w:sz w:val="20"/>
          <w:szCs w:val="20"/>
          <w:lang w:val="en-US"/>
        </w:rPr>
        <w:t>: For non-overlapping DL BWP, PDCCH-ConfigCommon for the DL BWP provides CSS configurations that could be inconsistent from what was configured by broadcast SIB1.</w:t>
      </w:r>
    </w:p>
    <w:p w14:paraId="659BAC18" w14:textId="4BED5AE1" w:rsidR="005D2B3C" w:rsidRPr="005871BF" w:rsidRDefault="2562ABD0" w:rsidP="2562ABD0">
      <w:pPr>
        <w:pStyle w:val="ListParagraph"/>
        <w:numPr>
          <w:ilvl w:val="1"/>
          <w:numId w:val="25"/>
        </w:numPr>
        <w:jc w:val="both"/>
        <w:rPr>
          <w:sz w:val="20"/>
          <w:szCs w:val="20"/>
          <w:lang w:val="en-US"/>
        </w:rPr>
      </w:pPr>
      <w:r w:rsidRPr="2562ABD0">
        <w:rPr>
          <w:sz w:val="20"/>
          <w:szCs w:val="20"/>
          <w:lang w:val="en-US"/>
        </w:rPr>
        <w:t xml:space="preserve">Consistency rule may need to be updated by RAN2 with the </w:t>
      </w:r>
      <w:r w:rsidRPr="2562ABD0">
        <w:rPr>
          <w:lang w:val="en-US"/>
        </w:rPr>
        <w:t>following “</w:t>
      </w:r>
      <w:r w:rsidRPr="2562ABD0">
        <w:rPr>
          <w:i/>
          <w:iCs/>
          <w:sz w:val="22"/>
          <w:szCs w:val="22"/>
          <w:lang w:val="en-US"/>
        </w:rPr>
        <w:t>pdcch-ConfigCommon  does not need to be consistent with SIB1 on a BWP, if the BWP does not contain CD-SSB.</w:t>
      </w:r>
      <w:r w:rsidRPr="2562ABD0">
        <w:rPr>
          <w:lang w:val="en-US"/>
        </w:rPr>
        <w:t>”</w:t>
      </w:r>
    </w:p>
    <w:p w14:paraId="2025FDB2" w14:textId="59145882" w:rsidR="005D2B3C" w:rsidRPr="005871BF" w:rsidRDefault="2562ABD0" w:rsidP="2562ABD0">
      <w:pPr>
        <w:pStyle w:val="ListParagraph"/>
        <w:numPr>
          <w:ilvl w:val="1"/>
          <w:numId w:val="25"/>
        </w:numPr>
        <w:jc w:val="both"/>
        <w:rPr>
          <w:sz w:val="20"/>
          <w:szCs w:val="20"/>
          <w:lang w:val="en-US"/>
        </w:rPr>
      </w:pPr>
      <w:r w:rsidRPr="2562ABD0">
        <w:rPr>
          <w:sz w:val="20"/>
          <w:szCs w:val="20"/>
        </w:rPr>
        <w:t xml:space="preserve">No </w:t>
      </w:r>
      <w:r w:rsidRPr="2562ABD0">
        <w:rPr>
          <w:sz w:val="20"/>
          <w:szCs w:val="20"/>
          <w:lang w:val="en-US"/>
        </w:rPr>
        <w:t>RAN1 impact</w:t>
      </w:r>
    </w:p>
    <w:p w14:paraId="6C825B7F" w14:textId="1C2E6045" w:rsidR="005D2B3C" w:rsidRPr="005871BF" w:rsidRDefault="2562ABD0" w:rsidP="2562ABD0">
      <w:pPr>
        <w:pStyle w:val="ListParagraph"/>
        <w:numPr>
          <w:ilvl w:val="0"/>
          <w:numId w:val="25"/>
        </w:numPr>
        <w:jc w:val="both"/>
        <w:rPr>
          <w:sz w:val="20"/>
          <w:szCs w:val="20"/>
          <w:lang w:val="en-US"/>
        </w:rPr>
      </w:pPr>
      <w:r w:rsidRPr="2562ABD0">
        <w:rPr>
          <w:b/>
          <w:bCs/>
          <w:sz w:val="20"/>
          <w:szCs w:val="20"/>
          <w:lang w:val="en-US"/>
        </w:rPr>
        <w:t>Option-2</w:t>
      </w:r>
      <w:r w:rsidRPr="2562ABD0">
        <w:rPr>
          <w:sz w:val="20"/>
          <w:szCs w:val="20"/>
          <w:lang w:val="en-US"/>
        </w:rPr>
        <w:t>: For non-overlapping DL BWP, CSS configured in PDCCH-Config (i.e., Type3-CSS) is used to receive SI, Paging, random access.</w:t>
      </w:r>
    </w:p>
    <w:p w14:paraId="5FFCFC10" w14:textId="21AAC997" w:rsidR="005D2B3C" w:rsidRPr="005871BF" w:rsidRDefault="2562ABD0" w:rsidP="2562ABD0">
      <w:pPr>
        <w:pStyle w:val="ListParagraph"/>
        <w:numPr>
          <w:ilvl w:val="1"/>
          <w:numId w:val="25"/>
        </w:numPr>
        <w:jc w:val="both"/>
        <w:rPr>
          <w:sz w:val="20"/>
          <w:szCs w:val="20"/>
          <w:lang w:val="en-US"/>
        </w:rPr>
      </w:pPr>
      <w:r w:rsidRPr="2562ABD0">
        <w:rPr>
          <w:sz w:val="20"/>
          <w:szCs w:val="20"/>
          <w:lang w:val="en-US"/>
        </w:rPr>
        <w:t xml:space="preserve">No RAN2 impact </w:t>
      </w:r>
    </w:p>
    <w:p w14:paraId="1FCAAE60" w14:textId="54E99606" w:rsidR="005D2B3C" w:rsidRPr="005871BF" w:rsidRDefault="2562ABD0" w:rsidP="2562ABD0">
      <w:pPr>
        <w:pStyle w:val="ListParagraph"/>
        <w:numPr>
          <w:ilvl w:val="1"/>
          <w:numId w:val="25"/>
        </w:numPr>
        <w:jc w:val="both"/>
        <w:rPr>
          <w:sz w:val="20"/>
          <w:szCs w:val="20"/>
          <w:lang w:val="en-US"/>
        </w:rPr>
      </w:pPr>
      <w:r w:rsidRPr="2562ABD0">
        <w:rPr>
          <w:sz w:val="20"/>
          <w:szCs w:val="20"/>
          <w:lang w:val="en-US"/>
        </w:rPr>
        <w:t>RAN1 spec clarifies that UE receives SI, Paging, random access, from Type3-CSS (this is what 213 spec editor Aris asked during CR review phase)</w:t>
      </w:r>
    </w:p>
    <w:p w14:paraId="64D37E99" w14:textId="77777777" w:rsidR="005D2B3C" w:rsidRDefault="005D2B3C" w:rsidP="005D2B3C">
      <w:pPr>
        <w:jc w:val="both"/>
        <w:rPr>
          <w:iCs/>
        </w:rPr>
      </w:pPr>
    </w:p>
    <w:p w14:paraId="53BECCCF" w14:textId="1B31C088" w:rsidR="005871BF" w:rsidRDefault="2562ABD0">
      <w:pPr>
        <w:rPr>
          <w:iCs/>
        </w:rPr>
      </w:pPr>
      <w:r>
        <w:t>We see an issue with Option 2, as it forces the TYPE0-TYPE3 search-space-set to have the identical configuration. On the other hand, for Option 1 the RAN2 consistency rule is not an issue now nor in the future.  Because if BWP on an Scell does not have SSB, UE cannot receive SIB1, and thus cannot read it. Therefore, we have the following proposal:</w:t>
      </w:r>
    </w:p>
    <w:p w14:paraId="7B6E32D2" w14:textId="417273D1" w:rsidR="005D2B3C" w:rsidRDefault="0026626A">
      <w:pPr>
        <w:rPr>
          <w:iCs/>
        </w:rPr>
      </w:pPr>
      <w:r>
        <w:rPr>
          <w:b/>
          <w:bCs/>
          <w:i/>
          <w:iCs/>
        </w:rPr>
        <w:t>Proposal-3</w:t>
      </w:r>
      <w:r w:rsidR="2562ABD0" w:rsidRPr="2562ABD0">
        <w:rPr>
          <w:b/>
          <w:bCs/>
          <w:i/>
          <w:iCs/>
        </w:rPr>
        <w:t>:</w:t>
      </w:r>
      <w:r w:rsidR="2562ABD0" w:rsidRPr="2562ABD0">
        <w:rPr>
          <w:i/>
          <w:iCs/>
        </w:rPr>
        <w:t xml:space="preserve"> Kindly ask RAN2 to update consistency rule of pdcch-ConfigCommon with the following “pdcch-ConfigCommon does not need to be consistent with pdcch-ConfigCommonSIB1 on a BWP, if the BWP does not contain CD-SSB.</w:t>
      </w:r>
      <w:r w:rsidR="2562ABD0">
        <w:t xml:space="preserve"> </w:t>
      </w:r>
    </w:p>
    <w:p w14:paraId="1B9FD336" w14:textId="4E66C295" w:rsidR="002A7603" w:rsidRDefault="2562ABD0" w:rsidP="2562ABD0">
      <w:pPr>
        <w:pStyle w:val="Heading1"/>
        <w:rPr>
          <w:lang w:val="en-US"/>
        </w:rPr>
      </w:pPr>
      <w:r w:rsidRPr="2562ABD0">
        <w:rPr>
          <w:lang w:val="en-US"/>
        </w:rPr>
        <w:t>TYPE0A and TYPE2 monitoring for RRC connected UE</w:t>
      </w:r>
    </w:p>
    <w:p w14:paraId="6477604B" w14:textId="76394BC9" w:rsidR="00743B9D" w:rsidRDefault="00743B9D" w:rsidP="0066279A">
      <w:pPr>
        <w:jc w:val="both"/>
      </w:pPr>
      <w:r>
        <w:t xml:space="preserve">In RAN2#103, RAN2 agreed that in </w:t>
      </w:r>
      <w:r w:rsidRPr="2562ABD0">
        <w:rPr>
          <w:i/>
          <w:iCs/>
        </w:rPr>
        <w:t>PDCCH-ConfigCommon</w:t>
      </w:r>
      <w:r>
        <w:t xml:space="preserve">, delivered in SIB1, the IEs </w:t>
      </w:r>
      <w:r w:rsidRPr="2562ABD0">
        <w:rPr>
          <w:i/>
          <w:iCs/>
        </w:rPr>
        <w:t>searchSpaceSIB1</w:t>
      </w:r>
      <w:r>
        <w:t xml:space="preserve">, </w:t>
      </w:r>
      <w:r w:rsidRPr="2562ABD0">
        <w:rPr>
          <w:i/>
          <w:iCs/>
        </w:rPr>
        <w:t>searchSpaceOtherSystemInformation</w:t>
      </w:r>
      <w:r>
        <w:t xml:space="preserve"> and </w:t>
      </w:r>
      <w:r w:rsidRPr="2562ABD0">
        <w:rPr>
          <w:i/>
          <w:iCs/>
        </w:rPr>
        <w:t>pagingSearchSpace</w:t>
      </w:r>
      <w:r>
        <w:t xml:space="preserve"> needs to be always present, and if not present, UE will not monitor the corresponding search space. </w:t>
      </w:r>
      <w:r w:rsidR="00BF2452">
        <w:t xml:space="preserve">And sent LS to RAN1 </w:t>
      </w:r>
      <w:r w:rsidR="00BF2452">
        <w:fldChar w:fldCharType="begin"/>
      </w:r>
      <w:r w:rsidR="00BF2452">
        <w:instrText xml:space="preserve"> REF _Ref525763458 \r \h </w:instrText>
      </w:r>
      <w:r w:rsidR="0066279A">
        <w:instrText xml:space="preserve"> \* MERGEFORMAT </w:instrText>
      </w:r>
      <w:r w:rsidR="00BF2452">
        <w:fldChar w:fldCharType="separate"/>
      </w:r>
      <w:r w:rsidR="00BF2452">
        <w:t>[1]</w:t>
      </w:r>
      <w:r w:rsidR="00BF2452">
        <w:fldChar w:fldCharType="end"/>
      </w:r>
    </w:p>
    <w:tbl>
      <w:tblPr>
        <w:tblStyle w:val="TableGrid"/>
        <w:tblW w:w="0" w:type="auto"/>
        <w:tblLook w:val="04A0" w:firstRow="1" w:lastRow="0" w:firstColumn="1" w:lastColumn="0" w:noHBand="0" w:noVBand="1"/>
      </w:tblPr>
      <w:tblGrid>
        <w:gridCol w:w="9629"/>
      </w:tblGrid>
      <w:tr w:rsidR="00743B9D" w:rsidRPr="006C489B" w14:paraId="6C2D7A09" w14:textId="77777777" w:rsidTr="2562ABD0">
        <w:tc>
          <w:tcPr>
            <w:tcW w:w="9629" w:type="dxa"/>
          </w:tcPr>
          <w:p w14:paraId="4DB9263E" w14:textId="77777777" w:rsidR="00BF2452" w:rsidRDefault="2562ABD0" w:rsidP="00BF2452">
            <w:pPr>
              <w:pStyle w:val="TAL"/>
              <w:rPr>
                <w:szCs w:val="22"/>
              </w:rPr>
            </w:pPr>
            <w:r w:rsidRPr="2562ABD0">
              <w:rPr>
                <w:b/>
                <w:bCs/>
                <w:i/>
                <w:iCs/>
              </w:rPr>
              <w:t>pagingSearchSpace</w:t>
            </w:r>
          </w:p>
          <w:p w14:paraId="52FCE82C" w14:textId="5DE50834" w:rsidR="00BF2452" w:rsidRDefault="2562ABD0" w:rsidP="00BF2452">
            <w:pPr>
              <w:pStyle w:val="TAL"/>
              <w:rPr>
                <w:szCs w:val="22"/>
              </w:rPr>
            </w:pPr>
            <w:r>
              <w:t xml:space="preserve">ID of the Search space for paging. Corresponds to L1 parameter 'paging-SearchSpace' (see 38.213, section 10). If the field is absent, </w:t>
            </w:r>
            <w:r w:rsidRPr="2562ABD0">
              <w:rPr>
                <w:color w:val="FF0000"/>
              </w:rPr>
              <w:t xml:space="preserve">UE does not receive paging in this BWP </w:t>
            </w:r>
            <w:r w:rsidRPr="2562ABD0">
              <w:rPr>
                <w:strike/>
                <w:color w:val="FF0000"/>
              </w:rPr>
              <w:t>the monitoring occasions are derived as described in 38.213, section 10.1 and section 13</w:t>
            </w:r>
            <w:r>
              <w:t>.</w:t>
            </w:r>
          </w:p>
          <w:p w14:paraId="2E4A1C53" w14:textId="6FCAAF6F" w:rsidR="00743B9D" w:rsidRPr="00BF2452" w:rsidRDefault="00743B9D" w:rsidP="000B74FD">
            <w:pPr>
              <w:rPr>
                <w:rFonts w:eastAsia="MS Mincho"/>
                <w:lang w:eastAsia="ja-JP"/>
              </w:rPr>
            </w:pPr>
          </w:p>
        </w:tc>
      </w:tr>
      <w:tr w:rsidR="00BF2452" w:rsidRPr="006C489B" w14:paraId="2DD4C2E9" w14:textId="77777777" w:rsidTr="2562ABD0">
        <w:tc>
          <w:tcPr>
            <w:tcW w:w="9629" w:type="dxa"/>
          </w:tcPr>
          <w:p w14:paraId="5AD58FE4" w14:textId="77777777" w:rsidR="00BF2452" w:rsidRDefault="2562ABD0" w:rsidP="00BF2452">
            <w:pPr>
              <w:pStyle w:val="TAL"/>
              <w:rPr>
                <w:szCs w:val="22"/>
              </w:rPr>
            </w:pPr>
            <w:r w:rsidRPr="2562ABD0">
              <w:rPr>
                <w:b/>
                <w:bCs/>
                <w:i/>
                <w:iCs/>
              </w:rPr>
              <w:t>searchSpaceOtherSystemInformation</w:t>
            </w:r>
          </w:p>
          <w:p w14:paraId="4DFDF6C4" w14:textId="4ECA8382" w:rsidR="00BF2452" w:rsidRDefault="2562ABD0" w:rsidP="00BF2452">
            <w:pPr>
              <w:pStyle w:val="TAL"/>
              <w:rPr>
                <w:szCs w:val="22"/>
              </w:rPr>
            </w:pPr>
            <w:r>
              <w:t xml:space="preserve">ID of the Search space for other system information, i.e., SIB2 and beyond. Corresponds to L1 parameter 'osi-SearchSpace' (see 38.213, section 10) If the field is absent, </w:t>
            </w:r>
            <w:r w:rsidRPr="2562ABD0">
              <w:rPr>
                <w:color w:val="FF0000"/>
              </w:rPr>
              <w:t>UE does not receive other system information in this BWP</w:t>
            </w:r>
            <w:r w:rsidRPr="2562ABD0">
              <w:rPr>
                <w:strike/>
                <w:color w:val="FF0000"/>
              </w:rPr>
              <w:t xml:space="preserve"> the monitoring occasions are derived as described in 38.213, section 10.1 and section 13.</w:t>
            </w:r>
          </w:p>
          <w:p w14:paraId="5FC89A4F" w14:textId="77777777" w:rsidR="00BF2452" w:rsidRPr="00BF2452" w:rsidRDefault="00BF2452" w:rsidP="000B74FD">
            <w:pPr>
              <w:rPr>
                <w:rFonts w:eastAsia="MS Mincho"/>
                <w:b/>
                <w:i/>
                <w:lang w:eastAsia="ja-JP"/>
              </w:rPr>
            </w:pPr>
          </w:p>
        </w:tc>
      </w:tr>
    </w:tbl>
    <w:p w14:paraId="27AF9BF7" w14:textId="4FFC4B80" w:rsidR="00743B9D" w:rsidRDefault="00743B9D" w:rsidP="00743B9D"/>
    <w:p w14:paraId="59DE624E" w14:textId="7D8668B4" w:rsidR="002D0689" w:rsidRDefault="2562ABD0" w:rsidP="0066279A">
      <w:pPr>
        <w:jc w:val="both"/>
        <w:rPr>
          <w:lang w:val="en-US"/>
        </w:rPr>
      </w:pPr>
      <w:r w:rsidRPr="0066279A">
        <w:rPr>
          <w:b/>
          <w:bCs/>
        </w:rPr>
        <w:t>In this section we will tackle the monitoring for paging and OSI after TCI-state is indicated for a CORESET carrying paging and OSI search-space</w:t>
      </w:r>
      <w:r w:rsidRPr="0066279A">
        <w:t>.</w:t>
      </w:r>
      <w:r>
        <w:t xml:space="preserve"> We will assume that only ControlResourceSetZero and commonControlRes</w:t>
      </w:r>
      <w:r w:rsidR="00715815">
        <w:t>ourceSet can carry TYPEA0 and TY</w:t>
      </w:r>
      <w:r>
        <w:t>PE2 search-space, and we will assume that for both CORESETs TCI-state can be indicated by MAC-CE</w:t>
      </w:r>
      <w:r w:rsidR="0066279A">
        <w:t xml:space="preserve"> as discussed in Section 2</w:t>
      </w:r>
      <w:r>
        <w:t xml:space="preserve">. </w:t>
      </w:r>
    </w:p>
    <w:p w14:paraId="436E3A0E" w14:textId="00A5C64A" w:rsidR="002D0689" w:rsidRDefault="0066279A" w:rsidP="0066279A">
      <w:pPr>
        <w:jc w:val="both"/>
        <w:rPr>
          <w:rFonts w:cs="Arial"/>
        </w:rPr>
      </w:pPr>
      <w:bookmarkStart w:id="2" w:name="_Hlk525818797"/>
      <w:r>
        <w:t>In initial access agenda, there are two search-space associations for paging and OSI, default and non-default. An example of d</w:t>
      </w:r>
      <w:r w:rsidR="2562ABD0">
        <w:t>efault monitoring is depicted</w:t>
      </w:r>
      <w:bookmarkStart w:id="3" w:name="_GoBack"/>
      <w:bookmarkEnd w:id="3"/>
      <w:r w:rsidR="2562ABD0">
        <w:t xml:space="preserve"> on Figure 3, for Case 3, 30khz SCS, </w:t>
      </w:r>
      <w:r w:rsidR="2562ABD0" w:rsidRPr="2562ABD0">
        <w:rPr>
          <w:i/>
          <w:iCs/>
        </w:rPr>
        <w:t>M=1</w:t>
      </w:r>
      <w:r w:rsidR="2562ABD0">
        <w:t xml:space="preserve"> and </w:t>
      </w:r>
      <w:r w:rsidR="2562ABD0" w:rsidRPr="2562ABD0">
        <w:rPr>
          <w:i/>
          <w:iCs/>
        </w:rPr>
        <w:t xml:space="preserve">O=0 </w:t>
      </w:r>
      <w:r w:rsidR="2562ABD0">
        <w:t>as defined in sections 4.1 and 13 in TS38.213</w:t>
      </w:r>
    </w:p>
    <w:p w14:paraId="76B5FE41" w14:textId="705176B1" w:rsidR="002D0689" w:rsidRDefault="006A32E9" w:rsidP="002D0689">
      <w:pPr>
        <w:keepNext/>
      </w:pPr>
      <w:r>
        <w:object w:dxaOrig="9132" w:dyaOrig="2160" w14:anchorId="2603BCFC">
          <v:shape id="_x0000_i1038" type="#_x0000_t75" style="width:456.6pt;height:108pt" o:ole="">
            <v:imagedata r:id="rId37" o:title=""/>
          </v:shape>
          <o:OLEObject Type="Embed" ProgID="Visio.Drawing.11" ShapeID="_x0000_i1038" DrawAspect="Content" ObjectID="_1599659484" r:id="rId38"/>
        </w:object>
      </w:r>
    </w:p>
    <w:p w14:paraId="3EE7F548" w14:textId="1D36746B" w:rsidR="002D0689" w:rsidRDefault="002D0689" w:rsidP="002D0689">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0031378F">
        <w:t>And example of d</w:t>
      </w:r>
      <w:r>
        <w:t>efault monitoring (beamsweep)</w:t>
      </w:r>
    </w:p>
    <w:p w14:paraId="63B993C3" w14:textId="77777777" w:rsidR="002D0689" w:rsidRDefault="002D0689" w:rsidP="002D0689"/>
    <w:p w14:paraId="61667A0D" w14:textId="77777777" w:rsidR="002D0689" w:rsidRDefault="002D0689" w:rsidP="002D0689"/>
    <w:p w14:paraId="3365393D" w14:textId="18209D7F" w:rsidR="002D0689" w:rsidRDefault="0066279A" w:rsidP="0040169A">
      <w:pPr>
        <w:jc w:val="both"/>
      </w:pPr>
      <w:r>
        <w:t>N</w:t>
      </w:r>
      <w:r w:rsidR="2562ABD0">
        <w:t xml:space="preserve">on-default </w:t>
      </w:r>
      <w:r>
        <w:t>association for paging</w:t>
      </w:r>
      <w:r w:rsidR="00476E41">
        <w:t xml:space="preserve"> occasion</w:t>
      </w:r>
      <w:r>
        <w:t xml:space="preserve"> is illustrated in Figure 4. We</w:t>
      </w:r>
      <w:r w:rsidR="2562ABD0">
        <w:t xml:space="preserve"> </w:t>
      </w:r>
      <w:r>
        <w:t xml:space="preserve">assume </w:t>
      </w:r>
      <w:r w:rsidR="2562ABD0">
        <w:t>a search-space IE configured periodicity 1</w:t>
      </w:r>
      <w:r>
        <w:t xml:space="preserve">, and </w:t>
      </w:r>
      <w:r w:rsidR="00476E41">
        <w:t>gNB configured</w:t>
      </w:r>
      <w:r w:rsidR="2562ABD0">
        <w:t xml:space="preserve"> UE with </w:t>
      </w:r>
      <w:r w:rsidR="00476E41">
        <w:t>transmitted</w:t>
      </w:r>
      <w:r w:rsidR="2562ABD0">
        <w:t xml:space="preserve"> SSB pattern </w:t>
      </w:r>
      <w:r w:rsidR="2562ABD0" w:rsidRPr="2562ABD0">
        <w:rPr>
          <w:i/>
          <w:iCs/>
        </w:rPr>
        <w:t>ssb-PositionsInBurst</w:t>
      </w:r>
      <w:r w:rsidR="00476E41">
        <w:t xml:space="preserve"> including SSB #0 and #4.</w:t>
      </w:r>
      <w:r w:rsidR="2562ABD0">
        <w:t xml:space="preserve"> </w:t>
      </w:r>
    </w:p>
    <w:p w14:paraId="4D519DF2" w14:textId="77777777" w:rsidR="002D0689" w:rsidRDefault="002D0689" w:rsidP="002D0689"/>
    <w:p w14:paraId="4F251D03" w14:textId="469E07CD" w:rsidR="002D0689" w:rsidRDefault="006A32E9" w:rsidP="002D0689">
      <w:pPr>
        <w:keepNext/>
      </w:pPr>
      <w:r>
        <w:object w:dxaOrig="9264" w:dyaOrig="1836" w14:anchorId="7875CA4A">
          <v:shape id="_x0000_i1039" type="#_x0000_t75" style="width:463.2pt;height:91.8pt" o:ole="">
            <v:imagedata r:id="rId39" o:title=""/>
          </v:shape>
          <o:OLEObject Type="Embed" ProgID="Visio.Drawing.11" ShapeID="_x0000_i1039" DrawAspect="Content" ObjectID="_1599659485" r:id="rId40"/>
        </w:object>
      </w:r>
    </w:p>
    <w:p w14:paraId="5DD6DC99" w14:textId="77777777" w:rsidR="002D0689" w:rsidRDefault="002D0689" w:rsidP="00476E41">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Example of non-default beam-sweep given by </w:t>
      </w:r>
      <w:r w:rsidRPr="2562ABD0">
        <w:rPr>
          <w:i/>
          <w:iCs/>
        </w:rPr>
        <w:t>ssb-PositionsInBurst</w:t>
      </w:r>
      <w:r>
        <w:t xml:space="preserve"> pattern and </w:t>
      </w:r>
      <w:r w:rsidRPr="2562ABD0">
        <w:rPr>
          <w:i/>
          <w:iCs/>
        </w:rPr>
        <w:t>SearchSpace</w:t>
      </w:r>
      <w:r>
        <w:t xml:space="preserve"> configuration</w:t>
      </w:r>
    </w:p>
    <w:bookmarkEnd w:id="2"/>
    <w:p w14:paraId="64C9D2AA" w14:textId="77777777" w:rsidR="0026626A" w:rsidRDefault="0026626A" w:rsidP="0026626A">
      <w:pPr>
        <w:jc w:val="both"/>
      </w:pPr>
      <w:r>
        <w:rPr>
          <w:color w:val="000000"/>
        </w:rPr>
        <w:t xml:space="preserve">The UE behaviour in RRC CONNECTED </w:t>
      </w:r>
      <w:r>
        <w:t xml:space="preserve">when TCI state is indicated for CORESET (i.e. given by </w:t>
      </w:r>
      <w:r>
        <w:rPr>
          <w:i/>
          <w:iCs/>
        </w:rPr>
        <w:t>ControlResourceSetZero</w:t>
      </w:r>
      <w:r>
        <w:t xml:space="preserve"> or </w:t>
      </w:r>
      <w:r>
        <w:rPr>
          <w:i/>
          <w:iCs/>
        </w:rPr>
        <w:t>commonControlResourceSet</w:t>
      </w:r>
      <w:r>
        <w:t xml:space="preserve">) used for OSI or paging delivery should be </w:t>
      </w:r>
      <w:r>
        <w:rPr>
          <w:color w:val="000000"/>
        </w:rPr>
        <w:t xml:space="preserve">clarified. </w:t>
      </w:r>
      <w:r>
        <w:t xml:space="preserve">The above default and non-default beam sweep is defined only for QCL-D based on SSBs, i.e. not based on CSI-RS/|TRS. However, even if QCL TYPE-D in a TCI state is a CSI-RS/TRS, the source for the CSI-RS/TRS can be an SSB. </w:t>
      </w:r>
    </w:p>
    <w:p w14:paraId="2DA3A803" w14:textId="15728A91" w:rsidR="0026626A" w:rsidRDefault="0026626A" w:rsidP="0026626A">
      <w:pPr>
        <w:jc w:val="both"/>
        <w:rPr>
          <w:color w:val="000000"/>
        </w:rPr>
      </w:pPr>
      <w:r>
        <w:t>Therefore, we propose that if the TCI state indicated for a CORESET is with QCL-D TRS/CSI-RS having SSB as a source</w:t>
      </w:r>
      <w:r>
        <w:rPr>
          <w:color w:val="000000"/>
        </w:rPr>
        <w:t>/reference</w:t>
      </w:r>
      <w:r>
        <w:t xml:space="preserve">, UE would monitor </w:t>
      </w:r>
      <w:r>
        <w:rPr>
          <w:color w:val="000000"/>
        </w:rPr>
        <w:t xml:space="preserve">for the PDCCH delivering, either paging or OSI, as determined by the corresponding search space/monitoring occasion definition from the PDCCH monitoring occasions that are associated with the source/reference SSB corresponding to the TCI state. </w:t>
      </w:r>
      <w:r>
        <w:t>If the TCI state indicated for a CORESET is with QCL-D TRS/CSI-RS not having SSB as source, UE monitors</w:t>
      </w:r>
      <w:r>
        <w:rPr>
          <w:color w:val="000000"/>
        </w:rPr>
        <w:t xml:space="preserve"> OSI/paging</w:t>
      </w:r>
      <w:r>
        <w:t xml:space="preserve"> </w:t>
      </w:r>
      <w:r>
        <w:rPr>
          <w:color w:val="000000"/>
        </w:rPr>
        <w:t xml:space="preserve">on all the configured PDCCH monitoring occasions </w:t>
      </w:r>
      <w:r>
        <w:t xml:space="preserve">within the </w:t>
      </w:r>
      <w:r>
        <w:rPr>
          <w:color w:val="000000"/>
        </w:rPr>
        <w:t>SI-window/</w:t>
      </w:r>
      <w:r>
        <w:t xml:space="preserve"> paging occasion</w:t>
      </w:r>
      <w:r>
        <w:rPr>
          <w:i/>
          <w:iCs/>
        </w:rPr>
        <w:t xml:space="preserve">, </w:t>
      </w:r>
      <w:r>
        <w:t>using the QCL-D provided by TCI state.</w:t>
      </w:r>
      <w:r>
        <w:t xml:space="preserve"> Based on this </w:t>
      </w:r>
      <w:r w:rsidRPr="0026626A">
        <w:t xml:space="preserve">behaviour, </w:t>
      </w:r>
      <w:r>
        <w:t xml:space="preserve">a </w:t>
      </w:r>
      <w:r w:rsidRPr="0026626A">
        <w:t>gNB will know when UE monitors for paging and OSI in RRC CONNECTED state.</w:t>
      </w:r>
      <w:r>
        <w:t xml:space="preserve">  </w:t>
      </w:r>
    </w:p>
    <w:p w14:paraId="7A715646" w14:textId="302233A9" w:rsidR="0026626A" w:rsidRPr="0026626A" w:rsidRDefault="0026626A" w:rsidP="0026626A">
      <w:pPr>
        <w:rPr>
          <w:i/>
          <w:iCs/>
        </w:rPr>
      </w:pPr>
      <w:r w:rsidRPr="0026626A">
        <w:rPr>
          <w:b/>
          <w:bCs/>
          <w:i/>
          <w:iCs/>
        </w:rPr>
        <w:t>Proposal-</w:t>
      </w:r>
      <w:r>
        <w:rPr>
          <w:b/>
          <w:bCs/>
          <w:i/>
          <w:iCs/>
        </w:rPr>
        <w:t>4</w:t>
      </w:r>
      <w:r w:rsidRPr="0026626A">
        <w:rPr>
          <w:b/>
          <w:bCs/>
          <w:i/>
          <w:iCs/>
        </w:rPr>
        <w:t xml:space="preserve">: </w:t>
      </w:r>
      <w:r w:rsidRPr="0026626A">
        <w:rPr>
          <w:i/>
          <w:iCs/>
        </w:rPr>
        <w:t>For determination of monitoring occasions for paging and OSI in a CORESET for which a TCI state has been indicated</w:t>
      </w:r>
    </w:p>
    <w:p w14:paraId="6907BDCD" w14:textId="77777777" w:rsidR="0026626A" w:rsidRPr="0026626A" w:rsidRDefault="0026626A" w:rsidP="0026626A">
      <w:pPr>
        <w:pStyle w:val="ListParagraph"/>
        <w:numPr>
          <w:ilvl w:val="0"/>
          <w:numId w:val="29"/>
        </w:numPr>
        <w:rPr>
          <w:i/>
          <w:iCs/>
          <w:sz w:val="20"/>
          <w:szCs w:val="20"/>
          <w:lang w:val="en-US"/>
        </w:rPr>
      </w:pPr>
      <w:r w:rsidRPr="0026626A">
        <w:rPr>
          <w:rFonts w:eastAsia="Times New Roman"/>
          <w:i/>
          <w:iCs/>
          <w:sz w:val="20"/>
          <w:szCs w:val="20"/>
          <w:lang w:val="en-US"/>
        </w:rPr>
        <w:t>if the TCI state is with QCL-D TRS/CSI-RS having a SSB as source, a UE would monitor default/non-default (up to IA AI) association for the SSB.</w:t>
      </w:r>
    </w:p>
    <w:p w14:paraId="690963C5" w14:textId="77777777" w:rsidR="0026626A" w:rsidRPr="0026626A" w:rsidRDefault="0026626A" w:rsidP="0026626A">
      <w:pPr>
        <w:pStyle w:val="ListParagraph"/>
        <w:numPr>
          <w:ilvl w:val="0"/>
          <w:numId w:val="29"/>
        </w:numPr>
        <w:rPr>
          <w:i/>
          <w:iCs/>
          <w:sz w:val="20"/>
          <w:szCs w:val="20"/>
          <w:lang w:val="en-US"/>
        </w:rPr>
      </w:pPr>
      <w:r w:rsidRPr="0026626A">
        <w:rPr>
          <w:i/>
          <w:iCs/>
          <w:sz w:val="20"/>
          <w:szCs w:val="20"/>
          <w:lang w:val="en-US"/>
        </w:rPr>
        <w:t xml:space="preserve">if the TCI state is with QCL-D TRS/CSI-RS </w:t>
      </w:r>
      <w:r w:rsidRPr="0026626A">
        <w:rPr>
          <w:i/>
          <w:iCs/>
          <w:sz w:val="20"/>
          <w:szCs w:val="20"/>
          <w:u w:val="single"/>
          <w:lang w:val="en-US"/>
        </w:rPr>
        <w:t>not</w:t>
      </w:r>
      <w:r w:rsidRPr="0026626A">
        <w:rPr>
          <w:i/>
          <w:iCs/>
          <w:sz w:val="20"/>
          <w:szCs w:val="20"/>
          <w:lang w:val="en-US"/>
        </w:rPr>
        <w:t xml:space="preserve"> having SSB as source, a UE monitors all the monitoring occasions within the OSI/paging window/occasion defined be by SearchSpace using the QCL-D provided by the TCI state.</w:t>
      </w:r>
    </w:p>
    <w:p w14:paraId="755E76B7" w14:textId="69B12AF8" w:rsidR="0040169A" w:rsidRPr="00476E41" w:rsidRDefault="00DD5869" w:rsidP="2562ABD0">
      <w:pPr>
        <w:rPr>
          <w:b/>
          <w:bCs/>
          <w:i/>
        </w:rPr>
      </w:pPr>
      <w:r>
        <w:rPr>
          <w:b/>
          <w:bCs/>
          <w:i/>
        </w:rPr>
        <w:tab/>
      </w:r>
      <w:r w:rsidR="00CE0024" w:rsidRPr="00476E41">
        <w:rPr>
          <w:b/>
          <w:bCs/>
          <w:i/>
        </w:rPr>
        <w:t xml:space="preserve"> </w:t>
      </w:r>
    </w:p>
    <w:p w14:paraId="0D827FAF" w14:textId="07E146D4" w:rsidR="0034111C" w:rsidRPr="00A51522" w:rsidRDefault="0034111C" w:rsidP="00495C73">
      <w:pPr>
        <w:pStyle w:val="Heading1"/>
      </w:pPr>
      <w:r w:rsidRPr="00A51522">
        <w:tab/>
      </w:r>
      <w:r w:rsidR="00EE7FA7" w:rsidRPr="00A51522">
        <w:t>Conclusion</w:t>
      </w:r>
      <w:r w:rsidR="00DB39D4" w:rsidRPr="00A51522">
        <w:t>s</w:t>
      </w:r>
    </w:p>
    <w:p w14:paraId="626917E1" w14:textId="3D5AD7C8" w:rsidR="00731B79" w:rsidRDefault="2562ABD0" w:rsidP="4FB8EC98">
      <w:pPr>
        <w:spacing w:after="120"/>
        <w:jc w:val="both"/>
      </w:pPr>
      <w:r>
        <w:t>In this contribution, we have discussed remaining details of R15 NR PDCCH design. Based on the discussion, we make the following proposals and observations</w:t>
      </w:r>
      <w:r w:rsidR="008336F1">
        <w:t xml:space="preserve"> and two TPs</w:t>
      </w:r>
      <w:r>
        <w:t>:</w:t>
      </w:r>
    </w:p>
    <w:p w14:paraId="39744708" w14:textId="772194F5" w:rsidR="0026626A" w:rsidRPr="00B56F74" w:rsidRDefault="0026626A" w:rsidP="0026626A">
      <w:pPr>
        <w:jc w:val="both"/>
        <w:rPr>
          <w:i/>
          <w:iCs/>
        </w:rPr>
      </w:pPr>
      <w:bookmarkStart w:id="4" w:name="_Hlk505720451"/>
      <w:r w:rsidRPr="2562ABD0">
        <w:rPr>
          <w:b/>
          <w:bCs/>
          <w:i/>
          <w:iCs/>
        </w:rPr>
        <w:t>Observation-1</w:t>
      </w:r>
      <w:r w:rsidRPr="2562ABD0">
        <w:rPr>
          <w:i/>
          <w:iCs/>
        </w:rPr>
        <w:t>: TCI states configured in pdsch-Config</w:t>
      </w:r>
      <w:r w:rsidR="008336F1">
        <w:rPr>
          <w:i/>
          <w:iCs/>
        </w:rPr>
        <w:t xml:space="preserve"> IE</w:t>
      </w:r>
      <w:r w:rsidRPr="2562ABD0">
        <w:rPr>
          <w:i/>
          <w:iCs/>
        </w:rPr>
        <w:t xml:space="preserve"> are only re-indexed in ControlResrouceSet configuration IE.</w:t>
      </w:r>
    </w:p>
    <w:p w14:paraId="3CD5BDE5" w14:textId="77777777" w:rsidR="0026626A" w:rsidRDefault="0026626A" w:rsidP="0026626A">
      <w:pPr>
        <w:rPr>
          <w:i/>
          <w:iCs/>
          <w:lang w:val="en-US"/>
        </w:rPr>
      </w:pPr>
      <w:r w:rsidRPr="2562ABD0">
        <w:rPr>
          <w:b/>
          <w:bCs/>
          <w:i/>
          <w:iCs/>
          <w:lang w:val="en-US"/>
        </w:rPr>
        <w:lastRenderedPageBreak/>
        <w:t>Observation-2</w:t>
      </w:r>
      <w:r w:rsidRPr="2562ABD0">
        <w:rPr>
          <w:i/>
          <w:iCs/>
          <w:lang w:val="en-US"/>
        </w:rPr>
        <w:t xml:space="preserve">: tci-StatesPDCCH-ToAddList IE in ControlResourceSet IE is useful only if gNB wants to configure </w:t>
      </w:r>
      <w:r>
        <w:rPr>
          <w:i/>
          <w:iCs/>
          <w:lang w:val="en-US"/>
        </w:rPr>
        <w:t>default</w:t>
      </w:r>
      <w:r w:rsidRPr="2562ABD0">
        <w:rPr>
          <w:i/>
          <w:iCs/>
          <w:lang w:val="en-US"/>
        </w:rPr>
        <w:t xml:space="preserve"> </w:t>
      </w:r>
      <w:r>
        <w:rPr>
          <w:i/>
          <w:iCs/>
          <w:lang w:val="en-US"/>
        </w:rPr>
        <w:t>TCI state</w:t>
      </w:r>
      <w:r w:rsidRPr="2562ABD0">
        <w:rPr>
          <w:i/>
          <w:iCs/>
          <w:lang w:val="en-US"/>
        </w:rPr>
        <w:t xml:space="preserve"> for PDCCH</w:t>
      </w:r>
      <w:r>
        <w:rPr>
          <w:i/>
          <w:iCs/>
          <w:lang w:val="en-US"/>
        </w:rPr>
        <w:t xml:space="preserve"> that is different for TCI state for PDSCH (as TCI state with the first index)</w:t>
      </w:r>
      <w:r w:rsidRPr="2562ABD0">
        <w:rPr>
          <w:i/>
          <w:iCs/>
          <w:lang w:val="en-US"/>
        </w:rPr>
        <w:t>.</w:t>
      </w:r>
    </w:p>
    <w:p w14:paraId="6EE2D8AC" w14:textId="77777777" w:rsidR="0026626A" w:rsidRDefault="0026626A" w:rsidP="0026626A">
      <w:pPr>
        <w:rPr>
          <w:i/>
          <w:iCs/>
          <w:lang w:val="en-US"/>
        </w:rPr>
      </w:pPr>
      <w:r w:rsidRPr="00371A6B">
        <w:rPr>
          <w:b/>
          <w:i/>
          <w:iCs/>
          <w:lang w:val="en-US"/>
        </w:rPr>
        <w:t>Observation-3:</w:t>
      </w:r>
      <w:r>
        <w:rPr>
          <w:i/>
          <w:iCs/>
          <w:lang w:val="en-US"/>
        </w:rPr>
        <w:t xml:space="preserve"> TCI state can be indicated for CORESET#0 in MAC-CE</w:t>
      </w:r>
      <w:r w:rsidRPr="2562ABD0">
        <w:rPr>
          <w:i/>
          <w:iCs/>
          <w:lang w:val="en-US"/>
        </w:rPr>
        <w:t xml:space="preserve"> </w:t>
      </w:r>
    </w:p>
    <w:p w14:paraId="0F9F4090" w14:textId="77777777" w:rsidR="0026626A" w:rsidRPr="00C16FC6" w:rsidRDefault="0026626A" w:rsidP="0026626A">
      <w:pPr>
        <w:jc w:val="both"/>
        <w:rPr>
          <w:b/>
          <w:bCs/>
          <w:i/>
          <w:iCs/>
          <w:lang w:val="en-US"/>
        </w:rPr>
      </w:pPr>
      <w:r w:rsidRPr="2562ABD0">
        <w:rPr>
          <w:b/>
          <w:bCs/>
          <w:i/>
          <w:iCs/>
          <w:lang w:val="en-US"/>
        </w:rPr>
        <w:t>Proposal-</w:t>
      </w:r>
      <w:r>
        <w:rPr>
          <w:b/>
          <w:bCs/>
          <w:i/>
          <w:iCs/>
          <w:lang w:val="en-US"/>
        </w:rPr>
        <w:t>1</w:t>
      </w:r>
      <w:r w:rsidRPr="2562ABD0">
        <w:rPr>
          <w:b/>
          <w:bCs/>
          <w:i/>
          <w:iCs/>
          <w:lang w:val="en-US"/>
        </w:rPr>
        <w:t xml:space="preserve">: </w:t>
      </w:r>
      <w:r w:rsidRPr="2562ABD0">
        <w:rPr>
          <w:i/>
          <w:iCs/>
          <w:lang w:val="en-US"/>
        </w:rPr>
        <w:t>I</w:t>
      </w:r>
      <w:r w:rsidRPr="2562ABD0">
        <w:rPr>
          <w:i/>
          <w:iCs/>
          <w:color w:val="000000" w:themeColor="text1"/>
          <w:lang w:val="en-US"/>
        </w:rPr>
        <w:t xml:space="preserve">f the starting symbol of a current monitoring occasion is separated from the last symbol of the most recent monitoring </w:t>
      </w:r>
      <w:r w:rsidRPr="0066279A">
        <w:rPr>
          <w:i/>
          <w:iCs/>
          <w:color w:val="000000" w:themeColor="text1"/>
          <w:lang w:val="en-US"/>
        </w:rPr>
        <w:t>occasion by 1 to Threshold-Sched-Offset symbols, the UE may assume that the DM-RS of PDCCHs in t</w:t>
      </w:r>
      <w:r w:rsidRPr="0066279A">
        <w:rPr>
          <w:i/>
          <w:iCs/>
          <w:lang w:val="en-US"/>
        </w:rPr>
        <w:t>he current monitoring occasion</w:t>
      </w:r>
      <w:r w:rsidRPr="0066279A">
        <w:rPr>
          <w:i/>
          <w:iCs/>
          <w:color w:val="000000" w:themeColor="text1"/>
          <w:lang w:val="en-US"/>
        </w:rPr>
        <w:t xml:space="preserve"> are quasi co-located with the RS(s) in the TCI state used for monitoring PDCCHs in the most recent monitoring occasion. Otherwise, UE assumes that the DM-RS of PDCCHs in t</w:t>
      </w:r>
      <w:r w:rsidRPr="0066279A">
        <w:rPr>
          <w:i/>
          <w:iCs/>
          <w:lang w:val="en-US"/>
        </w:rPr>
        <w:t>he current monitoring occasion</w:t>
      </w:r>
      <w:r w:rsidRPr="0066279A">
        <w:rPr>
          <w:i/>
          <w:iCs/>
          <w:color w:val="000000" w:themeColor="text1"/>
          <w:lang w:val="en-US"/>
        </w:rPr>
        <w:t xml:space="preserve"> are quasi co-located with the RS(s) in the TCI state indicated for the CORESET with the lowest ID among CORESETs associated with monitoring occasions with the same starting symbol.</w:t>
      </w:r>
    </w:p>
    <w:p w14:paraId="6B7C9460" w14:textId="77777777" w:rsidR="0026626A" w:rsidRDefault="0026626A" w:rsidP="0026626A">
      <w:r w:rsidRPr="2562ABD0">
        <w:rPr>
          <w:b/>
          <w:bCs/>
          <w:i/>
          <w:iCs/>
          <w:lang w:val="en-US"/>
        </w:rPr>
        <w:t>Proposal-</w:t>
      </w:r>
      <w:r>
        <w:rPr>
          <w:b/>
          <w:bCs/>
          <w:i/>
          <w:iCs/>
          <w:lang w:val="en-US"/>
        </w:rPr>
        <w:t>2</w:t>
      </w:r>
      <w:r w:rsidRPr="2562ABD0">
        <w:rPr>
          <w:i/>
          <w:iCs/>
          <w:lang w:val="en-US"/>
        </w:rPr>
        <w:t>: A numerology of serving cell for BD/CCE limit is determined by the BWP with the lowest configured SCS in the serving cell. The BD/CCE limits of other BWP of the serving cell are linearly scaled down and rounded.</w:t>
      </w:r>
    </w:p>
    <w:p w14:paraId="25550C54" w14:textId="77777777" w:rsidR="0026626A" w:rsidRDefault="0026626A" w:rsidP="0026626A">
      <w:pPr>
        <w:rPr>
          <w:iCs/>
        </w:rPr>
      </w:pPr>
      <w:r>
        <w:rPr>
          <w:b/>
          <w:bCs/>
          <w:i/>
          <w:iCs/>
        </w:rPr>
        <w:t>Proposal-3</w:t>
      </w:r>
      <w:r w:rsidRPr="2562ABD0">
        <w:rPr>
          <w:b/>
          <w:bCs/>
          <w:i/>
          <w:iCs/>
        </w:rPr>
        <w:t>:</w:t>
      </w:r>
      <w:r w:rsidRPr="2562ABD0">
        <w:rPr>
          <w:i/>
          <w:iCs/>
        </w:rPr>
        <w:t xml:space="preserve"> Kindly ask RAN2 to update consistency rule of pdcch-ConfigCommon with the following “pdcch-ConfigCommon does not need to be consistent with pdcch-ConfigCommonSIB1 on a BWP, if the BWP does not contain CD-SSB.</w:t>
      </w:r>
      <w:r>
        <w:t xml:space="preserve"> </w:t>
      </w:r>
    </w:p>
    <w:p w14:paraId="4AC6CA42" w14:textId="384BC8AE" w:rsidR="0026626A" w:rsidRPr="0026626A" w:rsidRDefault="0026626A" w:rsidP="0026626A">
      <w:pPr>
        <w:rPr>
          <w:i/>
          <w:iCs/>
        </w:rPr>
      </w:pPr>
      <w:r w:rsidRPr="0026626A">
        <w:rPr>
          <w:b/>
          <w:bCs/>
          <w:i/>
          <w:iCs/>
        </w:rPr>
        <w:t>Proposal-</w:t>
      </w:r>
      <w:r>
        <w:rPr>
          <w:b/>
          <w:bCs/>
          <w:i/>
          <w:iCs/>
        </w:rPr>
        <w:t>4</w:t>
      </w:r>
      <w:r w:rsidRPr="0026626A">
        <w:rPr>
          <w:b/>
          <w:bCs/>
          <w:i/>
          <w:iCs/>
        </w:rPr>
        <w:t xml:space="preserve">: </w:t>
      </w:r>
      <w:r w:rsidRPr="0026626A">
        <w:rPr>
          <w:i/>
          <w:iCs/>
        </w:rPr>
        <w:t>For determination of monitoring occasions for paging and OSI in a CORESET for which a TCI state has been indicated</w:t>
      </w:r>
    </w:p>
    <w:p w14:paraId="474A145A" w14:textId="77777777" w:rsidR="0026626A" w:rsidRPr="0026626A" w:rsidRDefault="0026626A" w:rsidP="0026626A">
      <w:pPr>
        <w:pStyle w:val="ListParagraph"/>
        <w:numPr>
          <w:ilvl w:val="0"/>
          <w:numId w:val="29"/>
        </w:numPr>
        <w:rPr>
          <w:i/>
          <w:iCs/>
          <w:sz w:val="20"/>
          <w:szCs w:val="20"/>
          <w:lang w:val="en-US"/>
        </w:rPr>
      </w:pPr>
      <w:r w:rsidRPr="0026626A">
        <w:rPr>
          <w:rFonts w:eastAsia="Times New Roman"/>
          <w:i/>
          <w:iCs/>
          <w:sz w:val="20"/>
          <w:szCs w:val="20"/>
          <w:lang w:val="en-US"/>
        </w:rPr>
        <w:t>if the TCI state is with QCL-D TRS/CSI-RS having a SSB as source, a UE would monitor default/non-default (up to IA AI) association for the SSB.</w:t>
      </w:r>
    </w:p>
    <w:p w14:paraId="7FFB9A62" w14:textId="77777777" w:rsidR="0026626A" w:rsidRPr="0026626A" w:rsidRDefault="0026626A" w:rsidP="0026626A">
      <w:pPr>
        <w:pStyle w:val="ListParagraph"/>
        <w:numPr>
          <w:ilvl w:val="0"/>
          <w:numId w:val="29"/>
        </w:numPr>
        <w:rPr>
          <w:i/>
          <w:iCs/>
          <w:sz w:val="20"/>
          <w:szCs w:val="20"/>
          <w:lang w:val="en-US"/>
        </w:rPr>
      </w:pPr>
      <w:r w:rsidRPr="0026626A">
        <w:rPr>
          <w:i/>
          <w:iCs/>
          <w:sz w:val="20"/>
          <w:szCs w:val="20"/>
          <w:lang w:val="en-US"/>
        </w:rPr>
        <w:t xml:space="preserve">if the TCI state is with QCL-D TRS/CSI-RS </w:t>
      </w:r>
      <w:r w:rsidRPr="0026626A">
        <w:rPr>
          <w:i/>
          <w:iCs/>
          <w:sz w:val="20"/>
          <w:szCs w:val="20"/>
          <w:u w:val="single"/>
          <w:lang w:val="en-US"/>
        </w:rPr>
        <w:t>not</w:t>
      </w:r>
      <w:r w:rsidRPr="0026626A">
        <w:rPr>
          <w:i/>
          <w:iCs/>
          <w:sz w:val="20"/>
          <w:szCs w:val="20"/>
          <w:lang w:val="en-US"/>
        </w:rPr>
        <w:t xml:space="preserve"> having SSB as source, a UE monitors all the monitoring occasions within the OSI/paging window/occasion defined be by SearchSpace using the QCL-D provided by the TCI state.</w:t>
      </w:r>
    </w:p>
    <w:p w14:paraId="2F0729C1" w14:textId="77777777" w:rsidR="0034111C" w:rsidRPr="00BD5468" w:rsidRDefault="2562ABD0" w:rsidP="00495C73">
      <w:pPr>
        <w:pStyle w:val="Heading1"/>
      </w:pPr>
      <w:r>
        <w:t xml:space="preserve">References </w:t>
      </w:r>
      <w:bookmarkEnd w:id="4"/>
    </w:p>
    <w:p w14:paraId="78A8752D" w14:textId="5549452E" w:rsidR="003B049E" w:rsidRDefault="2562ABD0" w:rsidP="2562ABD0">
      <w:pPr>
        <w:numPr>
          <w:ilvl w:val="0"/>
          <w:numId w:val="1"/>
        </w:numPr>
        <w:rPr>
          <w:sz w:val="18"/>
          <w:szCs w:val="18"/>
        </w:rPr>
      </w:pPr>
      <w:bookmarkStart w:id="5" w:name="_Ref513636775"/>
      <w:bookmarkStart w:id="6" w:name="_Ref521507789"/>
      <w:bookmarkStart w:id="7" w:name="_Ref525763458"/>
      <w:r w:rsidRPr="2562ABD0">
        <w:rPr>
          <w:sz w:val="18"/>
          <w:szCs w:val="18"/>
        </w:rPr>
        <w:t>R2-1813467, “</w:t>
      </w:r>
      <w:r w:rsidRPr="2562ABD0">
        <w:rPr>
          <w:i/>
          <w:iCs/>
          <w:sz w:val="18"/>
          <w:szCs w:val="18"/>
        </w:rPr>
        <w:t>LS on corrections to CSS configurations</w:t>
      </w:r>
      <w:r w:rsidRPr="2562ABD0">
        <w:rPr>
          <w:sz w:val="18"/>
          <w:szCs w:val="18"/>
        </w:rPr>
        <w:t>”, QC</w:t>
      </w:r>
      <w:bookmarkEnd w:id="5"/>
      <w:bookmarkEnd w:id="6"/>
      <w:bookmarkEnd w:id="7"/>
    </w:p>
    <w:p w14:paraId="4FE2DADE" w14:textId="3932C5B5" w:rsidR="000C0530" w:rsidRDefault="000C0530" w:rsidP="00BA675D">
      <w:pPr>
        <w:ind w:left="357"/>
        <w:rPr>
          <w:sz w:val="18"/>
        </w:rPr>
      </w:pPr>
    </w:p>
    <w:p w14:paraId="6BD77084" w14:textId="77777777" w:rsidR="000C0530" w:rsidRDefault="000C0530" w:rsidP="00BA675D">
      <w:pPr>
        <w:ind w:left="357"/>
        <w:rPr>
          <w:sz w:val="18"/>
        </w:rPr>
      </w:pPr>
    </w:p>
    <w:sectPr w:rsidR="000C0530" w:rsidSect="008671B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ECE1E" w14:textId="77777777" w:rsidR="0058771D" w:rsidRDefault="0058771D">
      <w:r>
        <w:separator/>
      </w:r>
    </w:p>
  </w:endnote>
  <w:endnote w:type="continuationSeparator" w:id="0">
    <w:p w14:paraId="1471EAF2" w14:textId="77777777" w:rsidR="0058771D" w:rsidRDefault="0058771D">
      <w:r>
        <w:continuationSeparator/>
      </w:r>
    </w:p>
  </w:endnote>
  <w:endnote w:type="continuationNotice" w:id="1">
    <w:p w14:paraId="7EF0156B" w14:textId="77777777" w:rsidR="0058771D" w:rsidRDefault="005877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Segoe UI Emoji">
    <w:altName w:val="Segoe UI Emoji"/>
    <w:charset w:val="00"/>
    <w:family w:val="swiss"/>
    <w:pitch w:val="variable"/>
    <w:sig w:usb0="00000003" w:usb1="02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0CA39" w14:textId="77777777" w:rsidR="0058771D" w:rsidRDefault="0058771D">
      <w:r>
        <w:separator/>
      </w:r>
    </w:p>
  </w:footnote>
  <w:footnote w:type="continuationSeparator" w:id="0">
    <w:p w14:paraId="17D015CE" w14:textId="77777777" w:rsidR="0058771D" w:rsidRDefault="0058771D">
      <w:r>
        <w:continuationSeparator/>
      </w:r>
    </w:p>
  </w:footnote>
  <w:footnote w:type="continuationNotice" w:id="1">
    <w:p w14:paraId="713D75EB" w14:textId="77777777" w:rsidR="0058771D" w:rsidRDefault="005877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323D5C"/>
    <w:multiLevelType w:val="hybridMultilevel"/>
    <w:tmpl w:val="6A0A7332"/>
    <w:lvl w:ilvl="0" w:tplc="EEDAC650">
      <w:start w:val="7"/>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264443"/>
    <w:multiLevelType w:val="hybridMultilevel"/>
    <w:tmpl w:val="09626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E7868"/>
    <w:multiLevelType w:val="hybridMultilevel"/>
    <w:tmpl w:val="08FCF034"/>
    <w:lvl w:ilvl="0" w:tplc="93884102">
      <w:start w:val="1"/>
      <w:numFmt w:val="bullet"/>
      <w:lvlText w:val="•"/>
      <w:lvlJc w:val="left"/>
      <w:pPr>
        <w:tabs>
          <w:tab w:val="num" w:pos="720"/>
        </w:tabs>
        <w:ind w:left="720" w:hanging="360"/>
      </w:pPr>
      <w:rPr>
        <w:rFonts w:ascii="Arial" w:hAnsi="Arial" w:hint="default"/>
      </w:rPr>
    </w:lvl>
    <w:lvl w:ilvl="1" w:tplc="5A668750">
      <w:numFmt w:val="bullet"/>
      <w:lvlText w:val="•"/>
      <w:lvlJc w:val="left"/>
      <w:pPr>
        <w:tabs>
          <w:tab w:val="num" w:pos="1440"/>
        </w:tabs>
        <w:ind w:left="1440" w:hanging="360"/>
      </w:pPr>
      <w:rPr>
        <w:rFonts w:ascii="Arial" w:hAnsi="Arial" w:hint="default"/>
      </w:rPr>
    </w:lvl>
    <w:lvl w:ilvl="2" w:tplc="8BDCED5C">
      <w:numFmt w:val="bullet"/>
      <w:lvlText w:val="•"/>
      <w:lvlJc w:val="left"/>
      <w:pPr>
        <w:tabs>
          <w:tab w:val="num" w:pos="2160"/>
        </w:tabs>
        <w:ind w:left="2160" w:hanging="360"/>
      </w:pPr>
      <w:rPr>
        <w:rFonts w:ascii="Arial" w:hAnsi="Arial" w:hint="default"/>
      </w:rPr>
    </w:lvl>
    <w:lvl w:ilvl="3" w:tplc="668CA1A0">
      <w:numFmt w:val="bullet"/>
      <w:lvlText w:val="•"/>
      <w:lvlJc w:val="left"/>
      <w:pPr>
        <w:tabs>
          <w:tab w:val="num" w:pos="2880"/>
        </w:tabs>
        <w:ind w:left="2880" w:hanging="360"/>
      </w:pPr>
      <w:rPr>
        <w:rFonts w:ascii="Arial" w:hAnsi="Arial" w:hint="default"/>
      </w:rPr>
    </w:lvl>
    <w:lvl w:ilvl="4" w:tplc="20944AAE" w:tentative="1">
      <w:start w:val="1"/>
      <w:numFmt w:val="bullet"/>
      <w:lvlText w:val="•"/>
      <w:lvlJc w:val="left"/>
      <w:pPr>
        <w:tabs>
          <w:tab w:val="num" w:pos="3600"/>
        </w:tabs>
        <w:ind w:left="3600" w:hanging="360"/>
      </w:pPr>
      <w:rPr>
        <w:rFonts w:ascii="Arial" w:hAnsi="Arial" w:hint="default"/>
      </w:rPr>
    </w:lvl>
    <w:lvl w:ilvl="5" w:tplc="6A861AFA" w:tentative="1">
      <w:start w:val="1"/>
      <w:numFmt w:val="bullet"/>
      <w:lvlText w:val="•"/>
      <w:lvlJc w:val="left"/>
      <w:pPr>
        <w:tabs>
          <w:tab w:val="num" w:pos="4320"/>
        </w:tabs>
        <w:ind w:left="4320" w:hanging="360"/>
      </w:pPr>
      <w:rPr>
        <w:rFonts w:ascii="Arial" w:hAnsi="Arial" w:hint="default"/>
      </w:rPr>
    </w:lvl>
    <w:lvl w:ilvl="6" w:tplc="54ACC6E6" w:tentative="1">
      <w:start w:val="1"/>
      <w:numFmt w:val="bullet"/>
      <w:lvlText w:val="•"/>
      <w:lvlJc w:val="left"/>
      <w:pPr>
        <w:tabs>
          <w:tab w:val="num" w:pos="5040"/>
        </w:tabs>
        <w:ind w:left="5040" w:hanging="360"/>
      </w:pPr>
      <w:rPr>
        <w:rFonts w:ascii="Arial" w:hAnsi="Arial" w:hint="default"/>
      </w:rPr>
    </w:lvl>
    <w:lvl w:ilvl="7" w:tplc="D9AAD258" w:tentative="1">
      <w:start w:val="1"/>
      <w:numFmt w:val="bullet"/>
      <w:lvlText w:val="•"/>
      <w:lvlJc w:val="left"/>
      <w:pPr>
        <w:tabs>
          <w:tab w:val="num" w:pos="5760"/>
        </w:tabs>
        <w:ind w:left="5760" w:hanging="360"/>
      </w:pPr>
      <w:rPr>
        <w:rFonts w:ascii="Arial" w:hAnsi="Arial" w:hint="default"/>
      </w:rPr>
    </w:lvl>
    <w:lvl w:ilvl="8" w:tplc="FE4EC0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737160"/>
    <w:multiLevelType w:val="hybridMultilevel"/>
    <w:tmpl w:val="86D29D36"/>
    <w:lvl w:ilvl="0" w:tplc="879C0F76">
      <w:start w:val="1"/>
      <w:numFmt w:val="bullet"/>
      <w:lvlText w:val="o"/>
      <w:lvlJc w:val="left"/>
      <w:pPr>
        <w:tabs>
          <w:tab w:val="num" w:pos="720"/>
        </w:tabs>
        <w:ind w:left="720" w:hanging="360"/>
      </w:pPr>
      <w:rPr>
        <w:rFonts w:ascii="Courier New" w:hAnsi="Courier New" w:hint="default"/>
      </w:rPr>
    </w:lvl>
    <w:lvl w:ilvl="1" w:tplc="A40AA40C" w:tentative="1">
      <w:start w:val="1"/>
      <w:numFmt w:val="bullet"/>
      <w:lvlText w:val="o"/>
      <w:lvlJc w:val="left"/>
      <w:pPr>
        <w:tabs>
          <w:tab w:val="num" w:pos="1440"/>
        </w:tabs>
        <w:ind w:left="1440" w:hanging="360"/>
      </w:pPr>
      <w:rPr>
        <w:rFonts w:ascii="Courier New" w:hAnsi="Courier New" w:hint="default"/>
      </w:rPr>
    </w:lvl>
    <w:lvl w:ilvl="2" w:tplc="04EAEAD8" w:tentative="1">
      <w:start w:val="1"/>
      <w:numFmt w:val="bullet"/>
      <w:lvlText w:val="o"/>
      <w:lvlJc w:val="left"/>
      <w:pPr>
        <w:tabs>
          <w:tab w:val="num" w:pos="2160"/>
        </w:tabs>
        <w:ind w:left="2160" w:hanging="360"/>
      </w:pPr>
      <w:rPr>
        <w:rFonts w:ascii="Courier New" w:hAnsi="Courier New" w:hint="default"/>
      </w:rPr>
    </w:lvl>
    <w:lvl w:ilvl="3" w:tplc="E6841100" w:tentative="1">
      <w:start w:val="1"/>
      <w:numFmt w:val="bullet"/>
      <w:lvlText w:val="o"/>
      <w:lvlJc w:val="left"/>
      <w:pPr>
        <w:tabs>
          <w:tab w:val="num" w:pos="2880"/>
        </w:tabs>
        <w:ind w:left="2880" w:hanging="360"/>
      </w:pPr>
      <w:rPr>
        <w:rFonts w:ascii="Courier New" w:hAnsi="Courier New" w:hint="default"/>
      </w:rPr>
    </w:lvl>
    <w:lvl w:ilvl="4" w:tplc="AE10519A" w:tentative="1">
      <w:start w:val="1"/>
      <w:numFmt w:val="bullet"/>
      <w:lvlText w:val="o"/>
      <w:lvlJc w:val="left"/>
      <w:pPr>
        <w:tabs>
          <w:tab w:val="num" w:pos="3600"/>
        </w:tabs>
        <w:ind w:left="3600" w:hanging="360"/>
      </w:pPr>
      <w:rPr>
        <w:rFonts w:ascii="Courier New" w:hAnsi="Courier New" w:hint="default"/>
      </w:rPr>
    </w:lvl>
    <w:lvl w:ilvl="5" w:tplc="1BF4D324" w:tentative="1">
      <w:start w:val="1"/>
      <w:numFmt w:val="bullet"/>
      <w:lvlText w:val="o"/>
      <w:lvlJc w:val="left"/>
      <w:pPr>
        <w:tabs>
          <w:tab w:val="num" w:pos="4320"/>
        </w:tabs>
        <w:ind w:left="4320" w:hanging="360"/>
      </w:pPr>
      <w:rPr>
        <w:rFonts w:ascii="Courier New" w:hAnsi="Courier New" w:hint="default"/>
      </w:rPr>
    </w:lvl>
    <w:lvl w:ilvl="6" w:tplc="B740A8C8" w:tentative="1">
      <w:start w:val="1"/>
      <w:numFmt w:val="bullet"/>
      <w:lvlText w:val="o"/>
      <w:lvlJc w:val="left"/>
      <w:pPr>
        <w:tabs>
          <w:tab w:val="num" w:pos="5040"/>
        </w:tabs>
        <w:ind w:left="5040" w:hanging="360"/>
      </w:pPr>
      <w:rPr>
        <w:rFonts w:ascii="Courier New" w:hAnsi="Courier New" w:hint="default"/>
      </w:rPr>
    </w:lvl>
    <w:lvl w:ilvl="7" w:tplc="A272671E" w:tentative="1">
      <w:start w:val="1"/>
      <w:numFmt w:val="bullet"/>
      <w:lvlText w:val="o"/>
      <w:lvlJc w:val="left"/>
      <w:pPr>
        <w:tabs>
          <w:tab w:val="num" w:pos="5760"/>
        </w:tabs>
        <w:ind w:left="5760" w:hanging="360"/>
      </w:pPr>
      <w:rPr>
        <w:rFonts w:ascii="Courier New" w:hAnsi="Courier New" w:hint="default"/>
      </w:rPr>
    </w:lvl>
    <w:lvl w:ilvl="8" w:tplc="5AE437C8"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26B343D"/>
    <w:multiLevelType w:val="hybridMultilevel"/>
    <w:tmpl w:val="7E04DCBA"/>
    <w:lvl w:ilvl="0" w:tplc="4ADE7B5A">
      <w:start w:val="1"/>
      <w:numFmt w:val="bullet"/>
      <w:lvlText w:val=""/>
      <w:lvlJc w:val="left"/>
      <w:pPr>
        <w:tabs>
          <w:tab w:val="num" w:pos="720"/>
        </w:tabs>
        <w:ind w:left="720" w:hanging="360"/>
      </w:pPr>
      <w:rPr>
        <w:rFonts w:ascii="Symbol" w:hAnsi="Symbol" w:hint="default"/>
      </w:rPr>
    </w:lvl>
    <w:lvl w:ilvl="1" w:tplc="AA9E057A">
      <w:numFmt w:val="bullet"/>
      <w:lvlText w:val=""/>
      <w:lvlJc w:val="left"/>
      <w:pPr>
        <w:tabs>
          <w:tab w:val="num" w:pos="1440"/>
        </w:tabs>
        <w:ind w:left="1440" w:hanging="360"/>
      </w:pPr>
      <w:rPr>
        <w:rFonts w:ascii="Symbol" w:hAnsi="Symbol" w:hint="default"/>
      </w:rPr>
    </w:lvl>
    <w:lvl w:ilvl="2" w:tplc="554A4B02">
      <w:numFmt w:val="bullet"/>
      <w:lvlText w:val=""/>
      <w:lvlJc w:val="left"/>
      <w:pPr>
        <w:tabs>
          <w:tab w:val="num" w:pos="2160"/>
        </w:tabs>
        <w:ind w:left="2160" w:hanging="360"/>
      </w:pPr>
      <w:rPr>
        <w:rFonts w:ascii="Wingdings" w:hAnsi="Wingdings" w:hint="default"/>
      </w:rPr>
    </w:lvl>
    <w:lvl w:ilvl="3" w:tplc="172C3938" w:tentative="1">
      <w:start w:val="1"/>
      <w:numFmt w:val="bullet"/>
      <w:lvlText w:val=""/>
      <w:lvlJc w:val="left"/>
      <w:pPr>
        <w:tabs>
          <w:tab w:val="num" w:pos="2880"/>
        </w:tabs>
        <w:ind w:left="2880" w:hanging="360"/>
      </w:pPr>
      <w:rPr>
        <w:rFonts w:ascii="Symbol" w:hAnsi="Symbol" w:hint="default"/>
      </w:rPr>
    </w:lvl>
    <w:lvl w:ilvl="4" w:tplc="60DE7AA0" w:tentative="1">
      <w:start w:val="1"/>
      <w:numFmt w:val="bullet"/>
      <w:lvlText w:val=""/>
      <w:lvlJc w:val="left"/>
      <w:pPr>
        <w:tabs>
          <w:tab w:val="num" w:pos="3600"/>
        </w:tabs>
        <w:ind w:left="3600" w:hanging="360"/>
      </w:pPr>
      <w:rPr>
        <w:rFonts w:ascii="Symbol" w:hAnsi="Symbol" w:hint="default"/>
      </w:rPr>
    </w:lvl>
    <w:lvl w:ilvl="5" w:tplc="EFA2AD38" w:tentative="1">
      <w:start w:val="1"/>
      <w:numFmt w:val="bullet"/>
      <w:lvlText w:val=""/>
      <w:lvlJc w:val="left"/>
      <w:pPr>
        <w:tabs>
          <w:tab w:val="num" w:pos="4320"/>
        </w:tabs>
        <w:ind w:left="4320" w:hanging="360"/>
      </w:pPr>
      <w:rPr>
        <w:rFonts w:ascii="Symbol" w:hAnsi="Symbol" w:hint="default"/>
      </w:rPr>
    </w:lvl>
    <w:lvl w:ilvl="6" w:tplc="BA828CC0" w:tentative="1">
      <w:start w:val="1"/>
      <w:numFmt w:val="bullet"/>
      <w:lvlText w:val=""/>
      <w:lvlJc w:val="left"/>
      <w:pPr>
        <w:tabs>
          <w:tab w:val="num" w:pos="5040"/>
        </w:tabs>
        <w:ind w:left="5040" w:hanging="360"/>
      </w:pPr>
      <w:rPr>
        <w:rFonts w:ascii="Symbol" w:hAnsi="Symbol" w:hint="default"/>
      </w:rPr>
    </w:lvl>
    <w:lvl w:ilvl="7" w:tplc="3C2CECB6" w:tentative="1">
      <w:start w:val="1"/>
      <w:numFmt w:val="bullet"/>
      <w:lvlText w:val=""/>
      <w:lvlJc w:val="left"/>
      <w:pPr>
        <w:tabs>
          <w:tab w:val="num" w:pos="5760"/>
        </w:tabs>
        <w:ind w:left="5760" w:hanging="360"/>
      </w:pPr>
      <w:rPr>
        <w:rFonts w:ascii="Symbol" w:hAnsi="Symbol" w:hint="default"/>
      </w:rPr>
    </w:lvl>
    <w:lvl w:ilvl="8" w:tplc="84CC139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B1AD6"/>
    <w:multiLevelType w:val="hybridMultilevel"/>
    <w:tmpl w:val="6A4E9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FB431F"/>
    <w:multiLevelType w:val="hybridMultilevel"/>
    <w:tmpl w:val="935A7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7D3F9D"/>
    <w:multiLevelType w:val="hybridMultilevel"/>
    <w:tmpl w:val="3FF4BF32"/>
    <w:lvl w:ilvl="0" w:tplc="94307F80">
      <w:start w:val="1"/>
      <w:numFmt w:val="bullet"/>
      <w:lvlText w:val="•"/>
      <w:lvlJc w:val="left"/>
      <w:pPr>
        <w:tabs>
          <w:tab w:val="num" w:pos="720"/>
        </w:tabs>
        <w:ind w:left="720" w:hanging="360"/>
      </w:pPr>
      <w:rPr>
        <w:rFonts w:ascii="Arial" w:hAnsi="Arial" w:hint="default"/>
      </w:rPr>
    </w:lvl>
    <w:lvl w:ilvl="1" w:tplc="D8D61734" w:tentative="1">
      <w:start w:val="1"/>
      <w:numFmt w:val="bullet"/>
      <w:lvlText w:val="•"/>
      <w:lvlJc w:val="left"/>
      <w:pPr>
        <w:tabs>
          <w:tab w:val="num" w:pos="1440"/>
        </w:tabs>
        <w:ind w:left="1440" w:hanging="360"/>
      </w:pPr>
      <w:rPr>
        <w:rFonts w:ascii="Arial" w:hAnsi="Arial" w:hint="default"/>
      </w:rPr>
    </w:lvl>
    <w:lvl w:ilvl="2" w:tplc="823824DC" w:tentative="1">
      <w:start w:val="1"/>
      <w:numFmt w:val="bullet"/>
      <w:lvlText w:val="•"/>
      <w:lvlJc w:val="left"/>
      <w:pPr>
        <w:tabs>
          <w:tab w:val="num" w:pos="2160"/>
        </w:tabs>
        <w:ind w:left="2160" w:hanging="360"/>
      </w:pPr>
      <w:rPr>
        <w:rFonts w:ascii="Arial" w:hAnsi="Arial" w:hint="default"/>
      </w:rPr>
    </w:lvl>
    <w:lvl w:ilvl="3" w:tplc="8F6824B4" w:tentative="1">
      <w:start w:val="1"/>
      <w:numFmt w:val="bullet"/>
      <w:lvlText w:val="•"/>
      <w:lvlJc w:val="left"/>
      <w:pPr>
        <w:tabs>
          <w:tab w:val="num" w:pos="2880"/>
        </w:tabs>
        <w:ind w:left="2880" w:hanging="360"/>
      </w:pPr>
      <w:rPr>
        <w:rFonts w:ascii="Arial" w:hAnsi="Arial" w:hint="default"/>
      </w:rPr>
    </w:lvl>
    <w:lvl w:ilvl="4" w:tplc="70A83F3C" w:tentative="1">
      <w:start w:val="1"/>
      <w:numFmt w:val="bullet"/>
      <w:lvlText w:val="•"/>
      <w:lvlJc w:val="left"/>
      <w:pPr>
        <w:tabs>
          <w:tab w:val="num" w:pos="3600"/>
        </w:tabs>
        <w:ind w:left="3600" w:hanging="360"/>
      </w:pPr>
      <w:rPr>
        <w:rFonts w:ascii="Arial" w:hAnsi="Arial" w:hint="default"/>
      </w:rPr>
    </w:lvl>
    <w:lvl w:ilvl="5" w:tplc="4822BA78" w:tentative="1">
      <w:start w:val="1"/>
      <w:numFmt w:val="bullet"/>
      <w:lvlText w:val="•"/>
      <w:lvlJc w:val="left"/>
      <w:pPr>
        <w:tabs>
          <w:tab w:val="num" w:pos="4320"/>
        </w:tabs>
        <w:ind w:left="4320" w:hanging="360"/>
      </w:pPr>
      <w:rPr>
        <w:rFonts w:ascii="Arial" w:hAnsi="Arial" w:hint="default"/>
      </w:rPr>
    </w:lvl>
    <w:lvl w:ilvl="6" w:tplc="3F3AFF62" w:tentative="1">
      <w:start w:val="1"/>
      <w:numFmt w:val="bullet"/>
      <w:lvlText w:val="•"/>
      <w:lvlJc w:val="left"/>
      <w:pPr>
        <w:tabs>
          <w:tab w:val="num" w:pos="5040"/>
        </w:tabs>
        <w:ind w:left="5040" w:hanging="360"/>
      </w:pPr>
      <w:rPr>
        <w:rFonts w:ascii="Arial" w:hAnsi="Arial" w:hint="default"/>
      </w:rPr>
    </w:lvl>
    <w:lvl w:ilvl="7" w:tplc="FA12289C" w:tentative="1">
      <w:start w:val="1"/>
      <w:numFmt w:val="bullet"/>
      <w:lvlText w:val="•"/>
      <w:lvlJc w:val="left"/>
      <w:pPr>
        <w:tabs>
          <w:tab w:val="num" w:pos="5760"/>
        </w:tabs>
        <w:ind w:left="5760" w:hanging="360"/>
      </w:pPr>
      <w:rPr>
        <w:rFonts w:ascii="Arial" w:hAnsi="Arial" w:hint="default"/>
      </w:rPr>
    </w:lvl>
    <w:lvl w:ilvl="8" w:tplc="42EEFC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C944A1B"/>
    <w:multiLevelType w:val="hybridMultilevel"/>
    <w:tmpl w:val="7B7A7AC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213D7B"/>
    <w:multiLevelType w:val="hybridMultilevel"/>
    <w:tmpl w:val="AFFE2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4E77BB"/>
    <w:multiLevelType w:val="hybridMultilevel"/>
    <w:tmpl w:val="403A4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486156"/>
    <w:multiLevelType w:val="hybridMultilevel"/>
    <w:tmpl w:val="E508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1B3D76"/>
    <w:multiLevelType w:val="hybridMultilevel"/>
    <w:tmpl w:val="4C90A44A"/>
    <w:lvl w:ilvl="0" w:tplc="04090001">
      <w:start w:val="1"/>
      <w:numFmt w:val="bullet"/>
      <w:lvlText w:val=""/>
      <w:lvlJc w:val="left"/>
      <w:pPr>
        <w:ind w:left="1500" w:hanging="420"/>
      </w:pPr>
      <w:rPr>
        <w:rFonts w:ascii="Wingdings" w:hAnsi="Wingdings" w:hint="default"/>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9" w15:restartNumberingAfterBreak="0">
    <w:nsid w:val="4BDE4B20"/>
    <w:multiLevelType w:val="hybridMultilevel"/>
    <w:tmpl w:val="0B7E5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E120DA"/>
    <w:multiLevelType w:val="hybridMultilevel"/>
    <w:tmpl w:val="112C44E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D754148"/>
    <w:multiLevelType w:val="multilevel"/>
    <w:tmpl w:val="93665D9C"/>
    <w:lvl w:ilvl="0">
      <w:start w:val="1"/>
      <w:numFmt w:val="decimal"/>
      <w:pStyle w:val="Heading1"/>
      <w:lvlText w:val="%1"/>
      <w:lvlJc w:val="left"/>
      <w:pPr>
        <w:ind w:left="5961"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Times New Roman"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21D38D5"/>
    <w:multiLevelType w:val="hybridMultilevel"/>
    <w:tmpl w:val="1FB8170E"/>
    <w:lvl w:ilvl="0" w:tplc="D004CAAE">
      <w:start w:val="1"/>
      <w:numFmt w:val="bullet"/>
      <w:lvlText w:val="•"/>
      <w:lvlJc w:val="left"/>
      <w:pPr>
        <w:tabs>
          <w:tab w:val="num" w:pos="720"/>
        </w:tabs>
        <w:ind w:left="720" w:hanging="360"/>
      </w:pPr>
      <w:rPr>
        <w:rFonts w:ascii="Arial" w:hAnsi="Arial" w:hint="default"/>
      </w:rPr>
    </w:lvl>
    <w:lvl w:ilvl="1" w:tplc="22E2AD82">
      <w:numFmt w:val="bullet"/>
      <w:lvlText w:val="•"/>
      <w:lvlJc w:val="left"/>
      <w:pPr>
        <w:tabs>
          <w:tab w:val="num" w:pos="1440"/>
        </w:tabs>
        <w:ind w:left="1440" w:hanging="360"/>
      </w:pPr>
      <w:rPr>
        <w:rFonts w:ascii="Arial" w:hAnsi="Arial" w:hint="default"/>
      </w:rPr>
    </w:lvl>
    <w:lvl w:ilvl="2" w:tplc="E6CCB95E" w:tentative="1">
      <w:start w:val="1"/>
      <w:numFmt w:val="bullet"/>
      <w:lvlText w:val="•"/>
      <w:lvlJc w:val="left"/>
      <w:pPr>
        <w:tabs>
          <w:tab w:val="num" w:pos="2160"/>
        </w:tabs>
        <w:ind w:left="2160" w:hanging="360"/>
      </w:pPr>
      <w:rPr>
        <w:rFonts w:ascii="Arial" w:hAnsi="Arial" w:hint="default"/>
      </w:rPr>
    </w:lvl>
    <w:lvl w:ilvl="3" w:tplc="FE08333A" w:tentative="1">
      <w:start w:val="1"/>
      <w:numFmt w:val="bullet"/>
      <w:lvlText w:val="•"/>
      <w:lvlJc w:val="left"/>
      <w:pPr>
        <w:tabs>
          <w:tab w:val="num" w:pos="2880"/>
        </w:tabs>
        <w:ind w:left="2880" w:hanging="360"/>
      </w:pPr>
      <w:rPr>
        <w:rFonts w:ascii="Arial" w:hAnsi="Arial" w:hint="default"/>
      </w:rPr>
    </w:lvl>
    <w:lvl w:ilvl="4" w:tplc="AAE0CCCA" w:tentative="1">
      <w:start w:val="1"/>
      <w:numFmt w:val="bullet"/>
      <w:lvlText w:val="•"/>
      <w:lvlJc w:val="left"/>
      <w:pPr>
        <w:tabs>
          <w:tab w:val="num" w:pos="3600"/>
        </w:tabs>
        <w:ind w:left="3600" w:hanging="360"/>
      </w:pPr>
      <w:rPr>
        <w:rFonts w:ascii="Arial" w:hAnsi="Arial" w:hint="default"/>
      </w:rPr>
    </w:lvl>
    <w:lvl w:ilvl="5" w:tplc="1360BB70" w:tentative="1">
      <w:start w:val="1"/>
      <w:numFmt w:val="bullet"/>
      <w:lvlText w:val="•"/>
      <w:lvlJc w:val="left"/>
      <w:pPr>
        <w:tabs>
          <w:tab w:val="num" w:pos="4320"/>
        </w:tabs>
        <w:ind w:left="4320" w:hanging="360"/>
      </w:pPr>
      <w:rPr>
        <w:rFonts w:ascii="Arial" w:hAnsi="Arial" w:hint="default"/>
      </w:rPr>
    </w:lvl>
    <w:lvl w:ilvl="6" w:tplc="6F8CD216" w:tentative="1">
      <w:start w:val="1"/>
      <w:numFmt w:val="bullet"/>
      <w:lvlText w:val="•"/>
      <w:lvlJc w:val="left"/>
      <w:pPr>
        <w:tabs>
          <w:tab w:val="num" w:pos="5040"/>
        </w:tabs>
        <w:ind w:left="5040" w:hanging="360"/>
      </w:pPr>
      <w:rPr>
        <w:rFonts w:ascii="Arial" w:hAnsi="Arial" w:hint="default"/>
      </w:rPr>
    </w:lvl>
    <w:lvl w:ilvl="7" w:tplc="561C00CA" w:tentative="1">
      <w:start w:val="1"/>
      <w:numFmt w:val="bullet"/>
      <w:lvlText w:val="•"/>
      <w:lvlJc w:val="left"/>
      <w:pPr>
        <w:tabs>
          <w:tab w:val="num" w:pos="5760"/>
        </w:tabs>
        <w:ind w:left="5760" w:hanging="360"/>
      </w:pPr>
      <w:rPr>
        <w:rFonts w:ascii="Arial" w:hAnsi="Arial" w:hint="default"/>
      </w:rPr>
    </w:lvl>
    <w:lvl w:ilvl="8" w:tplc="C004E1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2307E9"/>
    <w:multiLevelType w:val="hybridMultilevel"/>
    <w:tmpl w:val="2EB076A2"/>
    <w:lvl w:ilvl="0" w:tplc="822073BE">
      <w:start w:val="1"/>
      <w:numFmt w:val="bullet"/>
      <w:lvlText w:val="•"/>
      <w:lvlJc w:val="left"/>
      <w:pPr>
        <w:tabs>
          <w:tab w:val="num" w:pos="720"/>
        </w:tabs>
        <w:ind w:left="720" w:hanging="360"/>
      </w:pPr>
      <w:rPr>
        <w:rFonts w:ascii="Arial" w:hAnsi="Arial" w:hint="default"/>
      </w:rPr>
    </w:lvl>
    <w:lvl w:ilvl="1" w:tplc="99945CE4" w:tentative="1">
      <w:start w:val="1"/>
      <w:numFmt w:val="bullet"/>
      <w:lvlText w:val="•"/>
      <w:lvlJc w:val="left"/>
      <w:pPr>
        <w:tabs>
          <w:tab w:val="num" w:pos="1440"/>
        </w:tabs>
        <w:ind w:left="1440" w:hanging="360"/>
      </w:pPr>
      <w:rPr>
        <w:rFonts w:ascii="Arial" w:hAnsi="Arial" w:hint="default"/>
      </w:rPr>
    </w:lvl>
    <w:lvl w:ilvl="2" w:tplc="09FED3F4" w:tentative="1">
      <w:start w:val="1"/>
      <w:numFmt w:val="bullet"/>
      <w:lvlText w:val="•"/>
      <w:lvlJc w:val="left"/>
      <w:pPr>
        <w:tabs>
          <w:tab w:val="num" w:pos="2160"/>
        </w:tabs>
        <w:ind w:left="2160" w:hanging="360"/>
      </w:pPr>
      <w:rPr>
        <w:rFonts w:ascii="Arial" w:hAnsi="Arial" w:hint="default"/>
      </w:rPr>
    </w:lvl>
    <w:lvl w:ilvl="3" w:tplc="D55CB98A" w:tentative="1">
      <w:start w:val="1"/>
      <w:numFmt w:val="bullet"/>
      <w:lvlText w:val="•"/>
      <w:lvlJc w:val="left"/>
      <w:pPr>
        <w:tabs>
          <w:tab w:val="num" w:pos="2880"/>
        </w:tabs>
        <w:ind w:left="2880" w:hanging="360"/>
      </w:pPr>
      <w:rPr>
        <w:rFonts w:ascii="Arial" w:hAnsi="Arial" w:hint="default"/>
      </w:rPr>
    </w:lvl>
    <w:lvl w:ilvl="4" w:tplc="77F0979A" w:tentative="1">
      <w:start w:val="1"/>
      <w:numFmt w:val="bullet"/>
      <w:lvlText w:val="•"/>
      <w:lvlJc w:val="left"/>
      <w:pPr>
        <w:tabs>
          <w:tab w:val="num" w:pos="3600"/>
        </w:tabs>
        <w:ind w:left="3600" w:hanging="360"/>
      </w:pPr>
      <w:rPr>
        <w:rFonts w:ascii="Arial" w:hAnsi="Arial" w:hint="default"/>
      </w:rPr>
    </w:lvl>
    <w:lvl w:ilvl="5" w:tplc="877E5466" w:tentative="1">
      <w:start w:val="1"/>
      <w:numFmt w:val="bullet"/>
      <w:lvlText w:val="•"/>
      <w:lvlJc w:val="left"/>
      <w:pPr>
        <w:tabs>
          <w:tab w:val="num" w:pos="4320"/>
        </w:tabs>
        <w:ind w:left="4320" w:hanging="360"/>
      </w:pPr>
      <w:rPr>
        <w:rFonts w:ascii="Arial" w:hAnsi="Arial" w:hint="default"/>
      </w:rPr>
    </w:lvl>
    <w:lvl w:ilvl="6" w:tplc="61A6A242" w:tentative="1">
      <w:start w:val="1"/>
      <w:numFmt w:val="bullet"/>
      <w:lvlText w:val="•"/>
      <w:lvlJc w:val="left"/>
      <w:pPr>
        <w:tabs>
          <w:tab w:val="num" w:pos="5040"/>
        </w:tabs>
        <w:ind w:left="5040" w:hanging="360"/>
      </w:pPr>
      <w:rPr>
        <w:rFonts w:ascii="Arial" w:hAnsi="Arial" w:hint="default"/>
      </w:rPr>
    </w:lvl>
    <w:lvl w:ilvl="7" w:tplc="27EA8D08" w:tentative="1">
      <w:start w:val="1"/>
      <w:numFmt w:val="bullet"/>
      <w:lvlText w:val="•"/>
      <w:lvlJc w:val="left"/>
      <w:pPr>
        <w:tabs>
          <w:tab w:val="num" w:pos="5760"/>
        </w:tabs>
        <w:ind w:left="5760" w:hanging="360"/>
      </w:pPr>
      <w:rPr>
        <w:rFonts w:ascii="Arial" w:hAnsi="Arial" w:hint="default"/>
      </w:rPr>
    </w:lvl>
    <w:lvl w:ilvl="8" w:tplc="174040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B67650"/>
    <w:multiLevelType w:val="hybridMultilevel"/>
    <w:tmpl w:val="58762B9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936367"/>
    <w:multiLevelType w:val="hybridMultilevel"/>
    <w:tmpl w:val="84902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1"/>
  </w:num>
  <w:num w:numId="3">
    <w:abstractNumId w:val="18"/>
  </w:num>
  <w:num w:numId="4">
    <w:abstractNumId w:val="23"/>
  </w:num>
  <w:num w:numId="5">
    <w:abstractNumId w:val="17"/>
  </w:num>
  <w:num w:numId="6">
    <w:abstractNumId w:val="14"/>
  </w:num>
  <w:num w:numId="7">
    <w:abstractNumId w:val="19"/>
  </w:num>
  <w:num w:numId="8">
    <w:abstractNumId w:val="15"/>
  </w:num>
  <w:num w:numId="9">
    <w:abstractNumId w:val="16"/>
  </w:num>
  <w:num w:numId="10">
    <w:abstractNumId w:val="25"/>
  </w:num>
  <w:num w:numId="11">
    <w:abstractNumId w:val="5"/>
  </w:num>
  <w:num w:numId="12">
    <w:abstractNumId w:val="4"/>
  </w:num>
  <w:num w:numId="13">
    <w:abstractNumId w:val="3"/>
  </w:num>
  <w:num w:numId="14">
    <w:abstractNumId w:val="8"/>
  </w:num>
  <w:num w:numId="15">
    <w:abstractNumId w:val="9"/>
  </w:num>
  <w:num w:numId="16">
    <w:abstractNumId w:val="6"/>
  </w:num>
  <w:num w:numId="17">
    <w:abstractNumId w:val="10"/>
  </w:num>
  <w:num w:numId="18">
    <w:abstractNumId w:val="26"/>
  </w:num>
  <w:num w:numId="19">
    <w:abstractNumId w:val="12"/>
  </w:num>
  <w:num w:numId="20">
    <w:abstractNumId w:val="24"/>
  </w:num>
  <w:num w:numId="21">
    <w:abstractNumId w:val="22"/>
  </w:num>
  <w:num w:numId="22">
    <w:abstractNumId w:val="1"/>
  </w:num>
  <w:num w:numId="23">
    <w:abstractNumId w:val="11"/>
  </w:num>
  <w:num w:numId="24">
    <w:abstractNumId w:val="20"/>
  </w:num>
  <w:num w:numId="25">
    <w:abstractNumId w:val="27"/>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7"/>
  </w:num>
  <w:num w:numId="28">
    <w:abstractNumId w:val="2"/>
  </w:num>
  <w:num w:numId="29">
    <w:abstractNumId w:val="2"/>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473"/>
    <w:rsid w:val="0000159F"/>
    <w:rsid w:val="0000313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8B1"/>
    <w:rsid w:val="00014F35"/>
    <w:rsid w:val="00015F98"/>
    <w:rsid w:val="000166AC"/>
    <w:rsid w:val="00017B7F"/>
    <w:rsid w:val="00017EDA"/>
    <w:rsid w:val="00020129"/>
    <w:rsid w:val="00023742"/>
    <w:rsid w:val="00024AEF"/>
    <w:rsid w:val="0002696A"/>
    <w:rsid w:val="00026C65"/>
    <w:rsid w:val="00027755"/>
    <w:rsid w:val="00030048"/>
    <w:rsid w:val="0003072D"/>
    <w:rsid w:val="000314CD"/>
    <w:rsid w:val="0003290A"/>
    <w:rsid w:val="00033544"/>
    <w:rsid w:val="0003479E"/>
    <w:rsid w:val="0003484F"/>
    <w:rsid w:val="00035691"/>
    <w:rsid w:val="0004132D"/>
    <w:rsid w:val="00041358"/>
    <w:rsid w:val="00044672"/>
    <w:rsid w:val="00044CFA"/>
    <w:rsid w:val="000459C7"/>
    <w:rsid w:val="00046630"/>
    <w:rsid w:val="00046C80"/>
    <w:rsid w:val="00047FFA"/>
    <w:rsid w:val="00050112"/>
    <w:rsid w:val="00050466"/>
    <w:rsid w:val="000505CC"/>
    <w:rsid w:val="00050EB9"/>
    <w:rsid w:val="000511F9"/>
    <w:rsid w:val="0005230E"/>
    <w:rsid w:val="000524F2"/>
    <w:rsid w:val="00052850"/>
    <w:rsid w:val="000528A2"/>
    <w:rsid w:val="00052BBA"/>
    <w:rsid w:val="00052C0A"/>
    <w:rsid w:val="00052E2B"/>
    <w:rsid w:val="00054D9D"/>
    <w:rsid w:val="00055676"/>
    <w:rsid w:val="00056544"/>
    <w:rsid w:val="00056949"/>
    <w:rsid w:val="00057E5A"/>
    <w:rsid w:val="00060269"/>
    <w:rsid w:val="00060D8E"/>
    <w:rsid w:val="00062159"/>
    <w:rsid w:val="00062ABB"/>
    <w:rsid w:val="000631B7"/>
    <w:rsid w:val="000639F4"/>
    <w:rsid w:val="00063D9E"/>
    <w:rsid w:val="000645CE"/>
    <w:rsid w:val="00064AD3"/>
    <w:rsid w:val="00065088"/>
    <w:rsid w:val="000652D3"/>
    <w:rsid w:val="000654A0"/>
    <w:rsid w:val="00067D46"/>
    <w:rsid w:val="00067FFB"/>
    <w:rsid w:val="000703BB"/>
    <w:rsid w:val="000707CA"/>
    <w:rsid w:val="000707FF"/>
    <w:rsid w:val="0007208A"/>
    <w:rsid w:val="00072BBA"/>
    <w:rsid w:val="00072FF5"/>
    <w:rsid w:val="0007386D"/>
    <w:rsid w:val="0007503D"/>
    <w:rsid w:val="00075FDA"/>
    <w:rsid w:val="000762E8"/>
    <w:rsid w:val="00076386"/>
    <w:rsid w:val="00076D82"/>
    <w:rsid w:val="00080A16"/>
    <w:rsid w:val="00080D0C"/>
    <w:rsid w:val="00081EC2"/>
    <w:rsid w:val="000823FE"/>
    <w:rsid w:val="00083800"/>
    <w:rsid w:val="00083C3D"/>
    <w:rsid w:val="00084A65"/>
    <w:rsid w:val="000867F7"/>
    <w:rsid w:val="0009185A"/>
    <w:rsid w:val="00091A92"/>
    <w:rsid w:val="00093C49"/>
    <w:rsid w:val="000958A7"/>
    <w:rsid w:val="00095A80"/>
    <w:rsid w:val="000973C8"/>
    <w:rsid w:val="000973E1"/>
    <w:rsid w:val="000A1402"/>
    <w:rsid w:val="000A20BA"/>
    <w:rsid w:val="000A262C"/>
    <w:rsid w:val="000A2EFA"/>
    <w:rsid w:val="000A38C0"/>
    <w:rsid w:val="000A3C8D"/>
    <w:rsid w:val="000A40EC"/>
    <w:rsid w:val="000A4162"/>
    <w:rsid w:val="000A4BB2"/>
    <w:rsid w:val="000A54EE"/>
    <w:rsid w:val="000A6A23"/>
    <w:rsid w:val="000A6C5D"/>
    <w:rsid w:val="000A7BC5"/>
    <w:rsid w:val="000A7F64"/>
    <w:rsid w:val="000B0C45"/>
    <w:rsid w:val="000B1072"/>
    <w:rsid w:val="000B12B9"/>
    <w:rsid w:val="000B16DB"/>
    <w:rsid w:val="000B1C5E"/>
    <w:rsid w:val="000B2282"/>
    <w:rsid w:val="000B2A11"/>
    <w:rsid w:val="000B2A5B"/>
    <w:rsid w:val="000B2B69"/>
    <w:rsid w:val="000B3B91"/>
    <w:rsid w:val="000B51DD"/>
    <w:rsid w:val="000B5AC9"/>
    <w:rsid w:val="000B5F0A"/>
    <w:rsid w:val="000C0530"/>
    <w:rsid w:val="000C1D59"/>
    <w:rsid w:val="000C3D66"/>
    <w:rsid w:val="000C501D"/>
    <w:rsid w:val="000C74BA"/>
    <w:rsid w:val="000C7531"/>
    <w:rsid w:val="000C7C3F"/>
    <w:rsid w:val="000D0BD6"/>
    <w:rsid w:val="000D0C61"/>
    <w:rsid w:val="000D27AD"/>
    <w:rsid w:val="000D2810"/>
    <w:rsid w:val="000D29D1"/>
    <w:rsid w:val="000D2B0A"/>
    <w:rsid w:val="000D3286"/>
    <w:rsid w:val="000D344D"/>
    <w:rsid w:val="000D3FBC"/>
    <w:rsid w:val="000D40E7"/>
    <w:rsid w:val="000D4360"/>
    <w:rsid w:val="000D47F3"/>
    <w:rsid w:val="000D584F"/>
    <w:rsid w:val="000E071E"/>
    <w:rsid w:val="000E2156"/>
    <w:rsid w:val="000E248B"/>
    <w:rsid w:val="000E27AA"/>
    <w:rsid w:val="000E337A"/>
    <w:rsid w:val="000E4350"/>
    <w:rsid w:val="000E4408"/>
    <w:rsid w:val="000E4602"/>
    <w:rsid w:val="000E5716"/>
    <w:rsid w:val="000E73D4"/>
    <w:rsid w:val="000E75EA"/>
    <w:rsid w:val="000E7A24"/>
    <w:rsid w:val="000E7A79"/>
    <w:rsid w:val="000E7BB6"/>
    <w:rsid w:val="000F15B2"/>
    <w:rsid w:val="000F19CB"/>
    <w:rsid w:val="000F19DE"/>
    <w:rsid w:val="000F2E1F"/>
    <w:rsid w:val="000F37B0"/>
    <w:rsid w:val="000F4595"/>
    <w:rsid w:val="000F46C5"/>
    <w:rsid w:val="000F47D2"/>
    <w:rsid w:val="000F4CB2"/>
    <w:rsid w:val="000F4EC0"/>
    <w:rsid w:val="000F568D"/>
    <w:rsid w:val="000F6351"/>
    <w:rsid w:val="000F72E8"/>
    <w:rsid w:val="00101C4F"/>
    <w:rsid w:val="00102C9F"/>
    <w:rsid w:val="001036C8"/>
    <w:rsid w:val="00105DB7"/>
    <w:rsid w:val="001068D2"/>
    <w:rsid w:val="0011035C"/>
    <w:rsid w:val="001103BD"/>
    <w:rsid w:val="00111208"/>
    <w:rsid w:val="00111808"/>
    <w:rsid w:val="0011339F"/>
    <w:rsid w:val="00114E96"/>
    <w:rsid w:val="00115828"/>
    <w:rsid w:val="0011644A"/>
    <w:rsid w:val="001167B3"/>
    <w:rsid w:val="00117332"/>
    <w:rsid w:val="001204DD"/>
    <w:rsid w:val="001206E5"/>
    <w:rsid w:val="00120B4F"/>
    <w:rsid w:val="00122839"/>
    <w:rsid w:val="001237AC"/>
    <w:rsid w:val="00123A30"/>
    <w:rsid w:val="00123FC0"/>
    <w:rsid w:val="0012430B"/>
    <w:rsid w:val="00124665"/>
    <w:rsid w:val="00124E12"/>
    <w:rsid w:val="001264D8"/>
    <w:rsid w:val="0012673D"/>
    <w:rsid w:val="001269B8"/>
    <w:rsid w:val="00127099"/>
    <w:rsid w:val="00130783"/>
    <w:rsid w:val="0013185A"/>
    <w:rsid w:val="00132B71"/>
    <w:rsid w:val="00132C5B"/>
    <w:rsid w:val="00133579"/>
    <w:rsid w:val="001338BA"/>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5761"/>
    <w:rsid w:val="001467B1"/>
    <w:rsid w:val="00150175"/>
    <w:rsid w:val="001502C8"/>
    <w:rsid w:val="0015052C"/>
    <w:rsid w:val="00150B49"/>
    <w:rsid w:val="0015130F"/>
    <w:rsid w:val="00151F92"/>
    <w:rsid w:val="00153A0F"/>
    <w:rsid w:val="001540E4"/>
    <w:rsid w:val="00154533"/>
    <w:rsid w:val="00154CCE"/>
    <w:rsid w:val="00154DA4"/>
    <w:rsid w:val="00155464"/>
    <w:rsid w:val="00155BFD"/>
    <w:rsid w:val="00157390"/>
    <w:rsid w:val="00160998"/>
    <w:rsid w:val="00160CD6"/>
    <w:rsid w:val="00162066"/>
    <w:rsid w:val="0016316A"/>
    <w:rsid w:val="0016330D"/>
    <w:rsid w:val="00163D02"/>
    <w:rsid w:val="00163E1B"/>
    <w:rsid w:val="00164171"/>
    <w:rsid w:val="00164E58"/>
    <w:rsid w:val="00165033"/>
    <w:rsid w:val="00165B18"/>
    <w:rsid w:val="001670EA"/>
    <w:rsid w:val="001674A0"/>
    <w:rsid w:val="00170A50"/>
    <w:rsid w:val="00171F0C"/>
    <w:rsid w:val="00174FFD"/>
    <w:rsid w:val="001759CA"/>
    <w:rsid w:val="0017726A"/>
    <w:rsid w:val="00177D03"/>
    <w:rsid w:val="00177DD3"/>
    <w:rsid w:val="00180278"/>
    <w:rsid w:val="00181296"/>
    <w:rsid w:val="001818A7"/>
    <w:rsid w:val="00182725"/>
    <w:rsid w:val="001829C8"/>
    <w:rsid w:val="00182CA0"/>
    <w:rsid w:val="00184098"/>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2D00"/>
    <w:rsid w:val="001A3477"/>
    <w:rsid w:val="001A4302"/>
    <w:rsid w:val="001A5AF4"/>
    <w:rsid w:val="001A5E19"/>
    <w:rsid w:val="001A5E1A"/>
    <w:rsid w:val="001B01FA"/>
    <w:rsid w:val="001B0832"/>
    <w:rsid w:val="001B18A7"/>
    <w:rsid w:val="001B21C9"/>
    <w:rsid w:val="001B2762"/>
    <w:rsid w:val="001B3270"/>
    <w:rsid w:val="001B36FC"/>
    <w:rsid w:val="001B41ED"/>
    <w:rsid w:val="001B4607"/>
    <w:rsid w:val="001B480A"/>
    <w:rsid w:val="001B69CA"/>
    <w:rsid w:val="001B6F19"/>
    <w:rsid w:val="001B7E0C"/>
    <w:rsid w:val="001C0586"/>
    <w:rsid w:val="001C0674"/>
    <w:rsid w:val="001C226F"/>
    <w:rsid w:val="001C45F0"/>
    <w:rsid w:val="001C52F3"/>
    <w:rsid w:val="001C54B2"/>
    <w:rsid w:val="001C66AC"/>
    <w:rsid w:val="001C6754"/>
    <w:rsid w:val="001C77F0"/>
    <w:rsid w:val="001D04AA"/>
    <w:rsid w:val="001D05CB"/>
    <w:rsid w:val="001D1A3F"/>
    <w:rsid w:val="001D2EF5"/>
    <w:rsid w:val="001D46A0"/>
    <w:rsid w:val="001D4E22"/>
    <w:rsid w:val="001D7CA4"/>
    <w:rsid w:val="001D7E58"/>
    <w:rsid w:val="001E01A8"/>
    <w:rsid w:val="001E1CF8"/>
    <w:rsid w:val="001E30A0"/>
    <w:rsid w:val="001E3F75"/>
    <w:rsid w:val="001E4331"/>
    <w:rsid w:val="001E4CAC"/>
    <w:rsid w:val="001E4D4F"/>
    <w:rsid w:val="001E55FB"/>
    <w:rsid w:val="001E57CF"/>
    <w:rsid w:val="001E5981"/>
    <w:rsid w:val="001E74BA"/>
    <w:rsid w:val="001E7587"/>
    <w:rsid w:val="001E7B9F"/>
    <w:rsid w:val="001F01FB"/>
    <w:rsid w:val="001F0658"/>
    <w:rsid w:val="001F0E92"/>
    <w:rsid w:val="001F1987"/>
    <w:rsid w:val="001F1E0F"/>
    <w:rsid w:val="001F23BD"/>
    <w:rsid w:val="001F28AA"/>
    <w:rsid w:val="001F34DA"/>
    <w:rsid w:val="001F4136"/>
    <w:rsid w:val="001F4DAC"/>
    <w:rsid w:val="001F4DD3"/>
    <w:rsid w:val="001F5019"/>
    <w:rsid w:val="001F650F"/>
    <w:rsid w:val="001F67AA"/>
    <w:rsid w:val="001F7599"/>
    <w:rsid w:val="0020189F"/>
    <w:rsid w:val="00204B3A"/>
    <w:rsid w:val="0020535A"/>
    <w:rsid w:val="00205642"/>
    <w:rsid w:val="00205C16"/>
    <w:rsid w:val="00206955"/>
    <w:rsid w:val="00207860"/>
    <w:rsid w:val="00210309"/>
    <w:rsid w:val="00212B70"/>
    <w:rsid w:val="00212FB8"/>
    <w:rsid w:val="00213709"/>
    <w:rsid w:val="002149AF"/>
    <w:rsid w:val="00214A86"/>
    <w:rsid w:val="00214CC5"/>
    <w:rsid w:val="00215AAA"/>
    <w:rsid w:val="0021683C"/>
    <w:rsid w:val="00221985"/>
    <w:rsid w:val="00221B64"/>
    <w:rsid w:val="00221EC5"/>
    <w:rsid w:val="00222264"/>
    <w:rsid w:val="00222A7A"/>
    <w:rsid w:val="002234D9"/>
    <w:rsid w:val="00224A2C"/>
    <w:rsid w:val="002252D3"/>
    <w:rsid w:val="002256D9"/>
    <w:rsid w:val="00225882"/>
    <w:rsid w:val="00225FFF"/>
    <w:rsid w:val="0022687C"/>
    <w:rsid w:val="002269C0"/>
    <w:rsid w:val="002272DB"/>
    <w:rsid w:val="0022731B"/>
    <w:rsid w:val="00227BDA"/>
    <w:rsid w:val="002306F8"/>
    <w:rsid w:val="002312F4"/>
    <w:rsid w:val="002313A2"/>
    <w:rsid w:val="00231FC7"/>
    <w:rsid w:val="00232930"/>
    <w:rsid w:val="00232A95"/>
    <w:rsid w:val="00232DD9"/>
    <w:rsid w:val="00232DFB"/>
    <w:rsid w:val="00233403"/>
    <w:rsid w:val="00233440"/>
    <w:rsid w:val="00233D0E"/>
    <w:rsid w:val="0023487D"/>
    <w:rsid w:val="002353CB"/>
    <w:rsid w:val="00236450"/>
    <w:rsid w:val="00236D9F"/>
    <w:rsid w:val="0023765A"/>
    <w:rsid w:val="00237921"/>
    <w:rsid w:val="00240413"/>
    <w:rsid w:val="00241311"/>
    <w:rsid w:val="00241F82"/>
    <w:rsid w:val="00242E22"/>
    <w:rsid w:val="002431D6"/>
    <w:rsid w:val="0024336B"/>
    <w:rsid w:val="0024406F"/>
    <w:rsid w:val="0024424F"/>
    <w:rsid w:val="00244595"/>
    <w:rsid w:val="00244A8D"/>
    <w:rsid w:val="00244D28"/>
    <w:rsid w:val="00245720"/>
    <w:rsid w:val="00245A6F"/>
    <w:rsid w:val="00245FD5"/>
    <w:rsid w:val="002465E4"/>
    <w:rsid w:val="002477DF"/>
    <w:rsid w:val="002509A4"/>
    <w:rsid w:val="00250E05"/>
    <w:rsid w:val="002512AC"/>
    <w:rsid w:val="00251AD6"/>
    <w:rsid w:val="002524B6"/>
    <w:rsid w:val="00252BBC"/>
    <w:rsid w:val="00252C17"/>
    <w:rsid w:val="0025307F"/>
    <w:rsid w:val="002551BD"/>
    <w:rsid w:val="002568D0"/>
    <w:rsid w:val="00256B73"/>
    <w:rsid w:val="00260D05"/>
    <w:rsid w:val="00262661"/>
    <w:rsid w:val="0026299C"/>
    <w:rsid w:val="00262ADA"/>
    <w:rsid w:val="002632DF"/>
    <w:rsid w:val="0026400A"/>
    <w:rsid w:val="002640BA"/>
    <w:rsid w:val="00264CF2"/>
    <w:rsid w:val="0026626A"/>
    <w:rsid w:val="00266462"/>
    <w:rsid w:val="00267587"/>
    <w:rsid w:val="00270822"/>
    <w:rsid w:val="00271222"/>
    <w:rsid w:val="00271589"/>
    <w:rsid w:val="00273177"/>
    <w:rsid w:val="00274775"/>
    <w:rsid w:val="00274EEF"/>
    <w:rsid w:val="00275074"/>
    <w:rsid w:val="002763E9"/>
    <w:rsid w:val="00276736"/>
    <w:rsid w:val="00280E48"/>
    <w:rsid w:val="00283728"/>
    <w:rsid w:val="00283894"/>
    <w:rsid w:val="0028443D"/>
    <w:rsid w:val="00284C7E"/>
    <w:rsid w:val="00284E32"/>
    <w:rsid w:val="002851EB"/>
    <w:rsid w:val="00285510"/>
    <w:rsid w:val="00285DE2"/>
    <w:rsid w:val="0028616D"/>
    <w:rsid w:val="0028644E"/>
    <w:rsid w:val="00286495"/>
    <w:rsid w:val="002865E2"/>
    <w:rsid w:val="00286965"/>
    <w:rsid w:val="002869D5"/>
    <w:rsid w:val="00286AE7"/>
    <w:rsid w:val="0029136E"/>
    <w:rsid w:val="00292399"/>
    <w:rsid w:val="00293D90"/>
    <w:rsid w:val="00294445"/>
    <w:rsid w:val="00294B4D"/>
    <w:rsid w:val="00294E53"/>
    <w:rsid w:val="00295FFD"/>
    <w:rsid w:val="002960D5"/>
    <w:rsid w:val="00296371"/>
    <w:rsid w:val="00297546"/>
    <w:rsid w:val="00297CC6"/>
    <w:rsid w:val="002A1062"/>
    <w:rsid w:val="002A2012"/>
    <w:rsid w:val="002A2413"/>
    <w:rsid w:val="002A2F5E"/>
    <w:rsid w:val="002A352A"/>
    <w:rsid w:val="002A607D"/>
    <w:rsid w:val="002A6824"/>
    <w:rsid w:val="002A7603"/>
    <w:rsid w:val="002B0878"/>
    <w:rsid w:val="002B132E"/>
    <w:rsid w:val="002B257E"/>
    <w:rsid w:val="002B2813"/>
    <w:rsid w:val="002B2D29"/>
    <w:rsid w:val="002B37AA"/>
    <w:rsid w:val="002B4C6C"/>
    <w:rsid w:val="002B5DA0"/>
    <w:rsid w:val="002C0362"/>
    <w:rsid w:val="002C0C4B"/>
    <w:rsid w:val="002C1EEA"/>
    <w:rsid w:val="002C408F"/>
    <w:rsid w:val="002C47AD"/>
    <w:rsid w:val="002C4A24"/>
    <w:rsid w:val="002C6034"/>
    <w:rsid w:val="002C613E"/>
    <w:rsid w:val="002C635B"/>
    <w:rsid w:val="002C7571"/>
    <w:rsid w:val="002C7CFF"/>
    <w:rsid w:val="002D0689"/>
    <w:rsid w:val="002D0BC6"/>
    <w:rsid w:val="002D11F7"/>
    <w:rsid w:val="002D17C5"/>
    <w:rsid w:val="002D365F"/>
    <w:rsid w:val="002D406E"/>
    <w:rsid w:val="002D4127"/>
    <w:rsid w:val="002D78C2"/>
    <w:rsid w:val="002D7C86"/>
    <w:rsid w:val="002E0692"/>
    <w:rsid w:val="002E1D74"/>
    <w:rsid w:val="002E2943"/>
    <w:rsid w:val="002E2CF1"/>
    <w:rsid w:val="002E30CA"/>
    <w:rsid w:val="002E34AF"/>
    <w:rsid w:val="002E4AAC"/>
    <w:rsid w:val="002E53DE"/>
    <w:rsid w:val="002E563B"/>
    <w:rsid w:val="002E62D2"/>
    <w:rsid w:val="002E74AF"/>
    <w:rsid w:val="002E758C"/>
    <w:rsid w:val="002F048F"/>
    <w:rsid w:val="002F09F3"/>
    <w:rsid w:val="002F1038"/>
    <w:rsid w:val="002F1B80"/>
    <w:rsid w:val="002F1CDB"/>
    <w:rsid w:val="002F22FF"/>
    <w:rsid w:val="002F2D8F"/>
    <w:rsid w:val="002F4E0E"/>
    <w:rsid w:val="002F674D"/>
    <w:rsid w:val="002F695B"/>
    <w:rsid w:val="002F72DA"/>
    <w:rsid w:val="002F76B1"/>
    <w:rsid w:val="002F7C08"/>
    <w:rsid w:val="002F7CC8"/>
    <w:rsid w:val="002F7D66"/>
    <w:rsid w:val="002F7DBE"/>
    <w:rsid w:val="0030055E"/>
    <w:rsid w:val="0030090B"/>
    <w:rsid w:val="00302AE8"/>
    <w:rsid w:val="00302BB1"/>
    <w:rsid w:val="00302C31"/>
    <w:rsid w:val="0030384D"/>
    <w:rsid w:val="00303A23"/>
    <w:rsid w:val="00304210"/>
    <w:rsid w:val="003048D7"/>
    <w:rsid w:val="00304A1B"/>
    <w:rsid w:val="00304AD2"/>
    <w:rsid w:val="003062E6"/>
    <w:rsid w:val="003068B6"/>
    <w:rsid w:val="003071F6"/>
    <w:rsid w:val="00307FE0"/>
    <w:rsid w:val="00311C08"/>
    <w:rsid w:val="00312567"/>
    <w:rsid w:val="00312ECE"/>
    <w:rsid w:val="0031378F"/>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324A"/>
    <w:rsid w:val="003254F7"/>
    <w:rsid w:val="00325D7A"/>
    <w:rsid w:val="00326145"/>
    <w:rsid w:val="00327163"/>
    <w:rsid w:val="00327305"/>
    <w:rsid w:val="00327531"/>
    <w:rsid w:val="00330187"/>
    <w:rsid w:val="003303B6"/>
    <w:rsid w:val="00331C77"/>
    <w:rsid w:val="00331DB6"/>
    <w:rsid w:val="00331F96"/>
    <w:rsid w:val="0033209E"/>
    <w:rsid w:val="00332B55"/>
    <w:rsid w:val="003353DC"/>
    <w:rsid w:val="00335EA8"/>
    <w:rsid w:val="003363DD"/>
    <w:rsid w:val="00336B9B"/>
    <w:rsid w:val="00336C46"/>
    <w:rsid w:val="00340361"/>
    <w:rsid w:val="00340795"/>
    <w:rsid w:val="0034111C"/>
    <w:rsid w:val="0034114A"/>
    <w:rsid w:val="00341E60"/>
    <w:rsid w:val="0034217F"/>
    <w:rsid w:val="00342AD2"/>
    <w:rsid w:val="00342DBB"/>
    <w:rsid w:val="00343954"/>
    <w:rsid w:val="00345405"/>
    <w:rsid w:val="00345DDD"/>
    <w:rsid w:val="00346FED"/>
    <w:rsid w:val="0035007F"/>
    <w:rsid w:val="00351D97"/>
    <w:rsid w:val="00351E01"/>
    <w:rsid w:val="00352D21"/>
    <w:rsid w:val="00352F08"/>
    <w:rsid w:val="0035443D"/>
    <w:rsid w:val="00354FEE"/>
    <w:rsid w:val="003554F2"/>
    <w:rsid w:val="003554FB"/>
    <w:rsid w:val="00356275"/>
    <w:rsid w:val="003569B7"/>
    <w:rsid w:val="00356B54"/>
    <w:rsid w:val="00356C0B"/>
    <w:rsid w:val="00357B9C"/>
    <w:rsid w:val="00361412"/>
    <w:rsid w:val="003615CA"/>
    <w:rsid w:val="00362E7F"/>
    <w:rsid w:val="00363A76"/>
    <w:rsid w:val="003642A6"/>
    <w:rsid w:val="003669B1"/>
    <w:rsid w:val="00367337"/>
    <w:rsid w:val="00367367"/>
    <w:rsid w:val="00367FD8"/>
    <w:rsid w:val="00370B63"/>
    <w:rsid w:val="00370FCC"/>
    <w:rsid w:val="003711AF"/>
    <w:rsid w:val="00371A6B"/>
    <w:rsid w:val="00371EF8"/>
    <w:rsid w:val="0037445C"/>
    <w:rsid w:val="00374848"/>
    <w:rsid w:val="00375D09"/>
    <w:rsid w:val="0037739D"/>
    <w:rsid w:val="0037751C"/>
    <w:rsid w:val="00377D31"/>
    <w:rsid w:val="00380F3F"/>
    <w:rsid w:val="00382232"/>
    <w:rsid w:val="00382F1A"/>
    <w:rsid w:val="00383282"/>
    <w:rsid w:val="00383658"/>
    <w:rsid w:val="0038412E"/>
    <w:rsid w:val="00384968"/>
    <w:rsid w:val="00386053"/>
    <w:rsid w:val="0038771D"/>
    <w:rsid w:val="00391560"/>
    <w:rsid w:val="003938FE"/>
    <w:rsid w:val="00393E44"/>
    <w:rsid w:val="00394270"/>
    <w:rsid w:val="003977DC"/>
    <w:rsid w:val="00397AB6"/>
    <w:rsid w:val="00397ACA"/>
    <w:rsid w:val="003A10C3"/>
    <w:rsid w:val="003A2F16"/>
    <w:rsid w:val="003A33D0"/>
    <w:rsid w:val="003A5564"/>
    <w:rsid w:val="003A597F"/>
    <w:rsid w:val="003A71A8"/>
    <w:rsid w:val="003B00CA"/>
    <w:rsid w:val="003B030B"/>
    <w:rsid w:val="003B0432"/>
    <w:rsid w:val="003B049E"/>
    <w:rsid w:val="003B0821"/>
    <w:rsid w:val="003B0BE9"/>
    <w:rsid w:val="003B0DAF"/>
    <w:rsid w:val="003B2898"/>
    <w:rsid w:val="003B2E9B"/>
    <w:rsid w:val="003B2F8D"/>
    <w:rsid w:val="003B4FAA"/>
    <w:rsid w:val="003B547A"/>
    <w:rsid w:val="003B68C8"/>
    <w:rsid w:val="003B6C6C"/>
    <w:rsid w:val="003B6CB0"/>
    <w:rsid w:val="003B75B9"/>
    <w:rsid w:val="003B78F2"/>
    <w:rsid w:val="003C0DA2"/>
    <w:rsid w:val="003C1694"/>
    <w:rsid w:val="003C1A18"/>
    <w:rsid w:val="003C2902"/>
    <w:rsid w:val="003C2C2E"/>
    <w:rsid w:val="003C3261"/>
    <w:rsid w:val="003C5C41"/>
    <w:rsid w:val="003C6BB0"/>
    <w:rsid w:val="003C7461"/>
    <w:rsid w:val="003C7D33"/>
    <w:rsid w:val="003D0788"/>
    <w:rsid w:val="003D132A"/>
    <w:rsid w:val="003D1517"/>
    <w:rsid w:val="003D2938"/>
    <w:rsid w:val="003D2C75"/>
    <w:rsid w:val="003D3211"/>
    <w:rsid w:val="003D3216"/>
    <w:rsid w:val="003D3FBA"/>
    <w:rsid w:val="003D402B"/>
    <w:rsid w:val="003D764F"/>
    <w:rsid w:val="003D7D81"/>
    <w:rsid w:val="003E0667"/>
    <w:rsid w:val="003E0763"/>
    <w:rsid w:val="003E0BCE"/>
    <w:rsid w:val="003E13E0"/>
    <w:rsid w:val="003E1660"/>
    <w:rsid w:val="003E1C09"/>
    <w:rsid w:val="003E1CD1"/>
    <w:rsid w:val="003E2A2D"/>
    <w:rsid w:val="003E3497"/>
    <w:rsid w:val="003E504D"/>
    <w:rsid w:val="003E521F"/>
    <w:rsid w:val="003E5606"/>
    <w:rsid w:val="003E5F20"/>
    <w:rsid w:val="003E63CE"/>
    <w:rsid w:val="003E64A9"/>
    <w:rsid w:val="003E7002"/>
    <w:rsid w:val="003E7905"/>
    <w:rsid w:val="003F0336"/>
    <w:rsid w:val="003F1FD2"/>
    <w:rsid w:val="003F2147"/>
    <w:rsid w:val="003F4488"/>
    <w:rsid w:val="003F47A7"/>
    <w:rsid w:val="003F5547"/>
    <w:rsid w:val="003F5C40"/>
    <w:rsid w:val="003F6E12"/>
    <w:rsid w:val="003F75ED"/>
    <w:rsid w:val="004002B7"/>
    <w:rsid w:val="00400F31"/>
    <w:rsid w:val="0040169A"/>
    <w:rsid w:val="00403A2A"/>
    <w:rsid w:val="00405A3B"/>
    <w:rsid w:val="00406B4D"/>
    <w:rsid w:val="00411168"/>
    <w:rsid w:val="004122C2"/>
    <w:rsid w:val="0041443C"/>
    <w:rsid w:val="00415324"/>
    <w:rsid w:val="004154F7"/>
    <w:rsid w:val="00416D44"/>
    <w:rsid w:val="00416EB8"/>
    <w:rsid w:val="004174BE"/>
    <w:rsid w:val="004176FF"/>
    <w:rsid w:val="004200BF"/>
    <w:rsid w:val="00421A27"/>
    <w:rsid w:val="00421AEB"/>
    <w:rsid w:val="00421D0A"/>
    <w:rsid w:val="004238B8"/>
    <w:rsid w:val="004241C5"/>
    <w:rsid w:val="004244AF"/>
    <w:rsid w:val="00424FA7"/>
    <w:rsid w:val="00425397"/>
    <w:rsid w:val="00425D78"/>
    <w:rsid w:val="00426428"/>
    <w:rsid w:val="00426925"/>
    <w:rsid w:val="00426A87"/>
    <w:rsid w:val="004309D8"/>
    <w:rsid w:val="004313D1"/>
    <w:rsid w:val="00431FD5"/>
    <w:rsid w:val="00432110"/>
    <w:rsid w:val="00433EBE"/>
    <w:rsid w:val="004341E1"/>
    <w:rsid w:val="00434406"/>
    <w:rsid w:val="004351A0"/>
    <w:rsid w:val="00437A1D"/>
    <w:rsid w:val="00440FED"/>
    <w:rsid w:val="00441194"/>
    <w:rsid w:val="00441A95"/>
    <w:rsid w:val="00441B0A"/>
    <w:rsid w:val="00441B92"/>
    <w:rsid w:val="00442607"/>
    <w:rsid w:val="0044474B"/>
    <w:rsid w:val="00445FF7"/>
    <w:rsid w:val="00450575"/>
    <w:rsid w:val="004509A6"/>
    <w:rsid w:val="00453341"/>
    <w:rsid w:val="00453EF8"/>
    <w:rsid w:val="004544F9"/>
    <w:rsid w:val="004545C6"/>
    <w:rsid w:val="00454DCA"/>
    <w:rsid w:val="00455576"/>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8C0"/>
    <w:rsid w:val="004715CB"/>
    <w:rsid w:val="00471649"/>
    <w:rsid w:val="00471863"/>
    <w:rsid w:val="00471A2A"/>
    <w:rsid w:val="00472A06"/>
    <w:rsid w:val="00473293"/>
    <w:rsid w:val="00473621"/>
    <w:rsid w:val="00473A14"/>
    <w:rsid w:val="00474CA8"/>
    <w:rsid w:val="00474DB6"/>
    <w:rsid w:val="00474E43"/>
    <w:rsid w:val="00475786"/>
    <w:rsid w:val="00475A4A"/>
    <w:rsid w:val="00476E41"/>
    <w:rsid w:val="0048076D"/>
    <w:rsid w:val="00480F9C"/>
    <w:rsid w:val="004817DD"/>
    <w:rsid w:val="00481C24"/>
    <w:rsid w:val="00481D90"/>
    <w:rsid w:val="00482CD4"/>
    <w:rsid w:val="00483261"/>
    <w:rsid w:val="00483779"/>
    <w:rsid w:val="00484021"/>
    <w:rsid w:val="00485843"/>
    <w:rsid w:val="00485B23"/>
    <w:rsid w:val="0048630D"/>
    <w:rsid w:val="00486EC8"/>
    <w:rsid w:val="004874E4"/>
    <w:rsid w:val="0049070D"/>
    <w:rsid w:val="00490885"/>
    <w:rsid w:val="004914A9"/>
    <w:rsid w:val="00491BE4"/>
    <w:rsid w:val="00491DB2"/>
    <w:rsid w:val="00492877"/>
    <w:rsid w:val="00495C73"/>
    <w:rsid w:val="00496DC2"/>
    <w:rsid w:val="00496E75"/>
    <w:rsid w:val="004A014C"/>
    <w:rsid w:val="004A0AA8"/>
    <w:rsid w:val="004A1FE4"/>
    <w:rsid w:val="004A2CA9"/>
    <w:rsid w:val="004A2CDC"/>
    <w:rsid w:val="004A33EF"/>
    <w:rsid w:val="004A34C9"/>
    <w:rsid w:val="004A3CB5"/>
    <w:rsid w:val="004A441B"/>
    <w:rsid w:val="004A44D1"/>
    <w:rsid w:val="004A537D"/>
    <w:rsid w:val="004A60E6"/>
    <w:rsid w:val="004A67F0"/>
    <w:rsid w:val="004A6EE8"/>
    <w:rsid w:val="004A71C3"/>
    <w:rsid w:val="004A74D2"/>
    <w:rsid w:val="004A7769"/>
    <w:rsid w:val="004B1484"/>
    <w:rsid w:val="004B23AD"/>
    <w:rsid w:val="004B24E5"/>
    <w:rsid w:val="004B2965"/>
    <w:rsid w:val="004B4007"/>
    <w:rsid w:val="004B4224"/>
    <w:rsid w:val="004B4647"/>
    <w:rsid w:val="004B5252"/>
    <w:rsid w:val="004B5E52"/>
    <w:rsid w:val="004B652C"/>
    <w:rsid w:val="004B7455"/>
    <w:rsid w:val="004B74FF"/>
    <w:rsid w:val="004B7CE4"/>
    <w:rsid w:val="004C0401"/>
    <w:rsid w:val="004C066D"/>
    <w:rsid w:val="004C0C49"/>
    <w:rsid w:val="004C183D"/>
    <w:rsid w:val="004C2669"/>
    <w:rsid w:val="004C3EC7"/>
    <w:rsid w:val="004C3EEE"/>
    <w:rsid w:val="004C43BF"/>
    <w:rsid w:val="004C483D"/>
    <w:rsid w:val="004C5BCC"/>
    <w:rsid w:val="004C6C7D"/>
    <w:rsid w:val="004C6DFA"/>
    <w:rsid w:val="004C7441"/>
    <w:rsid w:val="004C795A"/>
    <w:rsid w:val="004C7F93"/>
    <w:rsid w:val="004D0A9C"/>
    <w:rsid w:val="004D0AFE"/>
    <w:rsid w:val="004D26B8"/>
    <w:rsid w:val="004D38C2"/>
    <w:rsid w:val="004D4FBD"/>
    <w:rsid w:val="004D4FC0"/>
    <w:rsid w:val="004D541D"/>
    <w:rsid w:val="004D6EC1"/>
    <w:rsid w:val="004D7DA8"/>
    <w:rsid w:val="004E2892"/>
    <w:rsid w:val="004E33AD"/>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5154"/>
    <w:rsid w:val="004F5835"/>
    <w:rsid w:val="004F5CE2"/>
    <w:rsid w:val="004F661C"/>
    <w:rsid w:val="004F6D99"/>
    <w:rsid w:val="004F7070"/>
    <w:rsid w:val="004F7D4F"/>
    <w:rsid w:val="004F7FF6"/>
    <w:rsid w:val="00500572"/>
    <w:rsid w:val="00501304"/>
    <w:rsid w:val="00501425"/>
    <w:rsid w:val="005036BE"/>
    <w:rsid w:val="00504311"/>
    <w:rsid w:val="0050485C"/>
    <w:rsid w:val="00504AC6"/>
    <w:rsid w:val="00505427"/>
    <w:rsid w:val="0050658D"/>
    <w:rsid w:val="0051033E"/>
    <w:rsid w:val="00510C5E"/>
    <w:rsid w:val="00511079"/>
    <w:rsid w:val="00511CDF"/>
    <w:rsid w:val="00511D40"/>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630"/>
    <w:rsid w:val="00520D6D"/>
    <w:rsid w:val="00520EDD"/>
    <w:rsid w:val="00523E75"/>
    <w:rsid w:val="005243E0"/>
    <w:rsid w:val="005256F3"/>
    <w:rsid w:val="00525F32"/>
    <w:rsid w:val="00526301"/>
    <w:rsid w:val="005265A3"/>
    <w:rsid w:val="00526783"/>
    <w:rsid w:val="0052721C"/>
    <w:rsid w:val="00527C99"/>
    <w:rsid w:val="00527FB1"/>
    <w:rsid w:val="005314C5"/>
    <w:rsid w:val="0053162F"/>
    <w:rsid w:val="00531777"/>
    <w:rsid w:val="00532369"/>
    <w:rsid w:val="00532380"/>
    <w:rsid w:val="0053281C"/>
    <w:rsid w:val="005340C9"/>
    <w:rsid w:val="0053449F"/>
    <w:rsid w:val="00536910"/>
    <w:rsid w:val="00536D21"/>
    <w:rsid w:val="005375FE"/>
    <w:rsid w:val="00537792"/>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22E"/>
    <w:rsid w:val="00554E4B"/>
    <w:rsid w:val="00555F67"/>
    <w:rsid w:val="00556605"/>
    <w:rsid w:val="0055723C"/>
    <w:rsid w:val="00560291"/>
    <w:rsid w:val="005606A4"/>
    <w:rsid w:val="005607B8"/>
    <w:rsid w:val="00560CF5"/>
    <w:rsid w:val="005610AC"/>
    <w:rsid w:val="0056272D"/>
    <w:rsid w:val="00562BAB"/>
    <w:rsid w:val="0056308E"/>
    <w:rsid w:val="005638C1"/>
    <w:rsid w:val="00563F09"/>
    <w:rsid w:val="0056415C"/>
    <w:rsid w:val="00564957"/>
    <w:rsid w:val="005649BF"/>
    <w:rsid w:val="005650ED"/>
    <w:rsid w:val="00565869"/>
    <w:rsid w:val="005661BF"/>
    <w:rsid w:val="00567415"/>
    <w:rsid w:val="00567610"/>
    <w:rsid w:val="00570C3A"/>
    <w:rsid w:val="00570D9F"/>
    <w:rsid w:val="00571CA8"/>
    <w:rsid w:val="00573659"/>
    <w:rsid w:val="00574771"/>
    <w:rsid w:val="00575CDD"/>
    <w:rsid w:val="00576A4A"/>
    <w:rsid w:val="00580793"/>
    <w:rsid w:val="00581470"/>
    <w:rsid w:val="00581893"/>
    <w:rsid w:val="00582087"/>
    <w:rsid w:val="00582196"/>
    <w:rsid w:val="005831DD"/>
    <w:rsid w:val="00584320"/>
    <w:rsid w:val="0058436F"/>
    <w:rsid w:val="00585316"/>
    <w:rsid w:val="00585484"/>
    <w:rsid w:val="00586D3D"/>
    <w:rsid w:val="005871BF"/>
    <w:rsid w:val="00587229"/>
    <w:rsid w:val="00587503"/>
    <w:rsid w:val="0058771D"/>
    <w:rsid w:val="005877C3"/>
    <w:rsid w:val="00587F7F"/>
    <w:rsid w:val="00590E8D"/>
    <w:rsid w:val="00591379"/>
    <w:rsid w:val="00591511"/>
    <w:rsid w:val="005916BB"/>
    <w:rsid w:val="00591DA3"/>
    <w:rsid w:val="00592F00"/>
    <w:rsid w:val="0059331A"/>
    <w:rsid w:val="00595DDF"/>
    <w:rsid w:val="00596BBA"/>
    <w:rsid w:val="005972F8"/>
    <w:rsid w:val="005975C4"/>
    <w:rsid w:val="00597ED8"/>
    <w:rsid w:val="005A08F4"/>
    <w:rsid w:val="005A11D4"/>
    <w:rsid w:val="005A2D6D"/>
    <w:rsid w:val="005A34D5"/>
    <w:rsid w:val="005A3E12"/>
    <w:rsid w:val="005A423C"/>
    <w:rsid w:val="005A4904"/>
    <w:rsid w:val="005A4959"/>
    <w:rsid w:val="005A515A"/>
    <w:rsid w:val="005A57FB"/>
    <w:rsid w:val="005A6BC4"/>
    <w:rsid w:val="005A704D"/>
    <w:rsid w:val="005B1FF6"/>
    <w:rsid w:val="005B2B51"/>
    <w:rsid w:val="005B34D4"/>
    <w:rsid w:val="005B3C6D"/>
    <w:rsid w:val="005B4045"/>
    <w:rsid w:val="005B49A7"/>
    <w:rsid w:val="005B609E"/>
    <w:rsid w:val="005B6C55"/>
    <w:rsid w:val="005B6DF6"/>
    <w:rsid w:val="005B6EA6"/>
    <w:rsid w:val="005B780E"/>
    <w:rsid w:val="005B7B7D"/>
    <w:rsid w:val="005B7C34"/>
    <w:rsid w:val="005C09CC"/>
    <w:rsid w:val="005C1948"/>
    <w:rsid w:val="005C245F"/>
    <w:rsid w:val="005C263C"/>
    <w:rsid w:val="005C2679"/>
    <w:rsid w:val="005C268D"/>
    <w:rsid w:val="005C41D4"/>
    <w:rsid w:val="005D0079"/>
    <w:rsid w:val="005D059A"/>
    <w:rsid w:val="005D07C5"/>
    <w:rsid w:val="005D1FF8"/>
    <w:rsid w:val="005D2A0B"/>
    <w:rsid w:val="005D2B3C"/>
    <w:rsid w:val="005D3AB9"/>
    <w:rsid w:val="005D4302"/>
    <w:rsid w:val="005D430F"/>
    <w:rsid w:val="005D5A20"/>
    <w:rsid w:val="005D786C"/>
    <w:rsid w:val="005E00E5"/>
    <w:rsid w:val="005E049F"/>
    <w:rsid w:val="005E3073"/>
    <w:rsid w:val="005E316A"/>
    <w:rsid w:val="005E3F49"/>
    <w:rsid w:val="005E5E1A"/>
    <w:rsid w:val="005E6C16"/>
    <w:rsid w:val="005F0108"/>
    <w:rsid w:val="005F0ECC"/>
    <w:rsid w:val="005F21A5"/>
    <w:rsid w:val="005F2470"/>
    <w:rsid w:val="005F28C6"/>
    <w:rsid w:val="005F3F16"/>
    <w:rsid w:val="005F47C9"/>
    <w:rsid w:val="005F52CC"/>
    <w:rsid w:val="005F53FD"/>
    <w:rsid w:val="005F5E6F"/>
    <w:rsid w:val="005F6BD4"/>
    <w:rsid w:val="005F7985"/>
    <w:rsid w:val="00600033"/>
    <w:rsid w:val="0060004D"/>
    <w:rsid w:val="00600CEB"/>
    <w:rsid w:val="00601DF1"/>
    <w:rsid w:val="0060289D"/>
    <w:rsid w:val="00602A84"/>
    <w:rsid w:val="00602AA1"/>
    <w:rsid w:val="00603131"/>
    <w:rsid w:val="00604367"/>
    <w:rsid w:val="006044BE"/>
    <w:rsid w:val="0060475F"/>
    <w:rsid w:val="00604E80"/>
    <w:rsid w:val="0060516C"/>
    <w:rsid w:val="006060C2"/>
    <w:rsid w:val="00606A26"/>
    <w:rsid w:val="00607D81"/>
    <w:rsid w:val="00610747"/>
    <w:rsid w:val="00610E03"/>
    <w:rsid w:val="0061176E"/>
    <w:rsid w:val="006131CB"/>
    <w:rsid w:val="00613C10"/>
    <w:rsid w:val="0061417F"/>
    <w:rsid w:val="00614CD1"/>
    <w:rsid w:val="0061567B"/>
    <w:rsid w:val="00617BB8"/>
    <w:rsid w:val="006203CE"/>
    <w:rsid w:val="0062152A"/>
    <w:rsid w:val="00621754"/>
    <w:rsid w:val="00621E3C"/>
    <w:rsid w:val="00622532"/>
    <w:rsid w:val="00622FCB"/>
    <w:rsid w:val="00623583"/>
    <w:rsid w:val="00624049"/>
    <w:rsid w:val="0062462F"/>
    <w:rsid w:val="00624BA1"/>
    <w:rsid w:val="00625929"/>
    <w:rsid w:val="0062661B"/>
    <w:rsid w:val="0062796B"/>
    <w:rsid w:val="00630118"/>
    <w:rsid w:val="00630C0E"/>
    <w:rsid w:val="006310AE"/>
    <w:rsid w:val="00631762"/>
    <w:rsid w:val="006317AB"/>
    <w:rsid w:val="00632196"/>
    <w:rsid w:val="00633BF2"/>
    <w:rsid w:val="00633F67"/>
    <w:rsid w:val="006345C3"/>
    <w:rsid w:val="0063615A"/>
    <w:rsid w:val="006362F9"/>
    <w:rsid w:val="006369A9"/>
    <w:rsid w:val="006373CD"/>
    <w:rsid w:val="006403AC"/>
    <w:rsid w:val="0064165D"/>
    <w:rsid w:val="0064187D"/>
    <w:rsid w:val="006433BD"/>
    <w:rsid w:val="00643784"/>
    <w:rsid w:val="00644186"/>
    <w:rsid w:val="00644A21"/>
    <w:rsid w:val="00645C9F"/>
    <w:rsid w:val="00646305"/>
    <w:rsid w:val="00646A6C"/>
    <w:rsid w:val="006475E6"/>
    <w:rsid w:val="006508B9"/>
    <w:rsid w:val="00650CA1"/>
    <w:rsid w:val="00651854"/>
    <w:rsid w:val="006519F8"/>
    <w:rsid w:val="006539E8"/>
    <w:rsid w:val="006565D8"/>
    <w:rsid w:val="00656649"/>
    <w:rsid w:val="00656B96"/>
    <w:rsid w:val="00656CF4"/>
    <w:rsid w:val="0065736B"/>
    <w:rsid w:val="00657AE5"/>
    <w:rsid w:val="00660F13"/>
    <w:rsid w:val="006619B0"/>
    <w:rsid w:val="00662012"/>
    <w:rsid w:val="00662543"/>
    <w:rsid w:val="006626D0"/>
    <w:rsid w:val="0066279A"/>
    <w:rsid w:val="00663BF2"/>
    <w:rsid w:val="00663EAE"/>
    <w:rsid w:val="00664E8C"/>
    <w:rsid w:val="00665138"/>
    <w:rsid w:val="0066528A"/>
    <w:rsid w:val="00665F7C"/>
    <w:rsid w:val="0066699A"/>
    <w:rsid w:val="00666DFC"/>
    <w:rsid w:val="00666EBB"/>
    <w:rsid w:val="00667385"/>
    <w:rsid w:val="0066779E"/>
    <w:rsid w:val="00667EC3"/>
    <w:rsid w:val="006704A8"/>
    <w:rsid w:val="0067269D"/>
    <w:rsid w:val="00672988"/>
    <w:rsid w:val="00672C64"/>
    <w:rsid w:val="006742B0"/>
    <w:rsid w:val="0067499F"/>
    <w:rsid w:val="00674E6A"/>
    <w:rsid w:val="00676A64"/>
    <w:rsid w:val="00677925"/>
    <w:rsid w:val="00680F46"/>
    <w:rsid w:val="006818BE"/>
    <w:rsid w:val="00681FDC"/>
    <w:rsid w:val="006829E8"/>
    <w:rsid w:val="00682B53"/>
    <w:rsid w:val="00682F27"/>
    <w:rsid w:val="00685C9D"/>
    <w:rsid w:val="0069011A"/>
    <w:rsid w:val="00690691"/>
    <w:rsid w:val="00690E2E"/>
    <w:rsid w:val="006915D7"/>
    <w:rsid w:val="006927AC"/>
    <w:rsid w:val="00692814"/>
    <w:rsid w:val="006932E7"/>
    <w:rsid w:val="00693347"/>
    <w:rsid w:val="0069334C"/>
    <w:rsid w:val="00695EA1"/>
    <w:rsid w:val="00696D63"/>
    <w:rsid w:val="006A032F"/>
    <w:rsid w:val="006A1CD9"/>
    <w:rsid w:val="006A32E9"/>
    <w:rsid w:val="006A41AE"/>
    <w:rsid w:val="006A4856"/>
    <w:rsid w:val="006A564B"/>
    <w:rsid w:val="006A6166"/>
    <w:rsid w:val="006B08CF"/>
    <w:rsid w:val="006B0B29"/>
    <w:rsid w:val="006B0B90"/>
    <w:rsid w:val="006B1470"/>
    <w:rsid w:val="006B152D"/>
    <w:rsid w:val="006B1545"/>
    <w:rsid w:val="006B2DA7"/>
    <w:rsid w:val="006B2F4D"/>
    <w:rsid w:val="006B3682"/>
    <w:rsid w:val="006B48CB"/>
    <w:rsid w:val="006B576F"/>
    <w:rsid w:val="006B5D9E"/>
    <w:rsid w:val="006C08C5"/>
    <w:rsid w:val="006C1445"/>
    <w:rsid w:val="006C29AA"/>
    <w:rsid w:val="006C351E"/>
    <w:rsid w:val="006C3959"/>
    <w:rsid w:val="006C3B36"/>
    <w:rsid w:val="006C43E6"/>
    <w:rsid w:val="006C4FC1"/>
    <w:rsid w:val="006C51A5"/>
    <w:rsid w:val="006C529D"/>
    <w:rsid w:val="006C5639"/>
    <w:rsid w:val="006C7CC9"/>
    <w:rsid w:val="006C7D45"/>
    <w:rsid w:val="006D0E6B"/>
    <w:rsid w:val="006D1073"/>
    <w:rsid w:val="006D2146"/>
    <w:rsid w:val="006D5ED9"/>
    <w:rsid w:val="006D632E"/>
    <w:rsid w:val="006E0651"/>
    <w:rsid w:val="006E094A"/>
    <w:rsid w:val="006E12B1"/>
    <w:rsid w:val="006E13D1"/>
    <w:rsid w:val="006E2771"/>
    <w:rsid w:val="006E283E"/>
    <w:rsid w:val="006E4D0C"/>
    <w:rsid w:val="006E4D1B"/>
    <w:rsid w:val="006E509A"/>
    <w:rsid w:val="006E5B78"/>
    <w:rsid w:val="006E6BA3"/>
    <w:rsid w:val="006F01EB"/>
    <w:rsid w:val="006F1116"/>
    <w:rsid w:val="006F1206"/>
    <w:rsid w:val="006F19C5"/>
    <w:rsid w:val="006F3196"/>
    <w:rsid w:val="006F3C54"/>
    <w:rsid w:val="006F4ACC"/>
    <w:rsid w:val="006F5B37"/>
    <w:rsid w:val="006F5E64"/>
    <w:rsid w:val="006F60D9"/>
    <w:rsid w:val="006F60DE"/>
    <w:rsid w:val="006F6BBD"/>
    <w:rsid w:val="006F73DA"/>
    <w:rsid w:val="006F7914"/>
    <w:rsid w:val="006F7B8B"/>
    <w:rsid w:val="006F7E46"/>
    <w:rsid w:val="007002E4"/>
    <w:rsid w:val="00700AB4"/>
    <w:rsid w:val="00700FCA"/>
    <w:rsid w:val="00701645"/>
    <w:rsid w:val="00702AD6"/>
    <w:rsid w:val="00702D5A"/>
    <w:rsid w:val="00702EF7"/>
    <w:rsid w:val="007031BB"/>
    <w:rsid w:val="00703989"/>
    <w:rsid w:val="007042E9"/>
    <w:rsid w:val="00707462"/>
    <w:rsid w:val="00707749"/>
    <w:rsid w:val="0071118B"/>
    <w:rsid w:val="007115D2"/>
    <w:rsid w:val="00711E13"/>
    <w:rsid w:val="00711E37"/>
    <w:rsid w:val="00712546"/>
    <w:rsid w:val="00712EDA"/>
    <w:rsid w:val="007136D0"/>
    <w:rsid w:val="0071528E"/>
    <w:rsid w:val="007155A9"/>
    <w:rsid w:val="00715815"/>
    <w:rsid w:val="007158E1"/>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1DA"/>
    <w:rsid w:val="00734A05"/>
    <w:rsid w:val="0073557C"/>
    <w:rsid w:val="00735C6F"/>
    <w:rsid w:val="007366CF"/>
    <w:rsid w:val="00737174"/>
    <w:rsid w:val="007372F1"/>
    <w:rsid w:val="007408D5"/>
    <w:rsid w:val="00741C59"/>
    <w:rsid w:val="00742B44"/>
    <w:rsid w:val="00743B9D"/>
    <w:rsid w:val="0074655A"/>
    <w:rsid w:val="007469B7"/>
    <w:rsid w:val="00753BB5"/>
    <w:rsid w:val="007547B2"/>
    <w:rsid w:val="0075553A"/>
    <w:rsid w:val="00756832"/>
    <w:rsid w:val="0076266E"/>
    <w:rsid w:val="007626D0"/>
    <w:rsid w:val="00764BFA"/>
    <w:rsid w:val="007651CA"/>
    <w:rsid w:val="00765572"/>
    <w:rsid w:val="00767519"/>
    <w:rsid w:val="00767EE3"/>
    <w:rsid w:val="007704E1"/>
    <w:rsid w:val="00772569"/>
    <w:rsid w:val="00772E8C"/>
    <w:rsid w:val="007730D8"/>
    <w:rsid w:val="007736D3"/>
    <w:rsid w:val="00773889"/>
    <w:rsid w:val="00773B54"/>
    <w:rsid w:val="0077500F"/>
    <w:rsid w:val="0077548E"/>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DBA"/>
    <w:rsid w:val="00792CEE"/>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4C98"/>
    <w:rsid w:val="007A72EE"/>
    <w:rsid w:val="007B0352"/>
    <w:rsid w:val="007B0397"/>
    <w:rsid w:val="007B291C"/>
    <w:rsid w:val="007B3502"/>
    <w:rsid w:val="007B44ED"/>
    <w:rsid w:val="007B491A"/>
    <w:rsid w:val="007B4E9F"/>
    <w:rsid w:val="007B5370"/>
    <w:rsid w:val="007B61F5"/>
    <w:rsid w:val="007B63FA"/>
    <w:rsid w:val="007B73B3"/>
    <w:rsid w:val="007B7496"/>
    <w:rsid w:val="007B7AF5"/>
    <w:rsid w:val="007C0802"/>
    <w:rsid w:val="007C12BE"/>
    <w:rsid w:val="007C1B2E"/>
    <w:rsid w:val="007C2739"/>
    <w:rsid w:val="007C49FA"/>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432A"/>
    <w:rsid w:val="007D599E"/>
    <w:rsid w:val="007D5E27"/>
    <w:rsid w:val="007D6CE6"/>
    <w:rsid w:val="007D6F64"/>
    <w:rsid w:val="007E189D"/>
    <w:rsid w:val="007E25AB"/>
    <w:rsid w:val="007E2812"/>
    <w:rsid w:val="007E2C70"/>
    <w:rsid w:val="007E5AC2"/>
    <w:rsid w:val="007E67FC"/>
    <w:rsid w:val="007E6999"/>
    <w:rsid w:val="007E6DCD"/>
    <w:rsid w:val="007E79C5"/>
    <w:rsid w:val="007F0036"/>
    <w:rsid w:val="007F143A"/>
    <w:rsid w:val="007F2845"/>
    <w:rsid w:val="007F33D5"/>
    <w:rsid w:val="007F43BC"/>
    <w:rsid w:val="007F44D7"/>
    <w:rsid w:val="007F4740"/>
    <w:rsid w:val="007F5CEB"/>
    <w:rsid w:val="007F6B5C"/>
    <w:rsid w:val="008006C6"/>
    <w:rsid w:val="00800C52"/>
    <w:rsid w:val="0080153E"/>
    <w:rsid w:val="00801BA0"/>
    <w:rsid w:val="0080313D"/>
    <w:rsid w:val="0080742D"/>
    <w:rsid w:val="008100AC"/>
    <w:rsid w:val="0081151E"/>
    <w:rsid w:val="00812498"/>
    <w:rsid w:val="0081263E"/>
    <w:rsid w:val="008127E6"/>
    <w:rsid w:val="0081336E"/>
    <w:rsid w:val="00813928"/>
    <w:rsid w:val="0082058C"/>
    <w:rsid w:val="00820DC7"/>
    <w:rsid w:val="00820FFB"/>
    <w:rsid w:val="00821698"/>
    <w:rsid w:val="008221FE"/>
    <w:rsid w:val="00822BF5"/>
    <w:rsid w:val="008244F9"/>
    <w:rsid w:val="00824894"/>
    <w:rsid w:val="00824F51"/>
    <w:rsid w:val="00825366"/>
    <w:rsid w:val="00826C7B"/>
    <w:rsid w:val="00826DD9"/>
    <w:rsid w:val="00826E01"/>
    <w:rsid w:val="008277A8"/>
    <w:rsid w:val="008278B6"/>
    <w:rsid w:val="008307ED"/>
    <w:rsid w:val="0083109A"/>
    <w:rsid w:val="008321CF"/>
    <w:rsid w:val="00832918"/>
    <w:rsid w:val="0083350F"/>
    <w:rsid w:val="008336F1"/>
    <w:rsid w:val="00834058"/>
    <w:rsid w:val="00834358"/>
    <w:rsid w:val="008346BD"/>
    <w:rsid w:val="00835FB4"/>
    <w:rsid w:val="00836B7A"/>
    <w:rsid w:val="008409AA"/>
    <w:rsid w:val="00840FB8"/>
    <w:rsid w:val="00842489"/>
    <w:rsid w:val="00842529"/>
    <w:rsid w:val="00843316"/>
    <w:rsid w:val="0084353E"/>
    <w:rsid w:val="008436EA"/>
    <w:rsid w:val="00843A7A"/>
    <w:rsid w:val="008447F5"/>
    <w:rsid w:val="00845927"/>
    <w:rsid w:val="00846292"/>
    <w:rsid w:val="00847885"/>
    <w:rsid w:val="00850413"/>
    <w:rsid w:val="008506E1"/>
    <w:rsid w:val="008515EE"/>
    <w:rsid w:val="008517E9"/>
    <w:rsid w:val="0085201D"/>
    <w:rsid w:val="008528D3"/>
    <w:rsid w:val="00853C8B"/>
    <w:rsid w:val="00854553"/>
    <w:rsid w:val="00855B86"/>
    <w:rsid w:val="008565F1"/>
    <w:rsid w:val="008566DE"/>
    <w:rsid w:val="00856D27"/>
    <w:rsid w:val="00857774"/>
    <w:rsid w:val="0086042D"/>
    <w:rsid w:val="00860874"/>
    <w:rsid w:val="00862008"/>
    <w:rsid w:val="00862720"/>
    <w:rsid w:val="008628C8"/>
    <w:rsid w:val="00862B2A"/>
    <w:rsid w:val="008630B9"/>
    <w:rsid w:val="00863F37"/>
    <w:rsid w:val="0086406B"/>
    <w:rsid w:val="008643CF"/>
    <w:rsid w:val="00864C8C"/>
    <w:rsid w:val="00866A11"/>
    <w:rsid w:val="00866B18"/>
    <w:rsid w:val="00867110"/>
    <w:rsid w:val="008671BB"/>
    <w:rsid w:val="00867651"/>
    <w:rsid w:val="00870D04"/>
    <w:rsid w:val="0087121B"/>
    <w:rsid w:val="008714B6"/>
    <w:rsid w:val="008714DB"/>
    <w:rsid w:val="008743F3"/>
    <w:rsid w:val="0087444A"/>
    <w:rsid w:val="00875139"/>
    <w:rsid w:val="00875410"/>
    <w:rsid w:val="00875659"/>
    <w:rsid w:val="00876483"/>
    <w:rsid w:val="00880EDF"/>
    <w:rsid w:val="00881D4F"/>
    <w:rsid w:val="008824AD"/>
    <w:rsid w:val="00882DE6"/>
    <w:rsid w:val="00883CBD"/>
    <w:rsid w:val="00883D4D"/>
    <w:rsid w:val="00884306"/>
    <w:rsid w:val="0088444E"/>
    <w:rsid w:val="0088448E"/>
    <w:rsid w:val="00884B59"/>
    <w:rsid w:val="008850BA"/>
    <w:rsid w:val="008857F2"/>
    <w:rsid w:val="0088583D"/>
    <w:rsid w:val="00885876"/>
    <w:rsid w:val="00886185"/>
    <w:rsid w:val="008861D9"/>
    <w:rsid w:val="0088638C"/>
    <w:rsid w:val="00886EDF"/>
    <w:rsid w:val="008908E5"/>
    <w:rsid w:val="00891216"/>
    <w:rsid w:val="00894FDC"/>
    <w:rsid w:val="008960BE"/>
    <w:rsid w:val="00897D6F"/>
    <w:rsid w:val="008A0900"/>
    <w:rsid w:val="008A1094"/>
    <w:rsid w:val="008A16F9"/>
    <w:rsid w:val="008A1D3E"/>
    <w:rsid w:val="008A4B16"/>
    <w:rsid w:val="008A4D63"/>
    <w:rsid w:val="008A52D1"/>
    <w:rsid w:val="008A6D62"/>
    <w:rsid w:val="008B13E9"/>
    <w:rsid w:val="008B39E0"/>
    <w:rsid w:val="008B3B51"/>
    <w:rsid w:val="008B4057"/>
    <w:rsid w:val="008B4145"/>
    <w:rsid w:val="008B4CAC"/>
    <w:rsid w:val="008B5290"/>
    <w:rsid w:val="008B68D1"/>
    <w:rsid w:val="008B7812"/>
    <w:rsid w:val="008C2B64"/>
    <w:rsid w:val="008C2CFD"/>
    <w:rsid w:val="008C3E9C"/>
    <w:rsid w:val="008C5590"/>
    <w:rsid w:val="008C57D6"/>
    <w:rsid w:val="008C603A"/>
    <w:rsid w:val="008C6D94"/>
    <w:rsid w:val="008C71C8"/>
    <w:rsid w:val="008C7672"/>
    <w:rsid w:val="008D1329"/>
    <w:rsid w:val="008D1657"/>
    <w:rsid w:val="008D167D"/>
    <w:rsid w:val="008D261F"/>
    <w:rsid w:val="008D2B53"/>
    <w:rsid w:val="008D46AC"/>
    <w:rsid w:val="008D492A"/>
    <w:rsid w:val="008D4B58"/>
    <w:rsid w:val="008D4B8A"/>
    <w:rsid w:val="008D5934"/>
    <w:rsid w:val="008D6541"/>
    <w:rsid w:val="008D7D7B"/>
    <w:rsid w:val="008E0435"/>
    <w:rsid w:val="008E0F52"/>
    <w:rsid w:val="008E2316"/>
    <w:rsid w:val="008E33D7"/>
    <w:rsid w:val="008E34BE"/>
    <w:rsid w:val="008E3D46"/>
    <w:rsid w:val="008E42F4"/>
    <w:rsid w:val="008E5221"/>
    <w:rsid w:val="008E5307"/>
    <w:rsid w:val="008E5657"/>
    <w:rsid w:val="008E5E51"/>
    <w:rsid w:val="008E721F"/>
    <w:rsid w:val="008E7D63"/>
    <w:rsid w:val="008F00DB"/>
    <w:rsid w:val="008F110E"/>
    <w:rsid w:val="008F1264"/>
    <w:rsid w:val="008F1BA3"/>
    <w:rsid w:val="008F365F"/>
    <w:rsid w:val="008F47C6"/>
    <w:rsid w:val="008F5948"/>
    <w:rsid w:val="008F5D03"/>
    <w:rsid w:val="009006A2"/>
    <w:rsid w:val="009007A5"/>
    <w:rsid w:val="0090102B"/>
    <w:rsid w:val="00901448"/>
    <w:rsid w:val="0090238D"/>
    <w:rsid w:val="009036BC"/>
    <w:rsid w:val="00905C47"/>
    <w:rsid w:val="00906379"/>
    <w:rsid w:val="0090638B"/>
    <w:rsid w:val="00906393"/>
    <w:rsid w:val="00907B62"/>
    <w:rsid w:val="009101EA"/>
    <w:rsid w:val="009106FC"/>
    <w:rsid w:val="0091090F"/>
    <w:rsid w:val="00911896"/>
    <w:rsid w:val="009118BB"/>
    <w:rsid w:val="0091191F"/>
    <w:rsid w:val="009130B1"/>
    <w:rsid w:val="0091433E"/>
    <w:rsid w:val="00915B81"/>
    <w:rsid w:val="00915D6B"/>
    <w:rsid w:val="009160DF"/>
    <w:rsid w:val="009162C7"/>
    <w:rsid w:val="00916EC2"/>
    <w:rsid w:val="009213BD"/>
    <w:rsid w:val="00924627"/>
    <w:rsid w:val="009249EB"/>
    <w:rsid w:val="009250A8"/>
    <w:rsid w:val="009251C8"/>
    <w:rsid w:val="00925BE6"/>
    <w:rsid w:val="00926F61"/>
    <w:rsid w:val="00930879"/>
    <w:rsid w:val="0093123D"/>
    <w:rsid w:val="00933040"/>
    <w:rsid w:val="009330E9"/>
    <w:rsid w:val="00935D15"/>
    <w:rsid w:val="0093608D"/>
    <w:rsid w:val="009411FB"/>
    <w:rsid w:val="009414A9"/>
    <w:rsid w:val="00941B71"/>
    <w:rsid w:val="009421AD"/>
    <w:rsid w:val="0094221C"/>
    <w:rsid w:val="0094232B"/>
    <w:rsid w:val="0094262D"/>
    <w:rsid w:val="0094409C"/>
    <w:rsid w:val="00944159"/>
    <w:rsid w:val="009444D9"/>
    <w:rsid w:val="009449B2"/>
    <w:rsid w:val="00944A82"/>
    <w:rsid w:val="0094601F"/>
    <w:rsid w:val="00946C4D"/>
    <w:rsid w:val="00947322"/>
    <w:rsid w:val="00950387"/>
    <w:rsid w:val="0095285B"/>
    <w:rsid w:val="00952901"/>
    <w:rsid w:val="00953099"/>
    <w:rsid w:val="00953FE9"/>
    <w:rsid w:val="0095481C"/>
    <w:rsid w:val="009567E6"/>
    <w:rsid w:val="00956E25"/>
    <w:rsid w:val="00957076"/>
    <w:rsid w:val="00957132"/>
    <w:rsid w:val="009576FD"/>
    <w:rsid w:val="009578EB"/>
    <w:rsid w:val="009578FF"/>
    <w:rsid w:val="00960446"/>
    <w:rsid w:val="00960D66"/>
    <w:rsid w:val="009610ED"/>
    <w:rsid w:val="00961DDB"/>
    <w:rsid w:val="009633BB"/>
    <w:rsid w:val="0096354A"/>
    <w:rsid w:val="0096485F"/>
    <w:rsid w:val="00965981"/>
    <w:rsid w:val="00966B46"/>
    <w:rsid w:val="0096726D"/>
    <w:rsid w:val="00967354"/>
    <w:rsid w:val="00970C4B"/>
    <w:rsid w:val="00971592"/>
    <w:rsid w:val="00971A2A"/>
    <w:rsid w:val="00971DDF"/>
    <w:rsid w:val="009731D6"/>
    <w:rsid w:val="009744A4"/>
    <w:rsid w:val="00974746"/>
    <w:rsid w:val="00974C40"/>
    <w:rsid w:val="00975119"/>
    <w:rsid w:val="00976F04"/>
    <w:rsid w:val="009775E9"/>
    <w:rsid w:val="009777F4"/>
    <w:rsid w:val="00977AD8"/>
    <w:rsid w:val="00980581"/>
    <w:rsid w:val="00980A10"/>
    <w:rsid w:val="00981130"/>
    <w:rsid w:val="0098242A"/>
    <w:rsid w:val="00983038"/>
    <w:rsid w:val="00983D46"/>
    <w:rsid w:val="00983DCA"/>
    <w:rsid w:val="00985EF7"/>
    <w:rsid w:val="00986396"/>
    <w:rsid w:val="00986CF9"/>
    <w:rsid w:val="00987416"/>
    <w:rsid w:val="00987B58"/>
    <w:rsid w:val="00987BD8"/>
    <w:rsid w:val="009907E2"/>
    <w:rsid w:val="00990C0E"/>
    <w:rsid w:val="00990D75"/>
    <w:rsid w:val="00991093"/>
    <w:rsid w:val="0099163B"/>
    <w:rsid w:val="00992343"/>
    <w:rsid w:val="00993003"/>
    <w:rsid w:val="0099429B"/>
    <w:rsid w:val="00995A65"/>
    <w:rsid w:val="00996306"/>
    <w:rsid w:val="00996744"/>
    <w:rsid w:val="009967DA"/>
    <w:rsid w:val="00997CF4"/>
    <w:rsid w:val="009A1169"/>
    <w:rsid w:val="009A1AAC"/>
    <w:rsid w:val="009A2417"/>
    <w:rsid w:val="009A3789"/>
    <w:rsid w:val="009A4860"/>
    <w:rsid w:val="009A6919"/>
    <w:rsid w:val="009A6AC7"/>
    <w:rsid w:val="009A6CC2"/>
    <w:rsid w:val="009A6CF7"/>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25F"/>
    <w:rsid w:val="009D3578"/>
    <w:rsid w:val="009D3A5F"/>
    <w:rsid w:val="009D5193"/>
    <w:rsid w:val="009D5C32"/>
    <w:rsid w:val="009D6472"/>
    <w:rsid w:val="009D79F4"/>
    <w:rsid w:val="009E1E4A"/>
    <w:rsid w:val="009E3CD1"/>
    <w:rsid w:val="009E5988"/>
    <w:rsid w:val="009E5AF5"/>
    <w:rsid w:val="009E5EB5"/>
    <w:rsid w:val="009E623F"/>
    <w:rsid w:val="009E74F0"/>
    <w:rsid w:val="009E79E1"/>
    <w:rsid w:val="009F0768"/>
    <w:rsid w:val="009F12F3"/>
    <w:rsid w:val="009F7867"/>
    <w:rsid w:val="009F7D66"/>
    <w:rsid w:val="00A00BD2"/>
    <w:rsid w:val="00A00E56"/>
    <w:rsid w:val="00A027F3"/>
    <w:rsid w:val="00A02FAD"/>
    <w:rsid w:val="00A03978"/>
    <w:rsid w:val="00A05DF3"/>
    <w:rsid w:val="00A05F4A"/>
    <w:rsid w:val="00A05F4C"/>
    <w:rsid w:val="00A0670C"/>
    <w:rsid w:val="00A07E08"/>
    <w:rsid w:val="00A10FA3"/>
    <w:rsid w:val="00A12798"/>
    <w:rsid w:val="00A153BE"/>
    <w:rsid w:val="00A15DEE"/>
    <w:rsid w:val="00A167B5"/>
    <w:rsid w:val="00A168A6"/>
    <w:rsid w:val="00A16DBE"/>
    <w:rsid w:val="00A17C4F"/>
    <w:rsid w:val="00A20653"/>
    <w:rsid w:val="00A20A39"/>
    <w:rsid w:val="00A226C9"/>
    <w:rsid w:val="00A238BD"/>
    <w:rsid w:val="00A243E4"/>
    <w:rsid w:val="00A2459D"/>
    <w:rsid w:val="00A24E23"/>
    <w:rsid w:val="00A251B8"/>
    <w:rsid w:val="00A25F05"/>
    <w:rsid w:val="00A2729B"/>
    <w:rsid w:val="00A272F3"/>
    <w:rsid w:val="00A311AE"/>
    <w:rsid w:val="00A312A6"/>
    <w:rsid w:val="00A3130E"/>
    <w:rsid w:val="00A324CF"/>
    <w:rsid w:val="00A32E8B"/>
    <w:rsid w:val="00A32ED6"/>
    <w:rsid w:val="00A33763"/>
    <w:rsid w:val="00A344A5"/>
    <w:rsid w:val="00A3457F"/>
    <w:rsid w:val="00A346C3"/>
    <w:rsid w:val="00A34A89"/>
    <w:rsid w:val="00A35730"/>
    <w:rsid w:val="00A35ACA"/>
    <w:rsid w:val="00A35FC3"/>
    <w:rsid w:val="00A37381"/>
    <w:rsid w:val="00A418F8"/>
    <w:rsid w:val="00A42D07"/>
    <w:rsid w:val="00A450C0"/>
    <w:rsid w:val="00A45468"/>
    <w:rsid w:val="00A455F8"/>
    <w:rsid w:val="00A4791B"/>
    <w:rsid w:val="00A503E3"/>
    <w:rsid w:val="00A50A48"/>
    <w:rsid w:val="00A51242"/>
    <w:rsid w:val="00A51522"/>
    <w:rsid w:val="00A51573"/>
    <w:rsid w:val="00A51A5E"/>
    <w:rsid w:val="00A52895"/>
    <w:rsid w:val="00A53DA0"/>
    <w:rsid w:val="00A56C4B"/>
    <w:rsid w:val="00A5765D"/>
    <w:rsid w:val="00A607CB"/>
    <w:rsid w:val="00A60FFE"/>
    <w:rsid w:val="00A6201F"/>
    <w:rsid w:val="00A6351F"/>
    <w:rsid w:val="00A638AE"/>
    <w:rsid w:val="00A643E0"/>
    <w:rsid w:val="00A65A70"/>
    <w:rsid w:val="00A66F36"/>
    <w:rsid w:val="00A676D9"/>
    <w:rsid w:val="00A67EFC"/>
    <w:rsid w:val="00A7031E"/>
    <w:rsid w:val="00A70759"/>
    <w:rsid w:val="00A71140"/>
    <w:rsid w:val="00A72B7B"/>
    <w:rsid w:val="00A74692"/>
    <w:rsid w:val="00A7618B"/>
    <w:rsid w:val="00A7640B"/>
    <w:rsid w:val="00A7778B"/>
    <w:rsid w:val="00A803BC"/>
    <w:rsid w:val="00A80969"/>
    <w:rsid w:val="00A83BDD"/>
    <w:rsid w:val="00A84805"/>
    <w:rsid w:val="00A858C5"/>
    <w:rsid w:val="00A86EA7"/>
    <w:rsid w:val="00A87B30"/>
    <w:rsid w:val="00A91244"/>
    <w:rsid w:val="00A91731"/>
    <w:rsid w:val="00A91AA1"/>
    <w:rsid w:val="00A920EC"/>
    <w:rsid w:val="00A92776"/>
    <w:rsid w:val="00A93181"/>
    <w:rsid w:val="00A938E6"/>
    <w:rsid w:val="00A93CCF"/>
    <w:rsid w:val="00A95BD5"/>
    <w:rsid w:val="00A96F78"/>
    <w:rsid w:val="00A97CD6"/>
    <w:rsid w:val="00AA04F8"/>
    <w:rsid w:val="00AA0649"/>
    <w:rsid w:val="00AA1087"/>
    <w:rsid w:val="00AA150A"/>
    <w:rsid w:val="00AA25A9"/>
    <w:rsid w:val="00AA26D9"/>
    <w:rsid w:val="00AA27F5"/>
    <w:rsid w:val="00AA30C5"/>
    <w:rsid w:val="00AA3603"/>
    <w:rsid w:val="00AA3DEA"/>
    <w:rsid w:val="00AA404C"/>
    <w:rsid w:val="00AA4AE2"/>
    <w:rsid w:val="00AA51AD"/>
    <w:rsid w:val="00AA591E"/>
    <w:rsid w:val="00AA65C9"/>
    <w:rsid w:val="00AB0A32"/>
    <w:rsid w:val="00AB0E56"/>
    <w:rsid w:val="00AB35E5"/>
    <w:rsid w:val="00AB37DC"/>
    <w:rsid w:val="00AB3A15"/>
    <w:rsid w:val="00AB4ECC"/>
    <w:rsid w:val="00AB4FBA"/>
    <w:rsid w:val="00AB6601"/>
    <w:rsid w:val="00AB674E"/>
    <w:rsid w:val="00AB6D79"/>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9FF"/>
    <w:rsid w:val="00AD6F67"/>
    <w:rsid w:val="00AD702B"/>
    <w:rsid w:val="00AD72E6"/>
    <w:rsid w:val="00AD7311"/>
    <w:rsid w:val="00AD7C95"/>
    <w:rsid w:val="00AE0960"/>
    <w:rsid w:val="00AE0E33"/>
    <w:rsid w:val="00AE1257"/>
    <w:rsid w:val="00AE394B"/>
    <w:rsid w:val="00AE3DE1"/>
    <w:rsid w:val="00AE44AC"/>
    <w:rsid w:val="00AE507F"/>
    <w:rsid w:val="00AE5AA5"/>
    <w:rsid w:val="00AE6E76"/>
    <w:rsid w:val="00AE7527"/>
    <w:rsid w:val="00AF03CF"/>
    <w:rsid w:val="00AF259C"/>
    <w:rsid w:val="00AF2D54"/>
    <w:rsid w:val="00AF3458"/>
    <w:rsid w:val="00AF3F7B"/>
    <w:rsid w:val="00AF42B4"/>
    <w:rsid w:val="00AF4B8A"/>
    <w:rsid w:val="00AF4F1B"/>
    <w:rsid w:val="00AF53BE"/>
    <w:rsid w:val="00AF5EC6"/>
    <w:rsid w:val="00AF6E8A"/>
    <w:rsid w:val="00AF71D9"/>
    <w:rsid w:val="00AF7213"/>
    <w:rsid w:val="00AF7D92"/>
    <w:rsid w:val="00AF7FC8"/>
    <w:rsid w:val="00B011CC"/>
    <w:rsid w:val="00B025C7"/>
    <w:rsid w:val="00B0326C"/>
    <w:rsid w:val="00B04048"/>
    <w:rsid w:val="00B04946"/>
    <w:rsid w:val="00B04F3D"/>
    <w:rsid w:val="00B0519F"/>
    <w:rsid w:val="00B056DF"/>
    <w:rsid w:val="00B05702"/>
    <w:rsid w:val="00B05FEE"/>
    <w:rsid w:val="00B06DD9"/>
    <w:rsid w:val="00B07CD6"/>
    <w:rsid w:val="00B07E52"/>
    <w:rsid w:val="00B10010"/>
    <w:rsid w:val="00B110C4"/>
    <w:rsid w:val="00B11646"/>
    <w:rsid w:val="00B11775"/>
    <w:rsid w:val="00B12660"/>
    <w:rsid w:val="00B1274E"/>
    <w:rsid w:val="00B12D0F"/>
    <w:rsid w:val="00B1302D"/>
    <w:rsid w:val="00B133E5"/>
    <w:rsid w:val="00B13B77"/>
    <w:rsid w:val="00B149A6"/>
    <w:rsid w:val="00B14DC2"/>
    <w:rsid w:val="00B1513F"/>
    <w:rsid w:val="00B15B31"/>
    <w:rsid w:val="00B15B89"/>
    <w:rsid w:val="00B1746F"/>
    <w:rsid w:val="00B17EA8"/>
    <w:rsid w:val="00B20725"/>
    <w:rsid w:val="00B209EC"/>
    <w:rsid w:val="00B20B94"/>
    <w:rsid w:val="00B21F0C"/>
    <w:rsid w:val="00B22CD3"/>
    <w:rsid w:val="00B2506B"/>
    <w:rsid w:val="00B2628E"/>
    <w:rsid w:val="00B266B0"/>
    <w:rsid w:val="00B27921"/>
    <w:rsid w:val="00B3000E"/>
    <w:rsid w:val="00B326A8"/>
    <w:rsid w:val="00B329EB"/>
    <w:rsid w:val="00B33330"/>
    <w:rsid w:val="00B33508"/>
    <w:rsid w:val="00B3377E"/>
    <w:rsid w:val="00B337DA"/>
    <w:rsid w:val="00B35BC9"/>
    <w:rsid w:val="00B35DA4"/>
    <w:rsid w:val="00B36B65"/>
    <w:rsid w:val="00B37C6F"/>
    <w:rsid w:val="00B40A96"/>
    <w:rsid w:val="00B4184B"/>
    <w:rsid w:val="00B422A7"/>
    <w:rsid w:val="00B42A32"/>
    <w:rsid w:val="00B42FA6"/>
    <w:rsid w:val="00B4399E"/>
    <w:rsid w:val="00B43A16"/>
    <w:rsid w:val="00B44435"/>
    <w:rsid w:val="00B44B71"/>
    <w:rsid w:val="00B44EE2"/>
    <w:rsid w:val="00B45317"/>
    <w:rsid w:val="00B45C10"/>
    <w:rsid w:val="00B45CE1"/>
    <w:rsid w:val="00B46A75"/>
    <w:rsid w:val="00B46FB7"/>
    <w:rsid w:val="00B500CD"/>
    <w:rsid w:val="00B5239C"/>
    <w:rsid w:val="00B52FD2"/>
    <w:rsid w:val="00B53893"/>
    <w:rsid w:val="00B53E5A"/>
    <w:rsid w:val="00B546CC"/>
    <w:rsid w:val="00B548C2"/>
    <w:rsid w:val="00B54F05"/>
    <w:rsid w:val="00B55428"/>
    <w:rsid w:val="00B555FB"/>
    <w:rsid w:val="00B55E5C"/>
    <w:rsid w:val="00B56F74"/>
    <w:rsid w:val="00B570BF"/>
    <w:rsid w:val="00B57144"/>
    <w:rsid w:val="00B5729A"/>
    <w:rsid w:val="00B57F99"/>
    <w:rsid w:val="00B61188"/>
    <w:rsid w:val="00B63337"/>
    <w:rsid w:val="00B6369F"/>
    <w:rsid w:val="00B639D7"/>
    <w:rsid w:val="00B64AA7"/>
    <w:rsid w:val="00B66594"/>
    <w:rsid w:val="00B6674F"/>
    <w:rsid w:val="00B67805"/>
    <w:rsid w:val="00B70A76"/>
    <w:rsid w:val="00B721CD"/>
    <w:rsid w:val="00B7267A"/>
    <w:rsid w:val="00B726FF"/>
    <w:rsid w:val="00B727F4"/>
    <w:rsid w:val="00B7291A"/>
    <w:rsid w:val="00B72AA4"/>
    <w:rsid w:val="00B753B6"/>
    <w:rsid w:val="00B75454"/>
    <w:rsid w:val="00B76131"/>
    <w:rsid w:val="00B76BCD"/>
    <w:rsid w:val="00B76EE9"/>
    <w:rsid w:val="00B77880"/>
    <w:rsid w:val="00B77FD9"/>
    <w:rsid w:val="00B80D90"/>
    <w:rsid w:val="00B82537"/>
    <w:rsid w:val="00B82613"/>
    <w:rsid w:val="00B828B5"/>
    <w:rsid w:val="00B83B0D"/>
    <w:rsid w:val="00B83E73"/>
    <w:rsid w:val="00B84E9C"/>
    <w:rsid w:val="00B85522"/>
    <w:rsid w:val="00B869DF"/>
    <w:rsid w:val="00B8FA77"/>
    <w:rsid w:val="00B90E2A"/>
    <w:rsid w:val="00B90F2A"/>
    <w:rsid w:val="00B9198D"/>
    <w:rsid w:val="00B93008"/>
    <w:rsid w:val="00B9406D"/>
    <w:rsid w:val="00B944C0"/>
    <w:rsid w:val="00B9466F"/>
    <w:rsid w:val="00B94BA7"/>
    <w:rsid w:val="00B94BE9"/>
    <w:rsid w:val="00B94E0E"/>
    <w:rsid w:val="00B96736"/>
    <w:rsid w:val="00B97CA3"/>
    <w:rsid w:val="00BA143E"/>
    <w:rsid w:val="00BA3D7B"/>
    <w:rsid w:val="00BA675D"/>
    <w:rsid w:val="00BA76A9"/>
    <w:rsid w:val="00BB2266"/>
    <w:rsid w:val="00BB2416"/>
    <w:rsid w:val="00BB3E2B"/>
    <w:rsid w:val="00BB5043"/>
    <w:rsid w:val="00BB5D1C"/>
    <w:rsid w:val="00BB6552"/>
    <w:rsid w:val="00BB6B9B"/>
    <w:rsid w:val="00BB754F"/>
    <w:rsid w:val="00BC07D4"/>
    <w:rsid w:val="00BC0A5D"/>
    <w:rsid w:val="00BC0BE3"/>
    <w:rsid w:val="00BC1AD9"/>
    <w:rsid w:val="00BC32E7"/>
    <w:rsid w:val="00BC478E"/>
    <w:rsid w:val="00BC54A5"/>
    <w:rsid w:val="00BC58B9"/>
    <w:rsid w:val="00BC5F5F"/>
    <w:rsid w:val="00BC6A49"/>
    <w:rsid w:val="00BD0E81"/>
    <w:rsid w:val="00BD399D"/>
    <w:rsid w:val="00BD3E68"/>
    <w:rsid w:val="00BD5468"/>
    <w:rsid w:val="00BD598A"/>
    <w:rsid w:val="00BD692E"/>
    <w:rsid w:val="00BD75B4"/>
    <w:rsid w:val="00BD7BFE"/>
    <w:rsid w:val="00BD7D14"/>
    <w:rsid w:val="00BE02B4"/>
    <w:rsid w:val="00BE0A4E"/>
    <w:rsid w:val="00BE1553"/>
    <w:rsid w:val="00BE2797"/>
    <w:rsid w:val="00BE31D7"/>
    <w:rsid w:val="00BE3BE1"/>
    <w:rsid w:val="00BE4EC9"/>
    <w:rsid w:val="00BE51BF"/>
    <w:rsid w:val="00BE631E"/>
    <w:rsid w:val="00BE7646"/>
    <w:rsid w:val="00BF0BD4"/>
    <w:rsid w:val="00BF0CCF"/>
    <w:rsid w:val="00BF0FC5"/>
    <w:rsid w:val="00BF10BC"/>
    <w:rsid w:val="00BF21AC"/>
    <w:rsid w:val="00BF2452"/>
    <w:rsid w:val="00BF25EE"/>
    <w:rsid w:val="00BF2E53"/>
    <w:rsid w:val="00BF3133"/>
    <w:rsid w:val="00BF3669"/>
    <w:rsid w:val="00BF3C0D"/>
    <w:rsid w:val="00BF711C"/>
    <w:rsid w:val="00BF7C74"/>
    <w:rsid w:val="00C00ED8"/>
    <w:rsid w:val="00C02E65"/>
    <w:rsid w:val="00C03309"/>
    <w:rsid w:val="00C067D5"/>
    <w:rsid w:val="00C072FE"/>
    <w:rsid w:val="00C12E39"/>
    <w:rsid w:val="00C1339A"/>
    <w:rsid w:val="00C14164"/>
    <w:rsid w:val="00C14FA4"/>
    <w:rsid w:val="00C15D8E"/>
    <w:rsid w:val="00C1668C"/>
    <w:rsid w:val="00C16FC6"/>
    <w:rsid w:val="00C17012"/>
    <w:rsid w:val="00C178FB"/>
    <w:rsid w:val="00C2140A"/>
    <w:rsid w:val="00C22B28"/>
    <w:rsid w:val="00C22B5A"/>
    <w:rsid w:val="00C232AB"/>
    <w:rsid w:val="00C24077"/>
    <w:rsid w:val="00C257B7"/>
    <w:rsid w:val="00C25F86"/>
    <w:rsid w:val="00C272E8"/>
    <w:rsid w:val="00C311EC"/>
    <w:rsid w:val="00C320C0"/>
    <w:rsid w:val="00C321F5"/>
    <w:rsid w:val="00C33359"/>
    <w:rsid w:val="00C348D6"/>
    <w:rsid w:val="00C35389"/>
    <w:rsid w:val="00C365E7"/>
    <w:rsid w:val="00C36E34"/>
    <w:rsid w:val="00C404EE"/>
    <w:rsid w:val="00C40D2D"/>
    <w:rsid w:val="00C40FC3"/>
    <w:rsid w:val="00C4171B"/>
    <w:rsid w:val="00C42689"/>
    <w:rsid w:val="00C42988"/>
    <w:rsid w:val="00C42BD4"/>
    <w:rsid w:val="00C43547"/>
    <w:rsid w:val="00C43FF0"/>
    <w:rsid w:val="00C4421B"/>
    <w:rsid w:val="00C44641"/>
    <w:rsid w:val="00C45489"/>
    <w:rsid w:val="00C45EF5"/>
    <w:rsid w:val="00C46B7E"/>
    <w:rsid w:val="00C50A4E"/>
    <w:rsid w:val="00C50CE4"/>
    <w:rsid w:val="00C51A73"/>
    <w:rsid w:val="00C520B1"/>
    <w:rsid w:val="00C522D6"/>
    <w:rsid w:val="00C54020"/>
    <w:rsid w:val="00C5406F"/>
    <w:rsid w:val="00C545C5"/>
    <w:rsid w:val="00C55566"/>
    <w:rsid w:val="00C6038F"/>
    <w:rsid w:val="00C61D4B"/>
    <w:rsid w:val="00C62B0A"/>
    <w:rsid w:val="00C63F08"/>
    <w:rsid w:val="00C640FE"/>
    <w:rsid w:val="00C650CF"/>
    <w:rsid w:val="00C6528C"/>
    <w:rsid w:val="00C6598C"/>
    <w:rsid w:val="00C661E8"/>
    <w:rsid w:val="00C6648F"/>
    <w:rsid w:val="00C6715E"/>
    <w:rsid w:val="00C671D0"/>
    <w:rsid w:val="00C70084"/>
    <w:rsid w:val="00C70C3C"/>
    <w:rsid w:val="00C71582"/>
    <w:rsid w:val="00C718E9"/>
    <w:rsid w:val="00C7235B"/>
    <w:rsid w:val="00C72E18"/>
    <w:rsid w:val="00C731AD"/>
    <w:rsid w:val="00C73553"/>
    <w:rsid w:val="00C7380B"/>
    <w:rsid w:val="00C74421"/>
    <w:rsid w:val="00C74670"/>
    <w:rsid w:val="00C7542D"/>
    <w:rsid w:val="00C75F2F"/>
    <w:rsid w:val="00C75FEE"/>
    <w:rsid w:val="00C76F1D"/>
    <w:rsid w:val="00C77D26"/>
    <w:rsid w:val="00C80BDF"/>
    <w:rsid w:val="00C84D39"/>
    <w:rsid w:val="00C85277"/>
    <w:rsid w:val="00C8562B"/>
    <w:rsid w:val="00C85D76"/>
    <w:rsid w:val="00C864B8"/>
    <w:rsid w:val="00C869A3"/>
    <w:rsid w:val="00C8700A"/>
    <w:rsid w:val="00C873AC"/>
    <w:rsid w:val="00C906C6"/>
    <w:rsid w:val="00C917A6"/>
    <w:rsid w:val="00C93462"/>
    <w:rsid w:val="00C94384"/>
    <w:rsid w:val="00C94A34"/>
    <w:rsid w:val="00C94C2B"/>
    <w:rsid w:val="00C96860"/>
    <w:rsid w:val="00C96F79"/>
    <w:rsid w:val="00C97146"/>
    <w:rsid w:val="00C97CF9"/>
    <w:rsid w:val="00CA01F1"/>
    <w:rsid w:val="00CA0642"/>
    <w:rsid w:val="00CA17DD"/>
    <w:rsid w:val="00CA1863"/>
    <w:rsid w:val="00CA192A"/>
    <w:rsid w:val="00CA26CE"/>
    <w:rsid w:val="00CA391D"/>
    <w:rsid w:val="00CA3ACD"/>
    <w:rsid w:val="00CA4779"/>
    <w:rsid w:val="00CA4F8B"/>
    <w:rsid w:val="00CA519F"/>
    <w:rsid w:val="00CB002C"/>
    <w:rsid w:val="00CB09DA"/>
    <w:rsid w:val="00CB0BD9"/>
    <w:rsid w:val="00CB1CAC"/>
    <w:rsid w:val="00CB1D87"/>
    <w:rsid w:val="00CB1DE8"/>
    <w:rsid w:val="00CB1E3B"/>
    <w:rsid w:val="00CB1F1D"/>
    <w:rsid w:val="00CB4212"/>
    <w:rsid w:val="00CB600D"/>
    <w:rsid w:val="00CB71F8"/>
    <w:rsid w:val="00CB7EE0"/>
    <w:rsid w:val="00CC26DB"/>
    <w:rsid w:val="00CC300C"/>
    <w:rsid w:val="00CC35AE"/>
    <w:rsid w:val="00CC3DAA"/>
    <w:rsid w:val="00CC43B0"/>
    <w:rsid w:val="00CC49C7"/>
    <w:rsid w:val="00CC4C2C"/>
    <w:rsid w:val="00CC5057"/>
    <w:rsid w:val="00CC5603"/>
    <w:rsid w:val="00CC587F"/>
    <w:rsid w:val="00CD078F"/>
    <w:rsid w:val="00CD121E"/>
    <w:rsid w:val="00CD144A"/>
    <w:rsid w:val="00CD1922"/>
    <w:rsid w:val="00CD28F0"/>
    <w:rsid w:val="00CD386B"/>
    <w:rsid w:val="00CD3ED8"/>
    <w:rsid w:val="00CD736C"/>
    <w:rsid w:val="00CD761D"/>
    <w:rsid w:val="00CD76B5"/>
    <w:rsid w:val="00CE0024"/>
    <w:rsid w:val="00CE2346"/>
    <w:rsid w:val="00CE2B02"/>
    <w:rsid w:val="00CE4F2D"/>
    <w:rsid w:val="00CE6A8A"/>
    <w:rsid w:val="00CE6F0F"/>
    <w:rsid w:val="00CE7175"/>
    <w:rsid w:val="00CE7C7C"/>
    <w:rsid w:val="00CF002F"/>
    <w:rsid w:val="00CF0246"/>
    <w:rsid w:val="00CF0C02"/>
    <w:rsid w:val="00CF1899"/>
    <w:rsid w:val="00CF2483"/>
    <w:rsid w:val="00CF24E2"/>
    <w:rsid w:val="00CF272A"/>
    <w:rsid w:val="00CF393D"/>
    <w:rsid w:val="00CF41BB"/>
    <w:rsid w:val="00CF4ABD"/>
    <w:rsid w:val="00CF5A53"/>
    <w:rsid w:val="00CF5D28"/>
    <w:rsid w:val="00CF6942"/>
    <w:rsid w:val="00CF6F1E"/>
    <w:rsid w:val="00D001F9"/>
    <w:rsid w:val="00D0036E"/>
    <w:rsid w:val="00D00BB7"/>
    <w:rsid w:val="00D01EAD"/>
    <w:rsid w:val="00D0246D"/>
    <w:rsid w:val="00D035B9"/>
    <w:rsid w:val="00D060FF"/>
    <w:rsid w:val="00D064E8"/>
    <w:rsid w:val="00D06572"/>
    <w:rsid w:val="00D065CD"/>
    <w:rsid w:val="00D06A32"/>
    <w:rsid w:val="00D07D93"/>
    <w:rsid w:val="00D1037D"/>
    <w:rsid w:val="00D113DA"/>
    <w:rsid w:val="00D11D9A"/>
    <w:rsid w:val="00D12325"/>
    <w:rsid w:val="00D14487"/>
    <w:rsid w:val="00D15E7E"/>
    <w:rsid w:val="00D162EF"/>
    <w:rsid w:val="00D17F03"/>
    <w:rsid w:val="00D20016"/>
    <w:rsid w:val="00D207A7"/>
    <w:rsid w:val="00D20CD6"/>
    <w:rsid w:val="00D20E00"/>
    <w:rsid w:val="00D21DBE"/>
    <w:rsid w:val="00D2244B"/>
    <w:rsid w:val="00D2279F"/>
    <w:rsid w:val="00D22AF1"/>
    <w:rsid w:val="00D22E93"/>
    <w:rsid w:val="00D242DA"/>
    <w:rsid w:val="00D26448"/>
    <w:rsid w:val="00D264CE"/>
    <w:rsid w:val="00D26670"/>
    <w:rsid w:val="00D270F5"/>
    <w:rsid w:val="00D27137"/>
    <w:rsid w:val="00D275CA"/>
    <w:rsid w:val="00D27B8B"/>
    <w:rsid w:val="00D31B6E"/>
    <w:rsid w:val="00D3232B"/>
    <w:rsid w:val="00D3239F"/>
    <w:rsid w:val="00D324A4"/>
    <w:rsid w:val="00D3250C"/>
    <w:rsid w:val="00D328F6"/>
    <w:rsid w:val="00D3462C"/>
    <w:rsid w:val="00D35198"/>
    <w:rsid w:val="00D3584B"/>
    <w:rsid w:val="00D376F7"/>
    <w:rsid w:val="00D41004"/>
    <w:rsid w:val="00D42240"/>
    <w:rsid w:val="00D427C3"/>
    <w:rsid w:val="00D42EB8"/>
    <w:rsid w:val="00D4426B"/>
    <w:rsid w:val="00D44922"/>
    <w:rsid w:val="00D44932"/>
    <w:rsid w:val="00D46111"/>
    <w:rsid w:val="00D47953"/>
    <w:rsid w:val="00D47C16"/>
    <w:rsid w:val="00D502AF"/>
    <w:rsid w:val="00D50709"/>
    <w:rsid w:val="00D50764"/>
    <w:rsid w:val="00D50C12"/>
    <w:rsid w:val="00D518FF"/>
    <w:rsid w:val="00D51A77"/>
    <w:rsid w:val="00D52751"/>
    <w:rsid w:val="00D52859"/>
    <w:rsid w:val="00D53128"/>
    <w:rsid w:val="00D5354F"/>
    <w:rsid w:val="00D53649"/>
    <w:rsid w:val="00D53830"/>
    <w:rsid w:val="00D53DCD"/>
    <w:rsid w:val="00D54695"/>
    <w:rsid w:val="00D54FB3"/>
    <w:rsid w:val="00D55889"/>
    <w:rsid w:val="00D56B5F"/>
    <w:rsid w:val="00D57A3F"/>
    <w:rsid w:val="00D57AF0"/>
    <w:rsid w:val="00D57DCF"/>
    <w:rsid w:val="00D61FC2"/>
    <w:rsid w:val="00D62ECD"/>
    <w:rsid w:val="00D630F6"/>
    <w:rsid w:val="00D63C9B"/>
    <w:rsid w:val="00D64426"/>
    <w:rsid w:val="00D645A3"/>
    <w:rsid w:val="00D65D78"/>
    <w:rsid w:val="00D67BC5"/>
    <w:rsid w:val="00D7021B"/>
    <w:rsid w:val="00D7073E"/>
    <w:rsid w:val="00D70D33"/>
    <w:rsid w:val="00D71749"/>
    <w:rsid w:val="00D73077"/>
    <w:rsid w:val="00D736A2"/>
    <w:rsid w:val="00D73C57"/>
    <w:rsid w:val="00D740CD"/>
    <w:rsid w:val="00D742FF"/>
    <w:rsid w:val="00D758B3"/>
    <w:rsid w:val="00D76ADC"/>
    <w:rsid w:val="00D77413"/>
    <w:rsid w:val="00D7796B"/>
    <w:rsid w:val="00D80F4C"/>
    <w:rsid w:val="00D81F10"/>
    <w:rsid w:val="00D8201E"/>
    <w:rsid w:val="00D840D1"/>
    <w:rsid w:val="00D84A57"/>
    <w:rsid w:val="00D84C3B"/>
    <w:rsid w:val="00D85B6E"/>
    <w:rsid w:val="00D86873"/>
    <w:rsid w:val="00D874DF"/>
    <w:rsid w:val="00D87A12"/>
    <w:rsid w:val="00D901E6"/>
    <w:rsid w:val="00D90C06"/>
    <w:rsid w:val="00D918F4"/>
    <w:rsid w:val="00D91E13"/>
    <w:rsid w:val="00D930E1"/>
    <w:rsid w:val="00D9415C"/>
    <w:rsid w:val="00D941EE"/>
    <w:rsid w:val="00D942CC"/>
    <w:rsid w:val="00D94ADE"/>
    <w:rsid w:val="00D94D87"/>
    <w:rsid w:val="00D95358"/>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678"/>
    <w:rsid w:val="00DB39D4"/>
    <w:rsid w:val="00DB3A47"/>
    <w:rsid w:val="00DB4E06"/>
    <w:rsid w:val="00DB5636"/>
    <w:rsid w:val="00DB622B"/>
    <w:rsid w:val="00DB6A80"/>
    <w:rsid w:val="00DB6C06"/>
    <w:rsid w:val="00DB7B06"/>
    <w:rsid w:val="00DC0E0D"/>
    <w:rsid w:val="00DC1442"/>
    <w:rsid w:val="00DC2CCF"/>
    <w:rsid w:val="00DC3A9D"/>
    <w:rsid w:val="00DC3FF5"/>
    <w:rsid w:val="00DC45C0"/>
    <w:rsid w:val="00DC6C1E"/>
    <w:rsid w:val="00DC708C"/>
    <w:rsid w:val="00DC7951"/>
    <w:rsid w:val="00DD0F95"/>
    <w:rsid w:val="00DD192B"/>
    <w:rsid w:val="00DD1B23"/>
    <w:rsid w:val="00DD1C4B"/>
    <w:rsid w:val="00DD1F7B"/>
    <w:rsid w:val="00DD229E"/>
    <w:rsid w:val="00DD3029"/>
    <w:rsid w:val="00DD3C71"/>
    <w:rsid w:val="00DD4D01"/>
    <w:rsid w:val="00DD55E0"/>
    <w:rsid w:val="00DD5869"/>
    <w:rsid w:val="00DD59F5"/>
    <w:rsid w:val="00DD5E12"/>
    <w:rsid w:val="00DD6A61"/>
    <w:rsid w:val="00DE0C66"/>
    <w:rsid w:val="00DE0C67"/>
    <w:rsid w:val="00DE1904"/>
    <w:rsid w:val="00DE21C8"/>
    <w:rsid w:val="00DE2589"/>
    <w:rsid w:val="00DE3202"/>
    <w:rsid w:val="00DE3903"/>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7742"/>
    <w:rsid w:val="00DF7751"/>
    <w:rsid w:val="00E004EA"/>
    <w:rsid w:val="00E01399"/>
    <w:rsid w:val="00E02510"/>
    <w:rsid w:val="00E031BB"/>
    <w:rsid w:val="00E0424A"/>
    <w:rsid w:val="00E0520E"/>
    <w:rsid w:val="00E0576C"/>
    <w:rsid w:val="00E0626B"/>
    <w:rsid w:val="00E068BC"/>
    <w:rsid w:val="00E071E5"/>
    <w:rsid w:val="00E073F0"/>
    <w:rsid w:val="00E10761"/>
    <w:rsid w:val="00E108E4"/>
    <w:rsid w:val="00E1101D"/>
    <w:rsid w:val="00E11594"/>
    <w:rsid w:val="00E11D7A"/>
    <w:rsid w:val="00E11EEB"/>
    <w:rsid w:val="00E128F2"/>
    <w:rsid w:val="00E13883"/>
    <w:rsid w:val="00E13EE4"/>
    <w:rsid w:val="00E16463"/>
    <w:rsid w:val="00E20577"/>
    <w:rsid w:val="00E20CCC"/>
    <w:rsid w:val="00E215CE"/>
    <w:rsid w:val="00E231CD"/>
    <w:rsid w:val="00E239D1"/>
    <w:rsid w:val="00E26727"/>
    <w:rsid w:val="00E26970"/>
    <w:rsid w:val="00E27791"/>
    <w:rsid w:val="00E30F2D"/>
    <w:rsid w:val="00E313D4"/>
    <w:rsid w:val="00E319DB"/>
    <w:rsid w:val="00E31AFC"/>
    <w:rsid w:val="00E33889"/>
    <w:rsid w:val="00E33B0B"/>
    <w:rsid w:val="00E3409E"/>
    <w:rsid w:val="00E34F76"/>
    <w:rsid w:val="00E372D9"/>
    <w:rsid w:val="00E37BE5"/>
    <w:rsid w:val="00E41A27"/>
    <w:rsid w:val="00E4211B"/>
    <w:rsid w:val="00E4285A"/>
    <w:rsid w:val="00E430C7"/>
    <w:rsid w:val="00E44050"/>
    <w:rsid w:val="00E445BD"/>
    <w:rsid w:val="00E45832"/>
    <w:rsid w:val="00E45E0C"/>
    <w:rsid w:val="00E4608B"/>
    <w:rsid w:val="00E461CA"/>
    <w:rsid w:val="00E47CFA"/>
    <w:rsid w:val="00E501D3"/>
    <w:rsid w:val="00E5234E"/>
    <w:rsid w:val="00E53A01"/>
    <w:rsid w:val="00E54961"/>
    <w:rsid w:val="00E564C4"/>
    <w:rsid w:val="00E567C9"/>
    <w:rsid w:val="00E604C4"/>
    <w:rsid w:val="00E60809"/>
    <w:rsid w:val="00E60991"/>
    <w:rsid w:val="00E61300"/>
    <w:rsid w:val="00E614F2"/>
    <w:rsid w:val="00E635B9"/>
    <w:rsid w:val="00E64205"/>
    <w:rsid w:val="00E65D15"/>
    <w:rsid w:val="00E66C49"/>
    <w:rsid w:val="00E67EE5"/>
    <w:rsid w:val="00E7013A"/>
    <w:rsid w:val="00E726A0"/>
    <w:rsid w:val="00E74F5D"/>
    <w:rsid w:val="00E75D35"/>
    <w:rsid w:val="00E76034"/>
    <w:rsid w:val="00E767D3"/>
    <w:rsid w:val="00E80440"/>
    <w:rsid w:val="00E80515"/>
    <w:rsid w:val="00E81752"/>
    <w:rsid w:val="00E817E0"/>
    <w:rsid w:val="00E819FB"/>
    <w:rsid w:val="00E82B3D"/>
    <w:rsid w:val="00E82EE4"/>
    <w:rsid w:val="00E831E7"/>
    <w:rsid w:val="00E843B5"/>
    <w:rsid w:val="00E84848"/>
    <w:rsid w:val="00E84A3B"/>
    <w:rsid w:val="00E85307"/>
    <w:rsid w:val="00E87E13"/>
    <w:rsid w:val="00E907E4"/>
    <w:rsid w:val="00E90A24"/>
    <w:rsid w:val="00E90C34"/>
    <w:rsid w:val="00E919AC"/>
    <w:rsid w:val="00E91AC8"/>
    <w:rsid w:val="00E92244"/>
    <w:rsid w:val="00E946A6"/>
    <w:rsid w:val="00E947E4"/>
    <w:rsid w:val="00E94C9F"/>
    <w:rsid w:val="00E95C85"/>
    <w:rsid w:val="00E96A29"/>
    <w:rsid w:val="00E96B28"/>
    <w:rsid w:val="00E96FE6"/>
    <w:rsid w:val="00E97652"/>
    <w:rsid w:val="00E9765F"/>
    <w:rsid w:val="00EA0A5C"/>
    <w:rsid w:val="00EA0AD2"/>
    <w:rsid w:val="00EA0CF0"/>
    <w:rsid w:val="00EA1D43"/>
    <w:rsid w:val="00EA20B0"/>
    <w:rsid w:val="00EA443E"/>
    <w:rsid w:val="00EA4A9D"/>
    <w:rsid w:val="00EA4EC9"/>
    <w:rsid w:val="00EA5E0F"/>
    <w:rsid w:val="00EA6FE4"/>
    <w:rsid w:val="00EA7723"/>
    <w:rsid w:val="00EA7F4C"/>
    <w:rsid w:val="00EB1D47"/>
    <w:rsid w:val="00EB2146"/>
    <w:rsid w:val="00EB2317"/>
    <w:rsid w:val="00EB279B"/>
    <w:rsid w:val="00EB2ABB"/>
    <w:rsid w:val="00EB31DF"/>
    <w:rsid w:val="00EB4D36"/>
    <w:rsid w:val="00EB55CA"/>
    <w:rsid w:val="00EB584C"/>
    <w:rsid w:val="00EB5D88"/>
    <w:rsid w:val="00EB7307"/>
    <w:rsid w:val="00EC0CFF"/>
    <w:rsid w:val="00EC14B0"/>
    <w:rsid w:val="00EC1EE3"/>
    <w:rsid w:val="00EC204E"/>
    <w:rsid w:val="00EC249E"/>
    <w:rsid w:val="00EC2CFF"/>
    <w:rsid w:val="00EC440C"/>
    <w:rsid w:val="00EC4D33"/>
    <w:rsid w:val="00EC5F2F"/>
    <w:rsid w:val="00EC651E"/>
    <w:rsid w:val="00EC692E"/>
    <w:rsid w:val="00EC745E"/>
    <w:rsid w:val="00EC7EAF"/>
    <w:rsid w:val="00ED1759"/>
    <w:rsid w:val="00ED27C3"/>
    <w:rsid w:val="00ED33AE"/>
    <w:rsid w:val="00ED3775"/>
    <w:rsid w:val="00ED427D"/>
    <w:rsid w:val="00ED4A6D"/>
    <w:rsid w:val="00ED59EF"/>
    <w:rsid w:val="00ED6D4A"/>
    <w:rsid w:val="00ED6E42"/>
    <w:rsid w:val="00ED738C"/>
    <w:rsid w:val="00ED7918"/>
    <w:rsid w:val="00ED7F9A"/>
    <w:rsid w:val="00ED7FD3"/>
    <w:rsid w:val="00EE3663"/>
    <w:rsid w:val="00EE41C4"/>
    <w:rsid w:val="00EE4A40"/>
    <w:rsid w:val="00EE76A9"/>
    <w:rsid w:val="00EE799E"/>
    <w:rsid w:val="00EE7C7E"/>
    <w:rsid w:val="00EE7CA8"/>
    <w:rsid w:val="00EE7FA7"/>
    <w:rsid w:val="00EF1093"/>
    <w:rsid w:val="00EF1FCB"/>
    <w:rsid w:val="00EF21C3"/>
    <w:rsid w:val="00EF29F5"/>
    <w:rsid w:val="00EF2E6B"/>
    <w:rsid w:val="00EF6091"/>
    <w:rsid w:val="00F0030E"/>
    <w:rsid w:val="00F00405"/>
    <w:rsid w:val="00F00CD1"/>
    <w:rsid w:val="00F01E6B"/>
    <w:rsid w:val="00F0241C"/>
    <w:rsid w:val="00F04091"/>
    <w:rsid w:val="00F05759"/>
    <w:rsid w:val="00F071F5"/>
    <w:rsid w:val="00F10CB9"/>
    <w:rsid w:val="00F110D5"/>
    <w:rsid w:val="00F12351"/>
    <w:rsid w:val="00F16739"/>
    <w:rsid w:val="00F16DE2"/>
    <w:rsid w:val="00F17C5F"/>
    <w:rsid w:val="00F2052B"/>
    <w:rsid w:val="00F210C7"/>
    <w:rsid w:val="00F213FF"/>
    <w:rsid w:val="00F2260F"/>
    <w:rsid w:val="00F242AD"/>
    <w:rsid w:val="00F247F2"/>
    <w:rsid w:val="00F252A8"/>
    <w:rsid w:val="00F2608D"/>
    <w:rsid w:val="00F265F7"/>
    <w:rsid w:val="00F26DE4"/>
    <w:rsid w:val="00F27C15"/>
    <w:rsid w:val="00F27FA6"/>
    <w:rsid w:val="00F31D83"/>
    <w:rsid w:val="00F337F7"/>
    <w:rsid w:val="00F33DC8"/>
    <w:rsid w:val="00F34350"/>
    <w:rsid w:val="00F34444"/>
    <w:rsid w:val="00F34F36"/>
    <w:rsid w:val="00F360A6"/>
    <w:rsid w:val="00F36F33"/>
    <w:rsid w:val="00F4065A"/>
    <w:rsid w:val="00F408A8"/>
    <w:rsid w:val="00F40F19"/>
    <w:rsid w:val="00F423D5"/>
    <w:rsid w:val="00F4275C"/>
    <w:rsid w:val="00F447AC"/>
    <w:rsid w:val="00F45693"/>
    <w:rsid w:val="00F47983"/>
    <w:rsid w:val="00F47C8B"/>
    <w:rsid w:val="00F506DF"/>
    <w:rsid w:val="00F51F04"/>
    <w:rsid w:val="00F52339"/>
    <w:rsid w:val="00F5277A"/>
    <w:rsid w:val="00F532E8"/>
    <w:rsid w:val="00F537FF"/>
    <w:rsid w:val="00F560FE"/>
    <w:rsid w:val="00F57A69"/>
    <w:rsid w:val="00F605B6"/>
    <w:rsid w:val="00F6111C"/>
    <w:rsid w:val="00F613EC"/>
    <w:rsid w:val="00F614C0"/>
    <w:rsid w:val="00F61647"/>
    <w:rsid w:val="00F61F5F"/>
    <w:rsid w:val="00F63EF8"/>
    <w:rsid w:val="00F657CF"/>
    <w:rsid w:val="00F66A00"/>
    <w:rsid w:val="00F713A3"/>
    <w:rsid w:val="00F719B0"/>
    <w:rsid w:val="00F71A8F"/>
    <w:rsid w:val="00F73E5A"/>
    <w:rsid w:val="00F75330"/>
    <w:rsid w:val="00F76234"/>
    <w:rsid w:val="00F76BD9"/>
    <w:rsid w:val="00F80318"/>
    <w:rsid w:val="00F80703"/>
    <w:rsid w:val="00F808D8"/>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710"/>
    <w:rsid w:val="00F9397A"/>
    <w:rsid w:val="00F93A37"/>
    <w:rsid w:val="00F94182"/>
    <w:rsid w:val="00F944D9"/>
    <w:rsid w:val="00F94DB3"/>
    <w:rsid w:val="00F9606C"/>
    <w:rsid w:val="00F96500"/>
    <w:rsid w:val="00FA0509"/>
    <w:rsid w:val="00FA2261"/>
    <w:rsid w:val="00FA2B86"/>
    <w:rsid w:val="00FA2C70"/>
    <w:rsid w:val="00FA3AFA"/>
    <w:rsid w:val="00FA3F80"/>
    <w:rsid w:val="00FA413A"/>
    <w:rsid w:val="00FA4144"/>
    <w:rsid w:val="00FA4DDF"/>
    <w:rsid w:val="00FA68DC"/>
    <w:rsid w:val="00FA6E7F"/>
    <w:rsid w:val="00FA7114"/>
    <w:rsid w:val="00FB0826"/>
    <w:rsid w:val="00FB1A83"/>
    <w:rsid w:val="00FB2379"/>
    <w:rsid w:val="00FB3307"/>
    <w:rsid w:val="00FB4B8A"/>
    <w:rsid w:val="00FB5152"/>
    <w:rsid w:val="00FB59FD"/>
    <w:rsid w:val="00FB680E"/>
    <w:rsid w:val="00FC0065"/>
    <w:rsid w:val="00FC3AEE"/>
    <w:rsid w:val="00FC6238"/>
    <w:rsid w:val="00FC78AD"/>
    <w:rsid w:val="00FD0D70"/>
    <w:rsid w:val="00FD1BDA"/>
    <w:rsid w:val="00FD33FC"/>
    <w:rsid w:val="00FD3730"/>
    <w:rsid w:val="00FD3A9B"/>
    <w:rsid w:val="00FD3ADE"/>
    <w:rsid w:val="00FD3B08"/>
    <w:rsid w:val="00FD3C4F"/>
    <w:rsid w:val="00FD4806"/>
    <w:rsid w:val="00FD4BA4"/>
    <w:rsid w:val="00FD4DD3"/>
    <w:rsid w:val="00FD534E"/>
    <w:rsid w:val="00FD56C7"/>
    <w:rsid w:val="00FD5CBB"/>
    <w:rsid w:val="00FD5F24"/>
    <w:rsid w:val="00FD6B74"/>
    <w:rsid w:val="00FD6EAA"/>
    <w:rsid w:val="00FD70AE"/>
    <w:rsid w:val="00FE002E"/>
    <w:rsid w:val="00FE04B0"/>
    <w:rsid w:val="00FE1223"/>
    <w:rsid w:val="00FE2398"/>
    <w:rsid w:val="00FE2427"/>
    <w:rsid w:val="00FE515A"/>
    <w:rsid w:val="00FE5624"/>
    <w:rsid w:val="00FE5D2C"/>
    <w:rsid w:val="00FE5FBF"/>
    <w:rsid w:val="00FE6C25"/>
    <w:rsid w:val="00FE7644"/>
    <w:rsid w:val="00FF000F"/>
    <w:rsid w:val="00FF0212"/>
    <w:rsid w:val="00FF033A"/>
    <w:rsid w:val="00FF035A"/>
    <w:rsid w:val="00FF04F9"/>
    <w:rsid w:val="00FF0964"/>
    <w:rsid w:val="00FF16F2"/>
    <w:rsid w:val="00FF1D24"/>
    <w:rsid w:val="00FF2B42"/>
    <w:rsid w:val="00FF3413"/>
    <w:rsid w:val="00FF3B7F"/>
    <w:rsid w:val="00FF6822"/>
    <w:rsid w:val="00FF69AF"/>
    <w:rsid w:val="00FF73D0"/>
    <w:rsid w:val="0A2C6489"/>
    <w:rsid w:val="0FDC08DB"/>
    <w:rsid w:val="14010E9A"/>
    <w:rsid w:val="17124F94"/>
    <w:rsid w:val="2562ABD0"/>
    <w:rsid w:val="26830F0C"/>
    <w:rsid w:val="27E98FBE"/>
    <w:rsid w:val="2E8C2FE1"/>
    <w:rsid w:val="34B8A9D4"/>
    <w:rsid w:val="3F800E41"/>
    <w:rsid w:val="4FB8EC98"/>
    <w:rsid w:val="50F6EDAA"/>
    <w:rsid w:val="66D78138"/>
    <w:rsid w:val="7193A0B0"/>
    <w:rsid w:val="73BA0079"/>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B1Zchn">
    <w:name w:val="B1 Zchn"/>
    <w:rsid w:val="001E01A8"/>
    <w:rPr>
      <w:lang w:eastAsia="en-US"/>
    </w:rPr>
  </w:style>
  <w:style w:type="character" w:customStyle="1" w:styleId="B2Char">
    <w:name w:val="B2 Char"/>
    <w:link w:val="B2"/>
    <w:rsid w:val="001E01A8"/>
    <w:rPr>
      <w:rFonts w:ascii="Times New Roman" w:hAnsi="Times New Roman"/>
      <w:lang w:val="en-GB"/>
    </w:rPr>
  </w:style>
  <w:style w:type="character" w:customStyle="1" w:styleId="THChar">
    <w:name w:val="TH Char"/>
    <w:link w:val="TH"/>
    <w:rsid w:val="00BE7646"/>
    <w:rPr>
      <w:rFonts w:ascii="Arial" w:hAnsi="Arial"/>
      <w:b/>
      <w:lang w:val="en-GB"/>
    </w:rPr>
  </w:style>
  <w:style w:type="character" w:customStyle="1" w:styleId="TACChar">
    <w:name w:val="TAC Char"/>
    <w:link w:val="TAC"/>
    <w:locked/>
    <w:rsid w:val="00BE7646"/>
    <w:rPr>
      <w:rFonts w:ascii="Arial" w:hAnsi="Arial"/>
      <w:sz w:val="18"/>
      <w:lang w:val="en-GB"/>
    </w:rPr>
  </w:style>
  <w:style w:type="character" w:customStyle="1" w:styleId="TAHCar">
    <w:name w:val="TAH Car"/>
    <w:link w:val="TAH"/>
    <w:rsid w:val="00BE7646"/>
    <w:rPr>
      <w:rFonts w:ascii="Arial" w:hAnsi="Arial"/>
      <w:b/>
      <w:sz w:val="18"/>
      <w:lang w:val="en-GB"/>
    </w:rPr>
  </w:style>
  <w:style w:type="character" w:customStyle="1" w:styleId="B10">
    <w:name w:val="B1 (文字)"/>
    <w:qFormat/>
    <w:locked/>
    <w:rsid w:val="00505427"/>
    <w:rPr>
      <w:rFonts w:asciiTheme="minorHAnsi" w:eastAsiaTheme="minorHAnsi" w:hAnsiTheme="minorHAnsi" w:cstheme="minorBidi"/>
      <w:sz w:val="22"/>
      <w:szCs w:val="22"/>
      <w:lang w:val="fi-FI"/>
    </w:rPr>
  </w:style>
  <w:style w:type="character" w:customStyle="1" w:styleId="PLChar">
    <w:name w:val="PL Char"/>
    <w:link w:val="PL"/>
    <w:qFormat/>
    <w:locked/>
    <w:rsid w:val="006818BE"/>
    <w:rPr>
      <w:rFonts w:ascii="Courier New" w:hAnsi="Courier New"/>
      <w:noProof/>
      <w:sz w:val="16"/>
    </w:rPr>
  </w:style>
  <w:style w:type="table" w:styleId="TableGridLight">
    <w:name w:val="Grid Table Light"/>
    <w:basedOn w:val="TableNormal"/>
    <w:uiPriority w:val="40"/>
    <w:rsid w:val="00685C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4">
    <w:name w:val="Grid Table 1 Light Accent 4"/>
    <w:basedOn w:val="TableNormal"/>
    <w:uiPriority w:val="46"/>
    <w:rsid w:val="00685C9D"/>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685C9D"/>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Accent4">
    <w:name w:val="Grid Table 2 Accent 4"/>
    <w:basedOn w:val="TableNormal"/>
    <w:uiPriority w:val="47"/>
    <w:rsid w:val="00685C9D"/>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5">
    <w:name w:val="Grid Table 5 Dark Accent 5"/>
    <w:basedOn w:val="TableNormal"/>
    <w:uiPriority w:val="50"/>
    <w:rsid w:val="00685C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textChar">
    <w:name w:val="text Char"/>
    <w:basedOn w:val="DefaultParagraphFont"/>
    <w:link w:val="text"/>
    <w:locked/>
    <w:rsid w:val="00B76131"/>
    <w:rPr>
      <w:rFonts w:ascii="Times" w:hAnsi="Times" w:cs="Times"/>
      <w:sz w:val="24"/>
      <w:szCs w:val="24"/>
      <w:lang w:val="x-none"/>
    </w:rPr>
  </w:style>
  <w:style w:type="paragraph" w:customStyle="1" w:styleId="text">
    <w:name w:val="text"/>
    <w:basedOn w:val="Normal"/>
    <w:link w:val="textChar"/>
    <w:qFormat/>
    <w:rsid w:val="00B76131"/>
    <w:pPr>
      <w:overflowPunct/>
      <w:autoSpaceDE/>
      <w:autoSpaceDN/>
      <w:adjustRightInd/>
      <w:spacing w:after="0"/>
      <w:textAlignment w:val="auto"/>
    </w:pPr>
    <w:rPr>
      <w:rFonts w:ascii="Times" w:hAnsi="Times" w:cs="Times"/>
      <w:sz w:val="24"/>
      <w:szCs w:val="24"/>
      <w:lang w:val="x-none"/>
    </w:rPr>
  </w:style>
  <w:style w:type="character" w:customStyle="1" w:styleId="bullet1Char">
    <w:name w:val="bullet1 Char"/>
    <w:basedOn w:val="textChar"/>
    <w:link w:val="bullet1"/>
    <w:locked/>
    <w:rsid w:val="00B76131"/>
    <w:rPr>
      <w:rFonts w:ascii="Times" w:hAnsi="Times" w:cs="Times"/>
      <w:sz w:val="24"/>
      <w:szCs w:val="24"/>
      <w:lang w:val="x-none"/>
    </w:rPr>
  </w:style>
  <w:style w:type="paragraph" w:customStyle="1" w:styleId="bullet1">
    <w:name w:val="bullet1"/>
    <w:basedOn w:val="text"/>
    <w:link w:val="bullet1Char"/>
    <w:qFormat/>
    <w:rsid w:val="00B76131"/>
    <w:pPr>
      <w:numPr>
        <w:numId w:val="21"/>
      </w:numPr>
    </w:pPr>
  </w:style>
  <w:style w:type="character" w:customStyle="1" w:styleId="bullet2Char">
    <w:name w:val="bullet2 Char"/>
    <w:basedOn w:val="textChar"/>
    <w:link w:val="bullet2"/>
    <w:locked/>
    <w:rsid w:val="00B76131"/>
    <w:rPr>
      <w:rFonts w:ascii="Times" w:hAnsi="Times" w:cs="Times"/>
      <w:sz w:val="24"/>
      <w:szCs w:val="24"/>
      <w:lang w:val="x-none"/>
    </w:rPr>
  </w:style>
  <w:style w:type="paragraph" w:customStyle="1" w:styleId="bullet2">
    <w:name w:val="bullet2"/>
    <w:basedOn w:val="text"/>
    <w:link w:val="bullet2Char"/>
    <w:qFormat/>
    <w:rsid w:val="00B76131"/>
    <w:pPr>
      <w:numPr>
        <w:ilvl w:val="1"/>
        <w:numId w:val="21"/>
      </w:numPr>
    </w:pPr>
  </w:style>
  <w:style w:type="character" w:customStyle="1" w:styleId="bullet3Char">
    <w:name w:val="bullet3 Char"/>
    <w:basedOn w:val="textChar"/>
    <w:link w:val="bullet3"/>
    <w:locked/>
    <w:rsid w:val="00B76131"/>
    <w:rPr>
      <w:rFonts w:ascii="Times" w:hAnsi="Times" w:cs="Times"/>
      <w:sz w:val="24"/>
      <w:szCs w:val="24"/>
      <w:lang w:val="x-none"/>
    </w:rPr>
  </w:style>
  <w:style w:type="paragraph" w:customStyle="1" w:styleId="bullet3">
    <w:name w:val="bullet3"/>
    <w:basedOn w:val="text"/>
    <w:link w:val="bullet3Char"/>
    <w:qFormat/>
    <w:rsid w:val="00B76131"/>
    <w:pPr>
      <w:numPr>
        <w:ilvl w:val="2"/>
        <w:numId w:val="21"/>
      </w:numPr>
      <w:ind w:hanging="180"/>
    </w:pPr>
  </w:style>
  <w:style w:type="paragraph" w:customStyle="1" w:styleId="bullet4">
    <w:name w:val="bullet4"/>
    <w:basedOn w:val="text"/>
    <w:qFormat/>
    <w:rsid w:val="00B76131"/>
    <w:pPr>
      <w:numPr>
        <w:ilvl w:val="3"/>
        <w:numId w:val="21"/>
      </w:numPr>
      <w:tabs>
        <w:tab w:val="num" w:pos="360"/>
        <w:tab w:val="num" w:pos="2520"/>
        <w:tab w:val="num" w:pos="2880"/>
      </w:tabs>
      <w:ind w:left="0" w:firstLine="0"/>
    </w:pPr>
  </w:style>
  <w:style w:type="character" w:customStyle="1" w:styleId="fontstyle01">
    <w:name w:val="fontstyle01"/>
    <w:basedOn w:val="DefaultParagraphFont"/>
    <w:rsid w:val="0091433E"/>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91433E"/>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91433E"/>
    <w:rPr>
      <w:rFonts w:ascii="SymbolMT" w:hAnsi="SymbolMT" w:hint="default"/>
      <w:b w:val="0"/>
      <w:bCs w:val="0"/>
      <w:i w:val="0"/>
      <w:iCs w:val="0"/>
      <w:color w:val="000000"/>
      <w:sz w:val="84"/>
      <w:szCs w:val="84"/>
    </w:rPr>
  </w:style>
  <w:style w:type="character" w:customStyle="1" w:styleId="TALCar">
    <w:name w:val="TAL Car"/>
    <w:link w:val="TAL"/>
    <w:qFormat/>
    <w:locked/>
    <w:rsid w:val="00BF245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1907910">
      <w:bodyDiv w:val="1"/>
      <w:marLeft w:val="0"/>
      <w:marRight w:val="0"/>
      <w:marTop w:val="0"/>
      <w:marBottom w:val="0"/>
      <w:divBdr>
        <w:top w:val="none" w:sz="0" w:space="0" w:color="auto"/>
        <w:left w:val="none" w:sz="0" w:space="0" w:color="auto"/>
        <w:bottom w:val="none" w:sz="0" w:space="0" w:color="auto"/>
        <w:right w:val="none" w:sz="0" w:space="0" w:color="auto"/>
      </w:divBdr>
      <w:divsChild>
        <w:div w:id="1551960569">
          <w:marLeft w:val="547"/>
          <w:marRight w:val="0"/>
          <w:marTop w:val="0"/>
          <w:marBottom w:val="0"/>
          <w:divBdr>
            <w:top w:val="none" w:sz="0" w:space="0" w:color="auto"/>
            <w:left w:val="none" w:sz="0" w:space="0" w:color="auto"/>
            <w:bottom w:val="none" w:sz="0" w:space="0" w:color="auto"/>
            <w:right w:val="none" w:sz="0" w:space="0" w:color="auto"/>
          </w:divBdr>
        </w:div>
        <w:div w:id="1597204675">
          <w:marLeft w:val="547"/>
          <w:marRight w:val="0"/>
          <w:marTop w:val="0"/>
          <w:marBottom w:val="0"/>
          <w:divBdr>
            <w:top w:val="none" w:sz="0" w:space="0" w:color="auto"/>
            <w:left w:val="none" w:sz="0" w:space="0" w:color="auto"/>
            <w:bottom w:val="none" w:sz="0" w:space="0" w:color="auto"/>
            <w:right w:val="none" w:sz="0" w:space="0" w:color="auto"/>
          </w:divBdr>
        </w:div>
        <w:div w:id="950015570">
          <w:marLeft w:val="547"/>
          <w:marRight w:val="0"/>
          <w:marTop w:val="0"/>
          <w:marBottom w:val="0"/>
          <w:divBdr>
            <w:top w:val="none" w:sz="0" w:space="0" w:color="auto"/>
            <w:left w:val="none" w:sz="0" w:space="0" w:color="auto"/>
            <w:bottom w:val="none" w:sz="0" w:space="0" w:color="auto"/>
            <w:right w:val="none" w:sz="0" w:space="0" w:color="auto"/>
          </w:divBdr>
        </w:div>
        <w:div w:id="889269636">
          <w:marLeft w:val="1166"/>
          <w:marRight w:val="0"/>
          <w:marTop w:val="0"/>
          <w:marBottom w:val="0"/>
          <w:divBdr>
            <w:top w:val="none" w:sz="0" w:space="0" w:color="auto"/>
            <w:left w:val="none" w:sz="0" w:space="0" w:color="auto"/>
            <w:bottom w:val="none" w:sz="0" w:space="0" w:color="auto"/>
            <w:right w:val="none" w:sz="0" w:space="0" w:color="auto"/>
          </w:divBdr>
        </w:div>
        <w:div w:id="968240558">
          <w:marLeft w:val="1166"/>
          <w:marRight w:val="0"/>
          <w:marTop w:val="0"/>
          <w:marBottom w:val="0"/>
          <w:divBdr>
            <w:top w:val="none" w:sz="0" w:space="0" w:color="auto"/>
            <w:left w:val="none" w:sz="0" w:space="0" w:color="auto"/>
            <w:bottom w:val="none" w:sz="0" w:space="0" w:color="auto"/>
            <w:right w:val="none" w:sz="0" w:space="0" w:color="auto"/>
          </w:divBdr>
        </w:div>
        <w:div w:id="1815949654">
          <w:marLeft w:val="1800"/>
          <w:marRight w:val="0"/>
          <w:marTop w:val="0"/>
          <w:marBottom w:val="0"/>
          <w:divBdr>
            <w:top w:val="none" w:sz="0" w:space="0" w:color="auto"/>
            <w:left w:val="none" w:sz="0" w:space="0" w:color="auto"/>
            <w:bottom w:val="none" w:sz="0" w:space="0" w:color="auto"/>
            <w:right w:val="none" w:sz="0" w:space="0" w:color="auto"/>
          </w:divBdr>
        </w:div>
        <w:div w:id="418868626">
          <w:marLeft w:val="2520"/>
          <w:marRight w:val="0"/>
          <w:marTop w:val="0"/>
          <w:marBottom w:val="0"/>
          <w:divBdr>
            <w:top w:val="none" w:sz="0" w:space="0" w:color="auto"/>
            <w:left w:val="none" w:sz="0" w:space="0" w:color="auto"/>
            <w:bottom w:val="none" w:sz="0" w:space="0" w:color="auto"/>
            <w:right w:val="none" w:sz="0" w:space="0" w:color="auto"/>
          </w:divBdr>
        </w:div>
        <w:div w:id="917058398">
          <w:marLeft w:val="2520"/>
          <w:marRight w:val="0"/>
          <w:marTop w:val="0"/>
          <w:marBottom w:val="0"/>
          <w:divBdr>
            <w:top w:val="none" w:sz="0" w:space="0" w:color="auto"/>
            <w:left w:val="none" w:sz="0" w:space="0" w:color="auto"/>
            <w:bottom w:val="none" w:sz="0" w:space="0" w:color="auto"/>
            <w:right w:val="none" w:sz="0" w:space="0" w:color="auto"/>
          </w:divBdr>
        </w:div>
        <w:div w:id="1214925784">
          <w:marLeft w:val="1166"/>
          <w:marRight w:val="0"/>
          <w:marTop w:val="0"/>
          <w:marBottom w:val="0"/>
          <w:divBdr>
            <w:top w:val="none" w:sz="0" w:space="0" w:color="auto"/>
            <w:left w:val="none" w:sz="0" w:space="0" w:color="auto"/>
            <w:bottom w:val="none" w:sz="0" w:space="0" w:color="auto"/>
            <w:right w:val="none" w:sz="0" w:space="0" w:color="auto"/>
          </w:divBdr>
        </w:div>
        <w:div w:id="4023446">
          <w:marLeft w:val="547"/>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10321346">
      <w:bodyDiv w:val="1"/>
      <w:marLeft w:val="0"/>
      <w:marRight w:val="0"/>
      <w:marTop w:val="0"/>
      <w:marBottom w:val="0"/>
      <w:divBdr>
        <w:top w:val="none" w:sz="0" w:space="0" w:color="auto"/>
        <w:left w:val="none" w:sz="0" w:space="0" w:color="auto"/>
        <w:bottom w:val="none" w:sz="0" w:space="0" w:color="auto"/>
        <w:right w:val="none" w:sz="0" w:space="0" w:color="auto"/>
      </w:divBdr>
    </w:div>
    <w:div w:id="121772798">
      <w:bodyDiv w:val="1"/>
      <w:marLeft w:val="0"/>
      <w:marRight w:val="0"/>
      <w:marTop w:val="0"/>
      <w:marBottom w:val="0"/>
      <w:divBdr>
        <w:top w:val="none" w:sz="0" w:space="0" w:color="auto"/>
        <w:left w:val="none" w:sz="0" w:space="0" w:color="auto"/>
        <w:bottom w:val="none" w:sz="0" w:space="0" w:color="auto"/>
        <w:right w:val="none" w:sz="0" w:space="0" w:color="auto"/>
      </w:divBdr>
      <w:divsChild>
        <w:div w:id="1862812480">
          <w:marLeft w:val="446"/>
          <w:marRight w:val="0"/>
          <w:marTop w:val="0"/>
          <w:marBottom w:val="0"/>
          <w:divBdr>
            <w:top w:val="none" w:sz="0" w:space="0" w:color="auto"/>
            <w:left w:val="none" w:sz="0" w:space="0" w:color="auto"/>
            <w:bottom w:val="none" w:sz="0" w:space="0" w:color="auto"/>
            <w:right w:val="none" w:sz="0" w:space="0" w:color="auto"/>
          </w:divBdr>
        </w:div>
      </w:divsChild>
    </w:div>
    <w:div w:id="137378117">
      <w:bodyDiv w:val="1"/>
      <w:marLeft w:val="0"/>
      <w:marRight w:val="0"/>
      <w:marTop w:val="0"/>
      <w:marBottom w:val="0"/>
      <w:divBdr>
        <w:top w:val="none" w:sz="0" w:space="0" w:color="auto"/>
        <w:left w:val="none" w:sz="0" w:space="0" w:color="auto"/>
        <w:bottom w:val="none" w:sz="0" w:space="0" w:color="auto"/>
        <w:right w:val="none" w:sz="0" w:space="0" w:color="auto"/>
      </w:divBdr>
    </w:div>
    <w:div w:id="160046575">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870937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184525">
      <w:bodyDiv w:val="1"/>
      <w:marLeft w:val="0"/>
      <w:marRight w:val="0"/>
      <w:marTop w:val="0"/>
      <w:marBottom w:val="0"/>
      <w:divBdr>
        <w:top w:val="none" w:sz="0" w:space="0" w:color="auto"/>
        <w:left w:val="none" w:sz="0" w:space="0" w:color="auto"/>
        <w:bottom w:val="none" w:sz="0" w:space="0" w:color="auto"/>
        <w:right w:val="none" w:sz="0" w:space="0" w:color="auto"/>
      </w:divBdr>
      <w:divsChild>
        <w:div w:id="1410158855">
          <w:marLeft w:val="547"/>
          <w:marRight w:val="0"/>
          <w:marTop w:val="0"/>
          <w:marBottom w:val="0"/>
          <w:divBdr>
            <w:top w:val="none" w:sz="0" w:space="0" w:color="auto"/>
            <w:left w:val="none" w:sz="0" w:space="0" w:color="auto"/>
            <w:bottom w:val="none" w:sz="0" w:space="0" w:color="auto"/>
            <w:right w:val="none" w:sz="0" w:space="0" w:color="auto"/>
          </w:divBdr>
        </w:div>
        <w:div w:id="956646419">
          <w:marLeft w:val="1166"/>
          <w:marRight w:val="0"/>
          <w:marTop w:val="0"/>
          <w:marBottom w:val="0"/>
          <w:divBdr>
            <w:top w:val="none" w:sz="0" w:space="0" w:color="auto"/>
            <w:left w:val="none" w:sz="0" w:space="0" w:color="auto"/>
            <w:bottom w:val="none" w:sz="0" w:space="0" w:color="auto"/>
            <w:right w:val="none" w:sz="0" w:space="0" w:color="auto"/>
          </w:divBdr>
        </w:div>
        <w:div w:id="394398335">
          <w:marLeft w:val="1166"/>
          <w:marRight w:val="0"/>
          <w:marTop w:val="0"/>
          <w:marBottom w:val="0"/>
          <w:divBdr>
            <w:top w:val="none" w:sz="0" w:space="0" w:color="auto"/>
            <w:left w:val="none" w:sz="0" w:space="0" w:color="auto"/>
            <w:bottom w:val="none" w:sz="0" w:space="0" w:color="auto"/>
            <w:right w:val="none" w:sz="0" w:space="0" w:color="auto"/>
          </w:divBdr>
        </w:div>
        <w:div w:id="1830320635">
          <w:marLeft w:val="1800"/>
          <w:marRight w:val="0"/>
          <w:marTop w:val="0"/>
          <w:marBottom w:val="0"/>
          <w:divBdr>
            <w:top w:val="none" w:sz="0" w:space="0" w:color="auto"/>
            <w:left w:val="none" w:sz="0" w:space="0" w:color="auto"/>
            <w:bottom w:val="none" w:sz="0" w:space="0" w:color="auto"/>
            <w:right w:val="none" w:sz="0" w:space="0" w:color="auto"/>
          </w:divBdr>
        </w:div>
        <w:div w:id="1325469772">
          <w:marLeft w:val="1800"/>
          <w:marRight w:val="0"/>
          <w:marTop w:val="0"/>
          <w:marBottom w:val="0"/>
          <w:divBdr>
            <w:top w:val="none" w:sz="0" w:space="0" w:color="auto"/>
            <w:left w:val="none" w:sz="0" w:space="0" w:color="auto"/>
            <w:bottom w:val="none" w:sz="0" w:space="0" w:color="auto"/>
            <w:right w:val="none" w:sz="0" w:space="0" w:color="auto"/>
          </w:divBdr>
        </w:div>
        <w:div w:id="375198722">
          <w:marLeft w:val="1800"/>
          <w:marRight w:val="0"/>
          <w:marTop w:val="0"/>
          <w:marBottom w:val="0"/>
          <w:divBdr>
            <w:top w:val="none" w:sz="0" w:space="0" w:color="auto"/>
            <w:left w:val="none" w:sz="0" w:space="0" w:color="auto"/>
            <w:bottom w:val="none" w:sz="0" w:space="0" w:color="auto"/>
            <w:right w:val="none" w:sz="0" w:space="0" w:color="auto"/>
          </w:divBdr>
        </w:div>
        <w:div w:id="575012952">
          <w:marLeft w:val="2520"/>
          <w:marRight w:val="0"/>
          <w:marTop w:val="0"/>
          <w:marBottom w:val="0"/>
          <w:divBdr>
            <w:top w:val="none" w:sz="0" w:space="0" w:color="auto"/>
            <w:left w:val="none" w:sz="0" w:space="0" w:color="auto"/>
            <w:bottom w:val="none" w:sz="0" w:space="0" w:color="auto"/>
            <w:right w:val="none" w:sz="0" w:space="0" w:color="auto"/>
          </w:divBdr>
        </w:div>
        <w:div w:id="1873568161">
          <w:marLeft w:val="1166"/>
          <w:marRight w:val="0"/>
          <w:marTop w:val="0"/>
          <w:marBottom w:val="0"/>
          <w:divBdr>
            <w:top w:val="none" w:sz="0" w:space="0" w:color="auto"/>
            <w:left w:val="none" w:sz="0" w:space="0" w:color="auto"/>
            <w:bottom w:val="none" w:sz="0" w:space="0" w:color="auto"/>
            <w:right w:val="none" w:sz="0" w:space="0" w:color="auto"/>
          </w:divBdr>
        </w:div>
        <w:div w:id="363949375">
          <w:marLeft w:val="1800"/>
          <w:marRight w:val="0"/>
          <w:marTop w:val="0"/>
          <w:marBottom w:val="0"/>
          <w:divBdr>
            <w:top w:val="none" w:sz="0" w:space="0" w:color="auto"/>
            <w:left w:val="none" w:sz="0" w:space="0" w:color="auto"/>
            <w:bottom w:val="none" w:sz="0" w:space="0" w:color="auto"/>
            <w:right w:val="none" w:sz="0" w:space="0" w:color="auto"/>
          </w:divBdr>
        </w:div>
        <w:div w:id="2013070080">
          <w:marLeft w:val="1800"/>
          <w:marRight w:val="0"/>
          <w:marTop w:val="0"/>
          <w:marBottom w:val="0"/>
          <w:divBdr>
            <w:top w:val="none" w:sz="0" w:space="0" w:color="auto"/>
            <w:left w:val="none" w:sz="0" w:space="0" w:color="auto"/>
            <w:bottom w:val="none" w:sz="0" w:space="0" w:color="auto"/>
            <w:right w:val="none" w:sz="0" w:space="0" w:color="auto"/>
          </w:divBdr>
        </w:div>
        <w:div w:id="1871065829">
          <w:marLeft w:val="1800"/>
          <w:marRight w:val="0"/>
          <w:marTop w:val="0"/>
          <w:marBottom w:val="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8738199">
      <w:bodyDiv w:val="1"/>
      <w:marLeft w:val="0"/>
      <w:marRight w:val="0"/>
      <w:marTop w:val="0"/>
      <w:marBottom w:val="0"/>
      <w:divBdr>
        <w:top w:val="none" w:sz="0" w:space="0" w:color="auto"/>
        <w:left w:val="none" w:sz="0" w:space="0" w:color="auto"/>
        <w:bottom w:val="none" w:sz="0" w:space="0" w:color="auto"/>
        <w:right w:val="none" w:sz="0" w:space="0" w:color="auto"/>
      </w:divBdr>
      <w:divsChild>
        <w:div w:id="627705213">
          <w:marLeft w:val="547"/>
          <w:marRight w:val="0"/>
          <w:marTop w:val="0"/>
          <w:marBottom w:val="0"/>
          <w:divBdr>
            <w:top w:val="none" w:sz="0" w:space="0" w:color="auto"/>
            <w:left w:val="none" w:sz="0" w:space="0" w:color="auto"/>
            <w:bottom w:val="none" w:sz="0" w:space="0" w:color="auto"/>
            <w:right w:val="none" w:sz="0" w:space="0" w:color="auto"/>
          </w:divBdr>
        </w:div>
        <w:div w:id="1481775649">
          <w:marLeft w:val="1166"/>
          <w:marRight w:val="0"/>
          <w:marTop w:val="0"/>
          <w:marBottom w:val="0"/>
          <w:divBdr>
            <w:top w:val="none" w:sz="0" w:space="0" w:color="auto"/>
            <w:left w:val="none" w:sz="0" w:space="0" w:color="auto"/>
            <w:bottom w:val="none" w:sz="0" w:space="0" w:color="auto"/>
            <w:right w:val="none" w:sz="0" w:space="0" w:color="auto"/>
          </w:divBdr>
        </w:div>
        <w:div w:id="1258558126">
          <w:marLeft w:val="1166"/>
          <w:marRight w:val="0"/>
          <w:marTop w:val="0"/>
          <w:marBottom w:val="0"/>
          <w:divBdr>
            <w:top w:val="none" w:sz="0" w:space="0" w:color="auto"/>
            <w:left w:val="none" w:sz="0" w:space="0" w:color="auto"/>
            <w:bottom w:val="none" w:sz="0" w:space="0" w:color="auto"/>
            <w:right w:val="none" w:sz="0" w:space="0" w:color="auto"/>
          </w:divBdr>
        </w:div>
        <w:div w:id="1070925401">
          <w:marLeft w:val="1800"/>
          <w:marRight w:val="0"/>
          <w:marTop w:val="0"/>
          <w:marBottom w:val="0"/>
          <w:divBdr>
            <w:top w:val="none" w:sz="0" w:space="0" w:color="auto"/>
            <w:left w:val="none" w:sz="0" w:space="0" w:color="auto"/>
            <w:bottom w:val="none" w:sz="0" w:space="0" w:color="auto"/>
            <w:right w:val="none" w:sz="0" w:space="0" w:color="auto"/>
          </w:divBdr>
        </w:div>
        <w:div w:id="717246480">
          <w:marLeft w:val="2520"/>
          <w:marRight w:val="0"/>
          <w:marTop w:val="0"/>
          <w:marBottom w:val="0"/>
          <w:divBdr>
            <w:top w:val="none" w:sz="0" w:space="0" w:color="auto"/>
            <w:left w:val="none" w:sz="0" w:space="0" w:color="auto"/>
            <w:bottom w:val="none" w:sz="0" w:space="0" w:color="auto"/>
            <w:right w:val="none" w:sz="0" w:space="0" w:color="auto"/>
          </w:divBdr>
        </w:div>
        <w:div w:id="1267544555">
          <w:marLeft w:val="2520"/>
          <w:marRight w:val="0"/>
          <w:marTop w:val="0"/>
          <w:marBottom w:val="0"/>
          <w:divBdr>
            <w:top w:val="none" w:sz="0" w:space="0" w:color="auto"/>
            <w:left w:val="none" w:sz="0" w:space="0" w:color="auto"/>
            <w:bottom w:val="none" w:sz="0" w:space="0" w:color="auto"/>
            <w:right w:val="none" w:sz="0" w:space="0" w:color="auto"/>
          </w:divBdr>
        </w:div>
        <w:div w:id="264390362">
          <w:marLeft w:val="1166"/>
          <w:marRight w:val="0"/>
          <w:marTop w:val="0"/>
          <w:marBottom w:val="0"/>
          <w:divBdr>
            <w:top w:val="none" w:sz="0" w:space="0" w:color="auto"/>
            <w:left w:val="none" w:sz="0" w:space="0" w:color="auto"/>
            <w:bottom w:val="none" w:sz="0" w:space="0" w:color="auto"/>
            <w:right w:val="none" w:sz="0" w:space="0" w:color="auto"/>
          </w:divBdr>
        </w:div>
        <w:div w:id="1595479606">
          <w:marLeft w:val="547"/>
          <w:marRight w:val="0"/>
          <w:marTop w:val="0"/>
          <w:marBottom w:val="0"/>
          <w:divBdr>
            <w:top w:val="none" w:sz="0" w:space="0" w:color="auto"/>
            <w:left w:val="none" w:sz="0" w:space="0" w:color="auto"/>
            <w:bottom w:val="none" w:sz="0" w:space="0" w:color="auto"/>
            <w:right w:val="none" w:sz="0" w:space="0" w:color="auto"/>
          </w:divBdr>
        </w:div>
      </w:divsChild>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214247">
      <w:bodyDiv w:val="1"/>
      <w:marLeft w:val="0"/>
      <w:marRight w:val="0"/>
      <w:marTop w:val="0"/>
      <w:marBottom w:val="0"/>
      <w:divBdr>
        <w:top w:val="none" w:sz="0" w:space="0" w:color="auto"/>
        <w:left w:val="none" w:sz="0" w:space="0" w:color="auto"/>
        <w:bottom w:val="none" w:sz="0" w:space="0" w:color="auto"/>
        <w:right w:val="none" w:sz="0" w:space="0" w:color="auto"/>
      </w:divBdr>
    </w:div>
    <w:div w:id="601230365">
      <w:bodyDiv w:val="1"/>
      <w:marLeft w:val="0"/>
      <w:marRight w:val="0"/>
      <w:marTop w:val="0"/>
      <w:marBottom w:val="0"/>
      <w:divBdr>
        <w:top w:val="none" w:sz="0" w:space="0" w:color="auto"/>
        <w:left w:val="none" w:sz="0" w:space="0" w:color="auto"/>
        <w:bottom w:val="none" w:sz="0" w:space="0" w:color="auto"/>
        <w:right w:val="none" w:sz="0" w:space="0" w:color="auto"/>
      </w:divBdr>
      <w:divsChild>
        <w:div w:id="873229852">
          <w:marLeft w:val="547"/>
          <w:marRight w:val="0"/>
          <w:marTop w:val="0"/>
          <w:marBottom w:val="0"/>
          <w:divBdr>
            <w:top w:val="none" w:sz="0" w:space="0" w:color="auto"/>
            <w:left w:val="none" w:sz="0" w:space="0" w:color="auto"/>
            <w:bottom w:val="none" w:sz="0" w:space="0" w:color="auto"/>
            <w:right w:val="none" w:sz="0" w:space="0" w:color="auto"/>
          </w:divBdr>
        </w:div>
        <w:div w:id="237515985">
          <w:marLeft w:val="1166"/>
          <w:marRight w:val="0"/>
          <w:marTop w:val="0"/>
          <w:marBottom w:val="0"/>
          <w:divBdr>
            <w:top w:val="none" w:sz="0" w:space="0" w:color="auto"/>
            <w:left w:val="none" w:sz="0" w:space="0" w:color="auto"/>
            <w:bottom w:val="none" w:sz="0" w:space="0" w:color="auto"/>
            <w:right w:val="none" w:sz="0" w:space="0" w:color="auto"/>
          </w:divBdr>
        </w:div>
        <w:div w:id="420874476">
          <w:marLeft w:val="1800"/>
          <w:marRight w:val="0"/>
          <w:marTop w:val="0"/>
          <w:marBottom w:val="0"/>
          <w:divBdr>
            <w:top w:val="none" w:sz="0" w:space="0" w:color="auto"/>
            <w:left w:val="none" w:sz="0" w:space="0" w:color="auto"/>
            <w:bottom w:val="none" w:sz="0" w:space="0" w:color="auto"/>
            <w:right w:val="none" w:sz="0" w:space="0" w:color="auto"/>
          </w:divBdr>
        </w:div>
        <w:div w:id="1170829108">
          <w:marLeft w:val="1800"/>
          <w:marRight w:val="0"/>
          <w:marTop w:val="0"/>
          <w:marBottom w:val="0"/>
          <w:divBdr>
            <w:top w:val="none" w:sz="0" w:space="0" w:color="auto"/>
            <w:left w:val="none" w:sz="0" w:space="0" w:color="auto"/>
            <w:bottom w:val="none" w:sz="0" w:space="0" w:color="auto"/>
            <w:right w:val="none" w:sz="0" w:space="0" w:color="auto"/>
          </w:divBdr>
        </w:div>
        <w:div w:id="797333127">
          <w:marLeft w:val="2520"/>
          <w:marRight w:val="0"/>
          <w:marTop w:val="0"/>
          <w:marBottom w:val="0"/>
          <w:divBdr>
            <w:top w:val="none" w:sz="0" w:space="0" w:color="auto"/>
            <w:left w:val="none" w:sz="0" w:space="0" w:color="auto"/>
            <w:bottom w:val="none" w:sz="0" w:space="0" w:color="auto"/>
            <w:right w:val="none" w:sz="0" w:space="0" w:color="auto"/>
          </w:divBdr>
        </w:div>
        <w:div w:id="1793398948">
          <w:marLeft w:val="1166"/>
          <w:marRight w:val="0"/>
          <w:marTop w:val="0"/>
          <w:marBottom w:val="0"/>
          <w:divBdr>
            <w:top w:val="none" w:sz="0" w:space="0" w:color="auto"/>
            <w:left w:val="none" w:sz="0" w:space="0" w:color="auto"/>
            <w:bottom w:val="none" w:sz="0" w:space="0" w:color="auto"/>
            <w:right w:val="none" w:sz="0" w:space="0" w:color="auto"/>
          </w:divBdr>
        </w:div>
        <w:div w:id="1213924764">
          <w:marLeft w:val="1800"/>
          <w:marRight w:val="0"/>
          <w:marTop w:val="0"/>
          <w:marBottom w:val="0"/>
          <w:divBdr>
            <w:top w:val="none" w:sz="0" w:space="0" w:color="auto"/>
            <w:left w:val="none" w:sz="0" w:space="0" w:color="auto"/>
            <w:bottom w:val="none" w:sz="0" w:space="0" w:color="auto"/>
            <w:right w:val="none" w:sz="0" w:space="0" w:color="auto"/>
          </w:divBdr>
        </w:div>
        <w:div w:id="637684422">
          <w:marLeft w:val="547"/>
          <w:marRight w:val="0"/>
          <w:marTop w:val="0"/>
          <w:marBottom w:val="0"/>
          <w:divBdr>
            <w:top w:val="none" w:sz="0" w:space="0" w:color="auto"/>
            <w:left w:val="none" w:sz="0" w:space="0" w:color="auto"/>
            <w:bottom w:val="none" w:sz="0" w:space="0" w:color="auto"/>
            <w:right w:val="none" w:sz="0" w:space="0" w:color="auto"/>
          </w:divBdr>
        </w:div>
        <w:div w:id="141698791">
          <w:marLeft w:val="547"/>
          <w:marRight w:val="0"/>
          <w:marTop w:val="0"/>
          <w:marBottom w:val="0"/>
          <w:divBdr>
            <w:top w:val="none" w:sz="0" w:space="0" w:color="auto"/>
            <w:left w:val="none" w:sz="0" w:space="0" w:color="auto"/>
            <w:bottom w:val="none" w:sz="0" w:space="0" w:color="auto"/>
            <w:right w:val="none" w:sz="0" w:space="0" w:color="auto"/>
          </w:divBdr>
        </w:div>
        <w:div w:id="927008893">
          <w:marLeft w:val="1166"/>
          <w:marRight w:val="0"/>
          <w:marTop w:val="0"/>
          <w:marBottom w:val="0"/>
          <w:divBdr>
            <w:top w:val="none" w:sz="0" w:space="0" w:color="auto"/>
            <w:left w:val="none" w:sz="0" w:space="0" w:color="auto"/>
            <w:bottom w:val="none" w:sz="0" w:space="0" w:color="auto"/>
            <w:right w:val="none" w:sz="0" w:space="0" w:color="auto"/>
          </w:divBdr>
        </w:div>
      </w:divsChild>
    </w:div>
    <w:div w:id="612907846">
      <w:bodyDiv w:val="1"/>
      <w:marLeft w:val="0"/>
      <w:marRight w:val="0"/>
      <w:marTop w:val="0"/>
      <w:marBottom w:val="0"/>
      <w:divBdr>
        <w:top w:val="none" w:sz="0" w:space="0" w:color="auto"/>
        <w:left w:val="none" w:sz="0" w:space="0" w:color="auto"/>
        <w:bottom w:val="none" w:sz="0" w:space="0" w:color="auto"/>
        <w:right w:val="none" w:sz="0" w:space="0" w:color="auto"/>
      </w:divBdr>
    </w:div>
    <w:div w:id="641158890">
      <w:bodyDiv w:val="1"/>
      <w:marLeft w:val="0"/>
      <w:marRight w:val="0"/>
      <w:marTop w:val="0"/>
      <w:marBottom w:val="0"/>
      <w:divBdr>
        <w:top w:val="none" w:sz="0" w:space="0" w:color="auto"/>
        <w:left w:val="none" w:sz="0" w:space="0" w:color="auto"/>
        <w:bottom w:val="none" w:sz="0" w:space="0" w:color="auto"/>
        <w:right w:val="none" w:sz="0" w:space="0" w:color="auto"/>
      </w:divBdr>
      <w:divsChild>
        <w:div w:id="1648361553">
          <w:marLeft w:val="547"/>
          <w:marRight w:val="0"/>
          <w:marTop w:val="0"/>
          <w:marBottom w:val="200"/>
          <w:divBdr>
            <w:top w:val="none" w:sz="0" w:space="0" w:color="auto"/>
            <w:left w:val="none" w:sz="0" w:space="0" w:color="auto"/>
            <w:bottom w:val="none" w:sz="0" w:space="0" w:color="auto"/>
            <w:right w:val="none" w:sz="0" w:space="0" w:color="auto"/>
          </w:divBdr>
        </w:div>
        <w:div w:id="170340235">
          <w:marLeft w:val="1166"/>
          <w:marRight w:val="0"/>
          <w:marTop w:val="0"/>
          <w:marBottom w:val="200"/>
          <w:divBdr>
            <w:top w:val="none" w:sz="0" w:space="0" w:color="auto"/>
            <w:left w:val="none" w:sz="0" w:space="0" w:color="auto"/>
            <w:bottom w:val="none" w:sz="0" w:space="0" w:color="auto"/>
            <w:right w:val="none" w:sz="0" w:space="0" w:color="auto"/>
          </w:divBdr>
        </w:div>
        <w:div w:id="2065788535">
          <w:marLeft w:val="1166"/>
          <w:marRight w:val="0"/>
          <w:marTop w:val="0"/>
          <w:marBottom w:val="200"/>
          <w:divBdr>
            <w:top w:val="none" w:sz="0" w:space="0" w:color="auto"/>
            <w:left w:val="none" w:sz="0" w:space="0" w:color="auto"/>
            <w:bottom w:val="none" w:sz="0" w:space="0" w:color="auto"/>
            <w:right w:val="none" w:sz="0" w:space="0" w:color="auto"/>
          </w:divBdr>
        </w:div>
        <w:div w:id="1920553603">
          <w:marLeft w:val="1800"/>
          <w:marRight w:val="0"/>
          <w:marTop w:val="0"/>
          <w:marBottom w:val="200"/>
          <w:divBdr>
            <w:top w:val="none" w:sz="0" w:space="0" w:color="auto"/>
            <w:left w:val="none" w:sz="0" w:space="0" w:color="auto"/>
            <w:bottom w:val="none" w:sz="0" w:space="0" w:color="auto"/>
            <w:right w:val="none" w:sz="0" w:space="0" w:color="auto"/>
          </w:divBdr>
        </w:div>
        <w:div w:id="1972396340">
          <w:marLeft w:val="1800"/>
          <w:marRight w:val="0"/>
          <w:marTop w:val="0"/>
          <w:marBottom w:val="200"/>
          <w:divBdr>
            <w:top w:val="none" w:sz="0" w:space="0" w:color="auto"/>
            <w:left w:val="none" w:sz="0" w:space="0" w:color="auto"/>
            <w:bottom w:val="none" w:sz="0" w:space="0" w:color="auto"/>
            <w:right w:val="none" w:sz="0" w:space="0" w:color="auto"/>
          </w:divBdr>
        </w:div>
        <w:div w:id="907887885">
          <w:marLeft w:val="547"/>
          <w:marRight w:val="0"/>
          <w:marTop w:val="0"/>
          <w:marBottom w:val="200"/>
          <w:divBdr>
            <w:top w:val="none" w:sz="0" w:space="0" w:color="auto"/>
            <w:left w:val="none" w:sz="0" w:space="0" w:color="auto"/>
            <w:bottom w:val="none" w:sz="0" w:space="0" w:color="auto"/>
            <w:right w:val="none" w:sz="0" w:space="0" w:color="auto"/>
          </w:divBdr>
        </w:div>
      </w:divsChild>
    </w:div>
    <w:div w:id="66146765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02765">
      <w:bodyDiv w:val="1"/>
      <w:marLeft w:val="0"/>
      <w:marRight w:val="0"/>
      <w:marTop w:val="0"/>
      <w:marBottom w:val="0"/>
      <w:divBdr>
        <w:top w:val="none" w:sz="0" w:space="0" w:color="auto"/>
        <w:left w:val="none" w:sz="0" w:space="0" w:color="auto"/>
        <w:bottom w:val="none" w:sz="0" w:space="0" w:color="auto"/>
        <w:right w:val="none" w:sz="0" w:space="0" w:color="auto"/>
      </w:divBdr>
    </w:div>
    <w:div w:id="716664798">
      <w:bodyDiv w:val="1"/>
      <w:marLeft w:val="0"/>
      <w:marRight w:val="0"/>
      <w:marTop w:val="0"/>
      <w:marBottom w:val="0"/>
      <w:divBdr>
        <w:top w:val="none" w:sz="0" w:space="0" w:color="auto"/>
        <w:left w:val="none" w:sz="0" w:space="0" w:color="auto"/>
        <w:bottom w:val="none" w:sz="0" w:space="0" w:color="auto"/>
        <w:right w:val="none" w:sz="0" w:space="0" w:color="auto"/>
      </w:divBdr>
      <w:divsChild>
        <w:div w:id="413011533">
          <w:marLeft w:val="547"/>
          <w:marRight w:val="0"/>
          <w:marTop w:val="0"/>
          <w:marBottom w:val="0"/>
          <w:divBdr>
            <w:top w:val="none" w:sz="0" w:space="0" w:color="auto"/>
            <w:left w:val="none" w:sz="0" w:space="0" w:color="auto"/>
            <w:bottom w:val="none" w:sz="0" w:space="0" w:color="auto"/>
            <w:right w:val="none" w:sz="0" w:space="0" w:color="auto"/>
          </w:divBdr>
        </w:div>
        <w:div w:id="1299799029">
          <w:marLeft w:val="547"/>
          <w:marRight w:val="0"/>
          <w:marTop w:val="0"/>
          <w:marBottom w:val="0"/>
          <w:divBdr>
            <w:top w:val="none" w:sz="0" w:space="0" w:color="auto"/>
            <w:left w:val="none" w:sz="0" w:space="0" w:color="auto"/>
            <w:bottom w:val="none" w:sz="0" w:space="0" w:color="auto"/>
            <w:right w:val="none" w:sz="0" w:space="0" w:color="auto"/>
          </w:divBdr>
        </w:div>
        <w:div w:id="2106685518">
          <w:marLeft w:val="1166"/>
          <w:marRight w:val="0"/>
          <w:marTop w:val="0"/>
          <w:marBottom w:val="0"/>
          <w:divBdr>
            <w:top w:val="none" w:sz="0" w:space="0" w:color="auto"/>
            <w:left w:val="none" w:sz="0" w:space="0" w:color="auto"/>
            <w:bottom w:val="none" w:sz="0" w:space="0" w:color="auto"/>
            <w:right w:val="none" w:sz="0" w:space="0" w:color="auto"/>
          </w:divBdr>
        </w:div>
        <w:div w:id="254097540">
          <w:marLeft w:val="547"/>
          <w:marRight w:val="0"/>
          <w:marTop w:val="0"/>
          <w:marBottom w:val="0"/>
          <w:divBdr>
            <w:top w:val="none" w:sz="0" w:space="0" w:color="auto"/>
            <w:left w:val="none" w:sz="0" w:space="0" w:color="auto"/>
            <w:bottom w:val="none" w:sz="0" w:space="0" w:color="auto"/>
            <w:right w:val="none" w:sz="0" w:space="0" w:color="auto"/>
          </w:divBdr>
        </w:div>
        <w:div w:id="97218793">
          <w:marLeft w:val="1166"/>
          <w:marRight w:val="0"/>
          <w:marTop w:val="0"/>
          <w:marBottom w:val="0"/>
          <w:divBdr>
            <w:top w:val="none" w:sz="0" w:space="0" w:color="auto"/>
            <w:left w:val="none" w:sz="0" w:space="0" w:color="auto"/>
            <w:bottom w:val="none" w:sz="0" w:space="0" w:color="auto"/>
            <w:right w:val="none" w:sz="0" w:space="0" w:color="auto"/>
          </w:divBdr>
        </w:div>
        <w:div w:id="1395004950">
          <w:marLeft w:val="1166"/>
          <w:marRight w:val="0"/>
          <w:marTop w:val="0"/>
          <w:marBottom w:val="0"/>
          <w:divBdr>
            <w:top w:val="none" w:sz="0" w:space="0" w:color="auto"/>
            <w:left w:val="none" w:sz="0" w:space="0" w:color="auto"/>
            <w:bottom w:val="none" w:sz="0" w:space="0" w:color="auto"/>
            <w:right w:val="none" w:sz="0" w:space="0" w:color="auto"/>
          </w:divBdr>
        </w:div>
        <w:div w:id="2060934764">
          <w:marLeft w:val="547"/>
          <w:marRight w:val="0"/>
          <w:marTop w:val="0"/>
          <w:marBottom w:val="0"/>
          <w:divBdr>
            <w:top w:val="none" w:sz="0" w:space="0" w:color="auto"/>
            <w:left w:val="none" w:sz="0" w:space="0" w:color="auto"/>
            <w:bottom w:val="none" w:sz="0" w:space="0" w:color="auto"/>
            <w:right w:val="none" w:sz="0" w:space="0" w:color="auto"/>
          </w:divBdr>
        </w:div>
        <w:div w:id="456490501">
          <w:marLeft w:val="1166"/>
          <w:marRight w:val="0"/>
          <w:marTop w:val="0"/>
          <w:marBottom w:val="0"/>
          <w:divBdr>
            <w:top w:val="none" w:sz="0" w:space="0" w:color="auto"/>
            <w:left w:val="none" w:sz="0" w:space="0" w:color="auto"/>
            <w:bottom w:val="none" w:sz="0" w:space="0" w:color="auto"/>
            <w:right w:val="none" w:sz="0" w:space="0" w:color="auto"/>
          </w:divBdr>
        </w:div>
      </w:divsChild>
    </w:div>
    <w:div w:id="764765935">
      <w:bodyDiv w:val="1"/>
      <w:marLeft w:val="0"/>
      <w:marRight w:val="0"/>
      <w:marTop w:val="0"/>
      <w:marBottom w:val="0"/>
      <w:divBdr>
        <w:top w:val="none" w:sz="0" w:space="0" w:color="auto"/>
        <w:left w:val="none" w:sz="0" w:space="0" w:color="auto"/>
        <w:bottom w:val="none" w:sz="0" w:space="0" w:color="auto"/>
        <w:right w:val="none" w:sz="0" w:space="0" w:color="auto"/>
      </w:divBdr>
      <w:divsChild>
        <w:div w:id="1957981849">
          <w:marLeft w:val="547"/>
          <w:marRight w:val="0"/>
          <w:marTop w:val="0"/>
          <w:marBottom w:val="0"/>
          <w:divBdr>
            <w:top w:val="none" w:sz="0" w:space="0" w:color="auto"/>
            <w:left w:val="none" w:sz="0" w:space="0" w:color="auto"/>
            <w:bottom w:val="none" w:sz="0" w:space="0" w:color="auto"/>
            <w:right w:val="none" w:sz="0" w:space="0" w:color="auto"/>
          </w:divBdr>
        </w:div>
        <w:div w:id="764617824">
          <w:marLeft w:val="547"/>
          <w:marRight w:val="0"/>
          <w:marTop w:val="0"/>
          <w:marBottom w:val="0"/>
          <w:divBdr>
            <w:top w:val="none" w:sz="0" w:space="0" w:color="auto"/>
            <w:left w:val="none" w:sz="0" w:space="0" w:color="auto"/>
            <w:bottom w:val="none" w:sz="0" w:space="0" w:color="auto"/>
            <w:right w:val="none" w:sz="0" w:space="0" w:color="auto"/>
          </w:divBdr>
        </w:div>
        <w:div w:id="10306931">
          <w:marLeft w:val="1166"/>
          <w:marRight w:val="0"/>
          <w:marTop w:val="0"/>
          <w:marBottom w:val="0"/>
          <w:divBdr>
            <w:top w:val="none" w:sz="0" w:space="0" w:color="auto"/>
            <w:left w:val="none" w:sz="0" w:space="0" w:color="auto"/>
            <w:bottom w:val="none" w:sz="0" w:space="0" w:color="auto"/>
            <w:right w:val="none" w:sz="0" w:space="0" w:color="auto"/>
          </w:divBdr>
        </w:div>
        <w:div w:id="1119491264">
          <w:marLeft w:val="547"/>
          <w:marRight w:val="0"/>
          <w:marTop w:val="0"/>
          <w:marBottom w:val="0"/>
          <w:divBdr>
            <w:top w:val="none" w:sz="0" w:space="0" w:color="auto"/>
            <w:left w:val="none" w:sz="0" w:space="0" w:color="auto"/>
            <w:bottom w:val="none" w:sz="0" w:space="0" w:color="auto"/>
            <w:right w:val="none" w:sz="0" w:space="0" w:color="auto"/>
          </w:divBdr>
        </w:div>
        <w:div w:id="265619332">
          <w:marLeft w:val="1166"/>
          <w:marRight w:val="0"/>
          <w:marTop w:val="0"/>
          <w:marBottom w:val="0"/>
          <w:divBdr>
            <w:top w:val="none" w:sz="0" w:space="0" w:color="auto"/>
            <w:left w:val="none" w:sz="0" w:space="0" w:color="auto"/>
            <w:bottom w:val="none" w:sz="0" w:space="0" w:color="auto"/>
            <w:right w:val="none" w:sz="0" w:space="0" w:color="auto"/>
          </w:divBdr>
        </w:div>
        <w:div w:id="313223269">
          <w:marLeft w:val="1166"/>
          <w:marRight w:val="0"/>
          <w:marTop w:val="0"/>
          <w:marBottom w:val="0"/>
          <w:divBdr>
            <w:top w:val="none" w:sz="0" w:space="0" w:color="auto"/>
            <w:left w:val="none" w:sz="0" w:space="0" w:color="auto"/>
            <w:bottom w:val="none" w:sz="0" w:space="0" w:color="auto"/>
            <w:right w:val="none" w:sz="0" w:space="0" w:color="auto"/>
          </w:divBdr>
        </w:div>
        <w:div w:id="1486899370">
          <w:marLeft w:val="547"/>
          <w:marRight w:val="0"/>
          <w:marTop w:val="0"/>
          <w:marBottom w:val="0"/>
          <w:divBdr>
            <w:top w:val="none" w:sz="0" w:space="0" w:color="auto"/>
            <w:left w:val="none" w:sz="0" w:space="0" w:color="auto"/>
            <w:bottom w:val="none" w:sz="0" w:space="0" w:color="auto"/>
            <w:right w:val="none" w:sz="0" w:space="0" w:color="auto"/>
          </w:divBdr>
        </w:div>
        <w:div w:id="71585602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12694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3979208">
      <w:bodyDiv w:val="1"/>
      <w:marLeft w:val="0"/>
      <w:marRight w:val="0"/>
      <w:marTop w:val="0"/>
      <w:marBottom w:val="0"/>
      <w:divBdr>
        <w:top w:val="none" w:sz="0" w:space="0" w:color="auto"/>
        <w:left w:val="none" w:sz="0" w:space="0" w:color="auto"/>
        <w:bottom w:val="none" w:sz="0" w:space="0" w:color="auto"/>
        <w:right w:val="none" w:sz="0" w:space="0" w:color="auto"/>
      </w:divBdr>
      <w:divsChild>
        <w:div w:id="183710241">
          <w:marLeft w:val="720"/>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532338">
      <w:bodyDiv w:val="1"/>
      <w:marLeft w:val="0"/>
      <w:marRight w:val="0"/>
      <w:marTop w:val="0"/>
      <w:marBottom w:val="0"/>
      <w:divBdr>
        <w:top w:val="none" w:sz="0" w:space="0" w:color="auto"/>
        <w:left w:val="none" w:sz="0" w:space="0" w:color="auto"/>
        <w:bottom w:val="none" w:sz="0" w:space="0" w:color="auto"/>
        <w:right w:val="none" w:sz="0" w:space="0" w:color="auto"/>
      </w:divBdr>
      <w:divsChild>
        <w:div w:id="766078435">
          <w:marLeft w:val="547"/>
          <w:marRight w:val="0"/>
          <w:marTop w:val="0"/>
          <w:marBottom w:val="0"/>
          <w:divBdr>
            <w:top w:val="none" w:sz="0" w:space="0" w:color="auto"/>
            <w:left w:val="none" w:sz="0" w:space="0" w:color="auto"/>
            <w:bottom w:val="none" w:sz="0" w:space="0" w:color="auto"/>
            <w:right w:val="none" w:sz="0" w:space="0" w:color="auto"/>
          </w:divBdr>
        </w:div>
        <w:div w:id="2083404569">
          <w:marLeft w:val="1166"/>
          <w:marRight w:val="0"/>
          <w:marTop w:val="0"/>
          <w:marBottom w:val="0"/>
          <w:divBdr>
            <w:top w:val="none" w:sz="0" w:space="0" w:color="auto"/>
            <w:left w:val="none" w:sz="0" w:space="0" w:color="auto"/>
            <w:bottom w:val="none" w:sz="0" w:space="0" w:color="auto"/>
            <w:right w:val="none" w:sz="0" w:space="0" w:color="auto"/>
          </w:divBdr>
        </w:div>
        <w:div w:id="899443712">
          <w:marLeft w:val="1800"/>
          <w:marRight w:val="0"/>
          <w:marTop w:val="0"/>
          <w:marBottom w:val="0"/>
          <w:divBdr>
            <w:top w:val="none" w:sz="0" w:space="0" w:color="auto"/>
            <w:left w:val="none" w:sz="0" w:space="0" w:color="auto"/>
            <w:bottom w:val="none" w:sz="0" w:space="0" w:color="auto"/>
            <w:right w:val="none" w:sz="0" w:space="0" w:color="auto"/>
          </w:divBdr>
        </w:div>
        <w:div w:id="496190309">
          <w:marLeft w:val="1800"/>
          <w:marRight w:val="0"/>
          <w:marTop w:val="0"/>
          <w:marBottom w:val="0"/>
          <w:divBdr>
            <w:top w:val="none" w:sz="0" w:space="0" w:color="auto"/>
            <w:left w:val="none" w:sz="0" w:space="0" w:color="auto"/>
            <w:bottom w:val="none" w:sz="0" w:space="0" w:color="auto"/>
            <w:right w:val="none" w:sz="0" w:space="0" w:color="auto"/>
          </w:divBdr>
        </w:div>
        <w:div w:id="44526028">
          <w:marLeft w:val="2520"/>
          <w:marRight w:val="0"/>
          <w:marTop w:val="0"/>
          <w:marBottom w:val="0"/>
          <w:divBdr>
            <w:top w:val="none" w:sz="0" w:space="0" w:color="auto"/>
            <w:left w:val="none" w:sz="0" w:space="0" w:color="auto"/>
            <w:bottom w:val="none" w:sz="0" w:space="0" w:color="auto"/>
            <w:right w:val="none" w:sz="0" w:space="0" w:color="auto"/>
          </w:divBdr>
        </w:div>
        <w:div w:id="139002582">
          <w:marLeft w:val="1166"/>
          <w:marRight w:val="0"/>
          <w:marTop w:val="0"/>
          <w:marBottom w:val="0"/>
          <w:divBdr>
            <w:top w:val="none" w:sz="0" w:space="0" w:color="auto"/>
            <w:left w:val="none" w:sz="0" w:space="0" w:color="auto"/>
            <w:bottom w:val="none" w:sz="0" w:space="0" w:color="auto"/>
            <w:right w:val="none" w:sz="0" w:space="0" w:color="auto"/>
          </w:divBdr>
        </w:div>
        <w:div w:id="1881623448">
          <w:marLeft w:val="1800"/>
          <w:marRight w:val="0"/>
          <w:marTop w:val="0"/>
          <w:marBottom w:val="0"/>
          <w:divBdr>
            <w:top w:val="none" w:sz="0" w:space="0" w:color="auto"/>
            <w:left w:val="none" w:sz="0" w:space="0" w:color="auto"/>
            <w:bottom w:val="none" w:sz="0" w:space="0" w:color="auto"/>
            <w:right w:val="none" w:sz="0" w:space="0" w:color="auto"/>
          </w:divBdr>
        </w:div>
        <w:div w:id="1642267633">
          <w:marLeft w:val="547"/>
          <w:marRight w:val="0"/>
          <w:marTop w:val="0"/>
          <w:marBottom w:val="0"/>
          <w:divBdr>
            <w:top w:val="none" w:sz="0" w:space="0" w:color="auto"/>
            <w:left w:val="none" w:sz="0" w:space="0" w:color="auto"/>
            <w:bottom w:val="none" w:sz="0" w:space="0" w:color="auto"/>
            <w:right w:val="none" w:sz="0" w:space="0" w:color="auto"/>
          </w:divBdr>
        </w:div>
        <w:div w:id="2128699929">
          <w:marLeft w:val="547"/>
          <w:marRight w:val="0"/>
          <w:marTop w:val="0"/>
          <w:marBottom w:val="0"/>
          <w:divBdr>
            <w:top w:val="none" w:sz="0" w:space="0" w:color="auto"/>
            <w:left w:val="none" w:sz="0" w:space="0" w:color="auto"/>
            <w:bottom w:val="none" w:sz="0" w:space="0" w:color="auto"/>
            <w:right w:val="none" w:sz="0" w:space="0" w:color="auto"/>
          </w:divBdr>
        </w:div>
        <w:div w:id="1168331199">
          <w:marLeft w:val="1166"/>
          <w:marRight w:val="0"/>
          <w:marTop w:val="0"/>
          <w:marBottom w:val="0"/>
          <w:divBdr>
            <w:top w:val="none" w:sz="0" w:space="0" w:color="auto"/>
            <w:left w:val="none" w:sz="0" w:space="0" w:color="auto"/>
            <w:bottom w:val="none" w:sz="0" w:space="0" w:color="auto"/>
            <w:right w:val="none" w:sz="0" w:space="0" w:color="auto"/>
          </w:divBdr>
        </w:div>
      </w:divsChild>
    </w:div>
    <w:div w:id="976956256">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2368956">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9602704">
      <w:bodyDiv w:val="1"/>
      <w:marLeft w:val="0"/>
      <w:marRight w:val="0"/>
      <w:marTop w:val="0"/>
      <w:marBottom w:val="0"/>
      <w:divBdr>
        <w:top w:val="none" w:sz="0" w:space="0" w:color="auto"/>
        <w:left w:val="none" w:sz="0" w:space="0" w:color="auto"/>
        <w:bottom w:val="none" w:sz="0" w:space="0" w:color="auto"/>
        <w:right w:val="none" w:sz="0" w:space="0" w:color="auto"/>
      </w:divBdr>
      <w:divsChild>
        <w:div w:id="1524126160">
          <w:marLeft w:val="720"/>
          <w:marRight w:val="0"/>
          <w:marTop w:val="0"/>
          <w:marBottom w:val="0"/>
          <w:divBdr>
            <w:top w:val="none" w:sz="0" w:space="0" w:color="auto"/>
            <w:left w:val="none" w:sz="0" w:space="0" w:color="auto"/>
            <w:bottom w:val="none" w:sz="0" w:space="0" w:color="auto"/>
            <w:right w:val="none" w:sz="0" w:space="0" w:color="auto"/>
          </w:divBdr>
        </w:div>
        <w:div w:id="1446119279">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510852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6192740">
      <w:bodyDiv w:val="1"/>
      <w:marLeft w:val="0"/>
      <w:marRight w:val="0"/>
      <w:marTop w:val="0"/>
      <w:marBottom w:val="0"/>
      <w:divBdr>
        <w:top w:val="none" w:sz="0" w:space="0" w:color="auto"/>
        <w:left w:val="none" w:sz="0" w:space="0" w:color="auto"/>
        <w:bottom w:val="none" w:sz="0" w:space="0" w:color="auto"/>
        <w:right w:val="none" w:sz="0" w:space="0" w:color="auto"/>
      </w:divBdr>
    </w:div>
    <w:div w:id="1130977674">
      <w:bodyDiv w:val="1"/>
      <w:marLeft w:val="0"/>
      <w:marRight w:val="0"/>
      <w:marTop w:val="0"/>
      <w:marBottom w:val="0"/>
      <w:divBdr>
        <w:top w:val="none" w:sz="0" w:space="0" w:color="auto"/>
        <w:left w:val="none" w:sz="0" w:space="0" w:color="auto"/>
        <w:bottom w:val="none" w:sz="0" w:space="0" w:color="auto"/>
        <w:right w:val="none" w:sz="0" w:space="0" w:color="auto"/>
      </w:divBdr>
      <w:divsChild>
        <w:div w:id="1066026046">
          <w:marLeft w:val="547"/>
          <w:marRight w:val="0"/>
          <w:marTop w:val="0"/>
          <w:marBottom w:val="0"/>
          <w:divBdr>
            <w:top w:val="none" w:sz="0" w:space="0" w:color="auto"/>
            <w:left w:val="none" w:sz="0" w:space="0" w:color="auto"/>
            <w:bottom w:val="none" w:sz="0" w:space="0" w:color="auto"/>
            <w:right w:val="none" w:sz="0" w:space="0" w:color="auto"/>
          </w:divBdr>
        </w:div>
        <w:div w:id="563414905">
          <w:marLeft w:val="547"/>
          <w:marRight w:val="0"/>
          <w:marTop w:val="0"/>
          <w:marBottom w:val="0"/>
          <w:divBdr>
            <w:top w:val="none" w:sz="0" w:space="0" w:color="auto"/>
            <w:left w:val="none" w:sz="0" w:space="0" w:color="auto"/>
            <w:bottom w:val="none" w:sz="0" w:space="0" w:color="auto"/>
            <w:right w:val="none" w:sz="0" w:space="0" w:color="auto"/>
          </w:divBdr>
        </w:div>
        <w:div w:id="2128163032">
          <w:marLeft w:val="547"/>
          <w:marRight w:val="0"/>
          <w:marTop w:val="0"/>
          <w:marBottom w:val="0"/>
          <w:divBdr>
            <w:top w:val="none" w:sz="0" w:space="0" w:color="auto"/>
            <w:left w:val="none" w:sz="0" w:space="0" w:color="auto"/>
            <w:bottom w:val="none" w:sz="0" w:space="0" w:color="auto"/>
            <w:right w:val="none" w:sz="0" w:space="0" w:color="auto"/>
          </w:divBdr>
        </w:div>
        <w:div w:id="1022169064">
          <w:marLeft w:val="1166"/>
          <w:marRight w:val="0"/>
          <w:marTop w:val="0"/>
          <w:marBottom w:val="0"/>
          <w:divBdr>
            <w:top w:val="none" w:sz="0" w:space="0" w:color="auto"/>
            <w:left w:val="none" w:sz="0" w:space="0" w:color="auto"/>
            <w:bottom w:val="none" w:sz="0" w:space="0" w:color="auto"/>
            <w:right w:val="none" w:sz="0" w:space="0" w:color="auto"/>
          </w:divBdr>
        </w:div>
        <w:div w:id="2117477100">
          <w:marLeft w:val="720"/>
          <w:marRight w:val="0"/>
          <w:marTop w:val="0"/>
          <w:marBottom w:val="0"/>
          <w:divBdr>
            <w:top w:val="none" w:sz="0" w:space="0" w:color="auto"/>
            <w:left w:val="none" w:sz="0" w:space="0" w:color="auto"/>
            <w:bottom w:val="none" w:sz="0" w:space="0" w:color="auto"/>
            <w:right w:val="none" w:sz="0" w:space="0" w:color="auto"/>
          </w:divBdr>
        </w:div>
        <w:div w:id="1815756947">
          <w:marLeft w:val="547"/>
          <w:marRight w:val="0"/>
          <w:marTop w:val="0"/>
          <w:marBottom w:val="0"/>
          <w:divBdr>
            <w:top w:val="none" w:sz="0" w:space="0" w:color="auto"/>
            <w:left w:val="none" w:sz="0" w:space="0" w:color="auto"/>
            <w:bottom w:val="none" w:sz="0" w:space="0" w:color="auto"/>
            <w:right w:val="none" w:sz="0" w:space="0" w:color="auto"/>
          </w:divBdr>
        </w:div>
        <w:div w:id="1737361089">
          <w:marLeft w:val="547"/>
          <w:marRight w:val="0"/>
          <w:marTop w:val="0"/>
          <w:marBottom w:val="0"/>
          <w:divBdr>
            <w:top w:val="none" w:sz="0" w:space="0" w:color="auto"/>
            <w:left w:val="none" w:sz="0" w:space="0" w:color="auto"/>
            <w:bottom w:val="none" w:sz="0" w:space="0" w:color="auto"/>
            <w:right w:val="none" w:sz="0" w:space="0" w:color="auto"/>
          </w:divBdr>
        </w:div>
        <w:div w:id="1320697247">
          <w:marLeft w:val="1166"/>
          <w:marRight w:val="0"/>
          <w:marTop w:val="0"/>
          <w:marBottom w:val="0"/>
          <w:divBdr>
            <w:top w:val="none" w:sz="0" w:space="0" w:color="auto"/>
            <w:left w:val="none" w:sz="0" w:space="0" w:color="auto"/>
            <w:bottom w:val="none" w:sz="0" w:space="0" w:color="auto"/>
            <w:right w:val="none" w:sz="0" w:space="0" w:color="auto"/>
          </w:divBdr>
        </w:div>
        <w:div w:id="1641224921">
          <w:marLeft w:val="1800"/>
          <w:marRight w:val="0"/>
          <w:marTop w:val="0"/>
          <w:marBottom w:val="0"/>
          <w:divBdr>
            <w:top w:val="none" w:sz="0" w:space="0" w:color="auto"/>
            <w:left w:val="none" w:sz="0" w:space="0" w:color="auto"/>
            <w:bottom w:val="none" w:sz="0" w:space="0" w:color="auto"/>
            <w:right w:val="none" w:sz="0" w:space="0" w:color="auto"/>
          </w:divBdr>
        </w:div>
        <w:div w:id="1807697486">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172986577">
      <w:bodyDiv w:val="1"/>
      <w:marLeft w:val="0"/>
      <w:marRight w:val="0"/>
      <w:marTop w:val="0"/>
      <w:marBottom w:val="0"/>
      <w:divBdr>
        <w:top w:val="none" w:sz="0" w:space="0" w:color="auto"/>
        <w:left w:val="none" w:sz="0" w:space="0" w:color="auto"/>
        <w:bottom w:val="none" w:sz="0" w:space="0" w:color="auto"/>
        <w:right w:val="none" w:sz="0" w:space="0" w:color="auto"/>
      </w:divBdr>
      <w:divsChild>
        <w:div w:id="1472863835">
          <w:marLeft w:val="547"/>
          <w:marRight w:val="0"/>
          <w:marTop w:val="0"/>
          <w:marBottom w:val="0"/>
          <w:divBdr>
            <w:top w:val="none" w:sz="0" w:space="0" w:color="auto"/>
            <w:left w:val="none" w:sz="0" w:space="0" w:color="auto"/>
            <w:bottom w:val="none" w:sz="0" w:space="0" w:color="auto"/>
            <w:right w:val="none" w:sz="0" w:space="0" w:color="auto"/>
          </w:divBdr>
        </w:div>
        <w:div w:id="1631978317">
          <w:marLeft w:val="1166"/>
          <w:marRight w:val="0"/>
          <w:marTop w:val="0"/>
          <w:marBottom w:val="0"/>
          <w:divBdr>
            <w:top w:val="none" w:sz="0" w:space="0" w:color="auto"/>
            <w:left w:val="none" w:sz="0" w:space="0" w:color="auto"/>
            <w:bottom w:val="none" w:sz="0" w:space="0" w:color="auto"/>
            <w:right w:val="none" w:sz="0" w:space="0" w:color="auto"/>
          </w:divBdr>
        </w:div>
        <w:div w:id="975918358">
          <w:marLeft w:val="1166"/>
          <w:marRight w:val="0"/>
          <w:marTop w:val="0"/>
          <w:marBottom w:val="0"/>
          <w:divBdr>
            <w:top w:val="none" w:sz="0" w:space="0" w:color="auto"/>
            <w:left w:val="none" w:sz="0" w:space="0" w:color="auto"/>
            <w:bottom w:val="none" w:sz="0" w:space="0" w:color="auto"/>
            <w:right w:val="none" w:sz="0" w:space="0" w:color="auto"/>
          </w:divBdr>
        </w:div>
        <w:div w:id="332729434">
          <w:marLeft w:val="1800"/>
          <w:marRight w:val="0"/>
          <w:marTop w:val="0"/>
          <w:marBottom w:val="0"/>
          <w:divBdr>
            <w:top w:val="none" w:sz="0" w:space="0" w:color="auto"/>
            <w:left w:val="none" w:sz="0" w:space="0" w:color="auto"/>
            <w:bottom w:val="none" w:sz="0" w:space="0" w:color="auto"/>
            <w:right w:val="none" w:sz="0" w:space="0" w:color="auto"/>
          </w:divBdr>
        </w:div>
        <w:div w:id="1523782505">
          <w:marLeft w:val="1800"/>
          <w:marRight w:val="0"/>
          <w:marTop w:val="0"/>
          <w:marBottom w:val="0"/>
          <w:divBdr>
            <w:top w:val="none" w:sz="0" w:space="0" w:color="auto"/>
            <w:left w:val="none" w:sz="0" w:space="0" w:color="auto"/>
            <w:bottom w:val="none" w:sz="0" w:space="0" w:color="auto"/>
            <w:right w:val="none" w:sz="0" w:space="0" w:color="auto"/>
          </w:divBdr>
        </w:div>
        <w:div w:id="561907714">
          <w:marLeft w:val="1800"/>
          <w:marRight w:val="0"/>
          <w:marTop w:val="0"/>
          <w:marBottom w:val="0"/>
          <w:divBdr>
            <w:top w:val="none" w:sz="0" w:space="0" w:color="auto"/>
            <w:left w:val="none" w:sz="0" w:space="0" w:color="auto"/>
            <w:bottom w:val="none" w:sz="0" w:space="0" w:color="auto"/>
            <w:right w:val="none" w:sz="0" w:space="0" w:color="auto"/>
          </w:divBdr>
        </w:div>
        <w:div w:id="1495949129">
          <w:marLeft w:val="1800"/>
          <w:marRight w:val="0"/>
          <w:marTop w:val="0"/>
          <w:marBottom w:val="0"/>
          <w:divBdr>
            <w:top w:val="none" w:sz="0" w:space="0" w:color="auto"/>
            <w:left w:val="none" w:sz="0" w:space="0" w:color="auto"/>
            <w:bottom w:val="none" w:sz="0" w:space="0" w:color="auto"/>
            <w:right w:val="none" w:sz="0" w:space="0" w:color="auto"/>
          </w:divBdr>
        </w:div>
        <w:div w:id="1131938590">
          <w:marLeft w:val="1800"/>
          <w:marRight w:val="0"/>
          <w:marTop w:val="0"/>
          <w:marBottom w:val="0"/>
          <w:divBdr>
            <w:top w:val="none" w:sz="0" w:space="0" w:color="auto"/>
            <w:left w:val="none" w:sz="0" w:space="0" w:color="auto"/>
            <w:bottom w:val="none" w:sz="0" w:space="0" w:color="auto"/>
            <w:right w:val="none" w:sz="0" w:space="0" w:color="auto"/>
          </w:divBdr>
        </w:div>
        <w:div w:id="1932079265">
          <w:marLeft w:val="1800"/>
          <w:marRight w:val="0"/>
          <w:marTop w:val="0"/>
          <w:marBottom w:val="0"/>
          <w:divBdr>
            <w:top w:val="none" w:sz="0" w:space="0" w:color="auto"/>
            <w:left w:val="none" w:sz="0" w:space="0" w:color="auto"/>
            <w:bottom w:val="none" w:sz="0" w:space="0" w:color="auto"/>
            <w:right w:val="none" w:sz="0" w:space="0" w:color="auto"/>
          </w:divBdr>
        </w:div>
        <w:div w:id="730035281">
          <w:marLeft w:val="1166"/>
          <w:marRight w:val="0"/>
          <w:marTop w:val="0"/>
          <w:marBottom w:val="0"/>
          <w:divBdr>
            <w:top w:val="none" w:sz="0" w:space="0" w:color="auto"/>
            <w:left w:val="none" w:sz="0" w:space="0" w:color="auto"/>
            <w:bottom w:val="none" w:sz="0" w:space="0" w:color="auto"/>
            <w:right w:val="none" w:sz="0" w:space="0" w:color="auto"/>
          </w:divBdr>
        </w:div>
        <w:div w:id="1583681575">
          <w:marLeft w:val="1166"/>
          <w:marRight w:val="0"/>
          <w:marTop w:val="0"/>
          <w:marBottom w:val="0"/>
          <w:divBdr>
            <w:top w:val="none" w:sz="0" w:space="0" w:color="auto"/>
            <w:left w:val="none" w:sz="0" w:space="0" w:color="auto"/>
            <w:bottom w:val="none" w:sz="0" w:space="0" w:color="auto"/>
            <w:right w:val="none" w:sz="0" w:space="0" w:color="auto"/>
          </w:divBdr>
        </w:div>
      </w:divsChild>
    </w:div>
    <w:div w:id="1188442123">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643065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35921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286542863">
      <w:bodyDiv w:val="1"/>
      <w:marLeft w:val="0"/>
      <w:marRight w:val="0"/>
      <w:marTop w:val="0"/>
      <w:marBottom w:val="0"/>
      <w:divBdr>
        <w:top w:val="none" w:sz="0" w:space="0" w:color="auto"/>
        <w:left w:val="none" w:sz="0" w:space="0" w:color="auto"/>
        <w:bottom w:val="none" w:sz="0" w:space="0" w:color="auto"/>
        <w:right w:val="none" w:sz="0" w:space="0" w:color="auto"/>
      </w:divBdr>
      <w:divsChild>
        <w:div w:id="2020740749">
          <w:marLeft w:val="547"/>
          <w:marRight w:val="0"/>
          <w:marTop w:val="0"/>
          <w:marBottom w:val="0"/>
          <w:divBdr>
            <w:top w:val="none" w:sz="0" w:space="0" w:color="auto"/>
            <w:left w:val="none" w:sz="0" w:space="0" w:color="auto"/>
            <w:bottom w:val="none" w:sz="0" w:space="0" w:color="auto"/>
            <w:right w:val="none" w:sz="0" w:space="0" w:color="auto"/>
          </w:divBdr>
        </w:div>
        <w:div w:id="766271763">
          <w:marLeft w:val="1166"/>
          <w:marRight w:val="0"/>
          <w:marTop w:val="0"/>
          <w:marBottom w:val="0"/>
          <w:divBdr>
            <w:top w:val="none" w:sz="0" w:space="0" w:color="auto"/>
            <w:left w:val="none" w:sz="0" w:space="0" w:color="auto"/>
            <w:bottom w:val="none" w:sz="0" w:space="0" w:color="auto"/>
            <w:right w:val="none" w:sz="0" w:space="0" w:color="auto"/>
          </w:divBdr>
        </w:div>
        <w:div w:id="273096487">
          <w:marLeft w:val="547"/>
          <w:marRight w:val="0"/>
          <w:marTop w:val="0"/>
          <w:marBottom w:val="0"/>
          <w:divBdr>
            <w:top w:val="none" w:sz="0" w:space="0" w:color="auto"/>
            <w:left w:val="none" w:sz="0" w:space="0" w:color="auto"/>
            <w:bottom w:val="none" w:sz="0" w:space="0" w:color="auto"/>
            <w:right w:val="none" w:sz="0" w:space="0" w:color="auto"/>
          </w:divBdr>
        </w:div>
        <w:div w:id="1928343183">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13426293">
      <w:bodyDiv w:val="1"/>
      <w:marLeft w:val="0"/>
      <w:marRight w:val="0"/>
      <w:marTop w:val="0"/>
      <w:marBottom w:val="0"/>
      <w:divBdr>
        <w:top w:val="none" w:sz="0" w:space="0" w:color="auto"/>
        <w:left w:val="none" w:sz="0" w:space="0" w:color="auto"/>
        <w:bottom w:val="none" w:sz="0" w:space="0" w:color="auto"/>
        <w:right w:val="none" w:sz="0" w:space="0" w:color="auto"/>
      </w:divBdr>
      <w:divsChild>
        <w:div w:id="1007826215">
          <w:marLeft w:val="547"/>
          <w:marRight w:val="0"/>
          <w:marTop w:val="0"/>
          <w:marBottom w:val="0"/>
          <w:divBdr>
            <w:top w:val="none" w:sz="0" w:space="0" w:color="auto"/>
            <w:left w:val="none" w:sz="0" w:space="0" w:color="auto"/>
            <w:bottom w:val="none" w:sz="0" w:space="0" w:color="auto"/>
            <w:right w:val="none" w:sz="0" w:space="0" w:color="auto"/>
          </w:divBdr>
        </w:div>
        <w:div w:id="658968157">
          <w:marLeft w:val="1166"/>
          <w:marRight w:val="0"/>
          <w:marTop w:val="0"/>
          <w:marBottom w:val="0"/>
          <w:divBdr>
            <w:top w:val="none" w:sz="0" w:space="0" w:color="auto"/>
            <w:left w:val="none" w:sz="0" w:space="0" w:color="auto"/>
            <w:bottom w:val="none" w:sz="0" w:space="0" w:color="auto"/>
            <w:right w:val="none" w:sz="0" w:space="0" w:color="auto"/>
          </w:divBdr>
        </w:div>
        <w:div w:id="1835797803">
          <w:marLeft w:val="547"/>
          <w:marRight w:val="0"/>
          <w:marTop w:val="0"/>
          <w:marBottom w:val="0"/>
          <w:divBdr>
            <w:top w:val="none" w:sz="0" w:space="0" w:color="auto"/>
            <w:left w:val="none" w:sz="0" w:space="0" w:color="auto"/>
            <w:bottom w:val="none" w:sz="0" w:space="0" w:color="auto"/>
            <w:right w:val="none" w:sz="0" w:space="0" w:color="auto"/>
          </w:divBdr>
        </w:div>
        <w:div w:id="1304887471">
          <w:marLeft w:val="547"/>
          <w:marRight w:val="0"/>
          <w:marTop w:val="0"/>
          <w:marBottom w:val="0"/>
          <w:divBdr>
            <w:top w:val="none" w:sz="0" w:space="0" w:color="auto"/>
            <w:left w:val="none" w:sz="0" w:space="0" w:color="auto"/>
            <w:bottom w:val="none" w:sz="0" w:space="0" w:color="auto"/>
            <w:right w:val="none" w:sz="0" w:space="0" w:color="auto"/>
          </w:divBdr>
        </w:div>
      </w:divsChild>
    </w:div>
    <w:div w:id="1417751762">
      <w:bodyDiv w:val="1"/>
      <w:marLeft w:val="0"/>
      <w:marRight w:val="0"/>
      <w:marTop w:val="0"/>
      <w:marBottom w:val="0"/>
      <w:divBdr>
        <w:top w:val="none" w:sz="0" w:space="0" w:color="auto"/>
        <w:left w:val="none" w:sz="0" w:space="0" w:color="auto"/>
        <w:bottom w:val="none" w:sz="0" w:space="0" w:color="auto"/>
        <w:right w:val="none" w:sz="0" w:space="0" w:color="auto"/>
      </w:divBdr>
      <w:divsChild>
        <w:div w:id="1557736773">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073793">
      <w:bodyDiv w:val="1"/>
      <w:marLeft w:val="0"/>
      <w:marRight w:val="0"/>
      <w:marTop w:val="0"/>
      <w:marBottom w:val="0"/>
      <w:divBdr>
        <w:top w:val="none" w:sz="0" w:space="0" w:color="auto"/>
        <w:left w:val="none" w:sz="0" w:space="0" w:color="auto"/>
        <w:bottom w:val="none" w:sz="0" w:space="0" w:color="auto"/>
        <w:right w:val="none" w:sz="0" w:space="0" w:color="auto"/>
      </w:divBdr>
    </w:div>
    <w:div w:id="1446657202">
      <w:bodyDiv w:val="1"/>
      <w:marLeft w:val="0"/>
      <w:marRight w:val="0"/>
      <w:marTop w:val="0"/>
      <w:marBottom w:val="0"/>
      <w:divBdr>
        <w:top w:val="none" w:sz="0" w:space="0" w:color="auto"/>
        <w:left w:val="none" w:sz="0" w:space="0" w:color="auto"/>
        <w:bottom w:val="none" w:sz="0" w:space="0" w:color="auto"/>
        <w:right w:val="none" w:sz="0" w:space="0" w:color="auto"/>
      </w:divBdr>
      <w:divsChild>
        <w:div w:id="46540345">
          <w:marLeft w:val="1800"/>
          <w:marRight w:val="0"/>
          <w:marTop w:val="0"/>
          <w:marBottom w:val="0"/>
          <w:divBdr>
            <w:top w:val="none" w:sz="0" w:space="0" w:color="auto"/>
            <w:left w:val="none" w:sz="0" w:space="0" w:color="auto"/>
            <w:bottom w:val="none" w:sz="0" w:space="0" w:color="auto"/>
            <w:right w:val="none" w:sz="0" w:space="0" w:color="auto"/>
          </w:divBdr>
        </w:div>
        <w:div w:id="1858612439">
          <w:marLeft w:val="180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496038">
      <w:bodyDiv w:val="1"/>
      <w:marLeft w:val="0"/>
      <w:marRight w:val="0"/>
      <w:marTop w:val="0"/>
      <w:marBottom w:val="0"/>
      <w:divBdr>
        <w:top w:val="none" w:sz="0" w:space="0" w:color="auto"/>
        <w:left w:val="none" w:sz="0" w:space="0" w:color="auto"/>
        <w:bottom w:val="none" w:sz="0" w:space="0" w:color="auto"/>
        <w:right w:val="none" w:sz="0" w:space="0" w:color="auto"/>
      </w:divBdr>
    </w:div>
    <w:div w:id="150015178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647531">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248823">
      <w:bodyDiv w:val="1"/>
      <w:marLeft w:val="0"/>
      <w:marRight w:val="0"/>
      <w:marTop w:val="0"/>
      <w:marBottom w:val="0"/>
      <w:divBdr>
        <w:top w:val="none" w:sz="0" w:space="0" w:color="auto"/>
        <w:left w:val="none" w:sz="0" w:space="0" w:color="auto"/>
        <w:bottom w:val="none" w:sz="0" w:space="0" w:color="auto"/>
        <w:right w:val="none" w:sz="0" w:space="0" w:color="auto"/>
      </w:divBdr>
    </w:div>
    <w:div w:id="1679115693">
      <w:bodyDiv w:val="1"/>
      <w:marLeft w:val="0"/>
      <w:marRight w:val="0"/>
      <w:marTop w:val="0"/>
      <w:marBottom w:val="0"/>
      <w:divBdr>
        <w:top w:val="none" w:sz="0" w:space="0" w:color="auto"/>
        <w:left w:val="none" w:sz="0" w:space="0" w:color="auto"/>
        <w:bottom w:val="none" w:sz="0" w:space="0" w:color="auto"/>
        <w:right w:val="none" w:sz="0" w:space="0" w:color="auto"/>
      </w:divBdr>
      <w:divsChild>
        <w:div w:id="303891303">
          <w:marLeft w:val="547"/>
          <w:marRight w:val="0"/>
          <w:marTop w:val="0"/>
          <w:marBottom w:val="0"/>
          <w:divBdr>
            <w:top w:val="none" w:sz="0" w:space="0" w:color="auto"/>
            <w:left w:val="none" w:sz="0" w:space="0" w:color="auto"/>
            <w:bottom w:val="none" w:sz="0" w:space="0" w:color="auto"/>
            <w:right w:val="none" w:sz="0" w:space="0" w:color="auto"/>
          </w:divBdr>
        </w:div>
        <w:div w:id="484587184">
          <w:marLeft w:val="1166"/>
          <w:marRight w:val="0"/>
          <w:marTop w:val="0"/>
          <w:marBottom w:val="0"/>
          <w:divBdr>
            <w:top w:val="none" w:sz="0" w:space="0" w:color="auto"/>
            <w:left w:val="none" w:sz="0" w:space="0" w:color="auto"/>
            <w:bottom w:val="none" w:sz="0" w:space="0" w:color="auto"/>
            <w:right w:val="none" w:sz="0" w:space="0" w:color="auto"/>
          </w:divBdr>
        </w:div>
        <w:div w:id="305936922">
          <w:marLeft w:val="1166"/>
          <w:marRight w:val="0"/>
          <w:marTop w:val="0"/>
          <w:marBottom w:val="0"/>
          <w:divBdr>
            <w:top w:val="none" w:sz="0" w:space="0" w:color="auto"/>
            <w:left w:val="none" w:sz="0" w:space="0" w:color="auto"/>
            <w:bottom w:val="none" w:sz="0" w:space="0" w:color="auto"/>
            <w:right w:val="none" w:sz="0" w:space="0" w:color="auto"/>
          </w:divBdr>
        </w:div>
        <w:div w:id="1729526877">
          <w:marLeft w:val="1800"/>
          <w:marRight w:val="0"/>
          <w:marTop w:val="0"/>
          <w:marBottom w:val="0"/>
          <w:divBdr>
            <w:top w:val="none" w:sz="0" w:space="0" w:color="auto"/>
            <w:left w:val="none" w:sz="0" w:space="0" w:color="auto"/>
            <w:bottom w:val="none" w:sz="0" w:space="0" w:color="auto"/>
            <w:right w:val="none" w:sz="0" w:space="0" w:color="auto"/>
          </w:divBdr>
        </w:div>
        <w:div w:id="531502403">
          <w:marLeft w:val="2520"/>
          <w:marRight w:val="0"/>
          <w:marTop w:val="0"/>
          <w:marBottom w:val="0"/>
          <w:divBdr>
            <w:top w:val="none" w:sz="0" w:space="0" w:color="auto"/>
            <w:left w:val="none" w:sz="0" w:space="0" w:color="auto"/>
            <w:bottom w:val="none" w:sz="0" w:space="0" w:color="auto"/>
            <w:right w:val="none" w:sz="0" w:space="0" w:color="auto"/>
          </w:divBdr>
        </w:div>
        <w:div w:id="1938781936">
          <w:marLeft w:val="2520"/>
          <w:marRight w:val="0"/>
          <w:marTop w:val="0"/>
          <w:marBottom w:val="0"/>
          <w:divBdr>
            <w:top w:val="none" w:sz="0" w:space="0" w:color="auto"/>
            <w:left w:val="none" w:sz="0" w:space="0" w:color="auto"/>
            <w:bottom w:val="none" w:sz="0" w:space="0" w:color="auto"/>
            <w:right w:val="none" w:sz="0" w:space="0" w:color="auto"/>
          </w:divBdr>
        </w:div>
        <w:div w:id="1214656054">
          <w:marLeft w:val="1166"/>
          <w:marRight w:val="0"/>
          <w:marTop w:val="0"/>
          <w:marBottom w:val="0"/>
          <w:divBdr>
            <w:top w:val="none" w:sz="0" w:space="0" w:color="auto"/>
            <w:left w:val="none" w:sz="0" w:space="0" w:color="auto"/>
            <w:bottom w:val="none" w:sz="0" w:space="0" w:color="auto"/>
            <w:right w:val="none" w:sz="0" w:space="0" w:color="auto"/>
          </w:divBdr>
        </w:div>
        <w:div w:id="1780644365">
          <w:marLeft w:val="547"/>
          <w:marRight w:val="0"/>
          <w:marTop w:val="0"/>
          <w:marBottom w:val="0"/>
          <w:divBdr>
            <w:top w:val="none" w:sz="0" w:space="0" w:color="auto"/>
            <w:left w:val="none" w:sz="0" w:space="0" w:color="auto"/>
            <w:bottom w:val="none" w:sz="0" w:space="0" w:color="auto"/>
            <w:right w:val="none" w:sz="0" w:space="0" w:color="auto"/>
          </w:divBdr>
        </w:div>
      </w:divsChild>
    </w:div>
    <w:div w:id="1679575409">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28158897">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69832206">
      <w:bodyDiv w:val="1"/>
      <w:marLeft w:val="0"/>
      <w:marRight w:val="0"/>
      <w:marTop w:val="0"/>
      <w:marBottom w:val="0"/>
      <w:divBdr>
        <w:top w:val="none" w:sz="0" w:space="0" w:color="auto"/>
        <w:left w:val="none" w:sz="0" w:space="0" w:color="auto"/>
        <w:bottom w:val="none" w:sz="0" w:space="0" w:color="auto"/>
        <w:right w:val="none" w:sz="0" w:space="0" w:color="auto"/>
      </w:divBdr>
      <w:divsChild>
        <w:div w:id="1662390423">
          <w:marLeft w:val="720"/>
          <w:marRight w:val="0"/>
          <w:marTop w:val="0"/>
          <w:marBottom w:val="0"/>
          <w:divBdr>
            <w:top w:val="none" w:sz="0" w:space="0" w:color="auto"/>
            <w:left w:val="none" w:sz="0" w:space="0" w:color="auto"/>
            <w:bottom w:val="none" w:sz="0" w:space="0" w:color="auto"/>
            <w:right w:val="none" w:sz="0" w:space="0" w:color="auto"/>
          </w:divBdr>
        </w:div>
        <w:div w:id="585530953">
          <w:marLeft w:val="547"/>
          <w:marRight w:val="0"/>
          <w:marTop w:val="0"/>
          <w:marBottom w:val="0"/>
          <w:divBdr>
            <w:top w:val="none" w:sz="0" w:space="0" w:color="auto"/>
            <w:left w:val="none" w:sz="0" w:space="0" w:color="auto"/>
            <w:bottom w:val="none" w:sz="0" w:space="0" w:color="auto"/>
            <w:right w:val="none" w:sz="0" w:space="0" w:color="auto"/>
          </w:divBdr>
        </w:div>
      </w:divsChild>
    </w:div>
    <w:div w:id="1870292407">
      <w:bodyDiv w:val="1"/>
      <w:marLeft w:val="0"/>
      <w:marRight w:val="0"/>
      <w:marTop w:val="0"/>
      <w:marBottom w:val="0"/>
      <w:divBdr>
        <w:top w:val="none" w:sz="0" w:space="0" w:color="auto"/>
        <w:left w:val="none" w:sz="0" w:space="0" w:color="auto"/>
        <w:bottom w:val="none" w:sz="0" w:space="0" w:color="auto"/>
        <w:right w:val="none" w:sz="0" w:space="0" w:color="auto"/>
      </w:divBdr>
    </w:div>
    <w:div w:id="187638483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0938705">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20349330">
      <w:bodyDiv w:val="1"/>
      <w:marLeft w:val="0"/>
      <w:marRight w:val="0"/>
      <w:marTop w:val="0"/>
      <w:marBottom w:val="0"/>
      <w:divBdr>
        <w:top w:val="none" w:sz="0" w:space="0" w:color="auto"/>
        <w:left w:val="none" w:sz="0" w:space="0" w:color="auto"/>
        <w:bottom w:val="none" w:sz="0" w:space="0" w:color="auto"/>
        <w:right w:val="none" w:sz="0" w:space="0" w:color="auto"/>
      </w:divBdr>
      <w:divsChild>
        <w:div w:id="1197235394">
          <w:marLeft w:val="547"/>
          <w:marRight w:val="0"/>
          <w:marTop w:val="0"/>
          <w:marBottom w:val="200"/>
          <w:divBdr>
            <w:top w:val="none" w:sz="0" w:space="0" w:color="auto"/>
            <w:left w:val="none" w:sz="0" w:space="0" w:color="auto"/>
            <w:bottom w:val="none" w:sz="0" w:space="0" w:color="auto"/>
            <w:right w:val="none" w:sz="0" w:space="0" w:color="auto"/>
          </w:divBdr>
        </w:div>
        <w:div w:id="662590520">
          <w:marLeft w:val="1166"/>
          <w:marRight w:val="0"/>
          <w:marTop w:val="0"/>
          <w:marBottom w:val="200"/>
          <w:divBdr>
            <w:top w:val="none" w:sz="0" w:space="0" w:color="auto"/>
            <w:left w:val="none" w:sz="0" w:space="0" w:color="auto"/>
            <w:bottom w:val="none" w:sz="0" w:space="0" w:color="auto"/>
            <w:right w:val="none" w:sz="0" w:space="0" w:color="auto"/>
          </w:divBdr>
        </w:div>
        <w:div w:id="143856815">
          <w:marLeft w:val="1166"/>
          <w:marRight w:val="0"/>
          <w:marTop w:val="0"/>
          <w:marBottom w:val="200"/>
          <w:divBdr>
            <w:top w:val="none" w:sz="0" w:space="0" w:color="auto"/>
            <w:left w:val="none" w:sz="0" w:space="0" w:color="auto"/>
            <w:bottom w:val="none" w:sz="0" w:space="0" w:color="auto"/>
            <w:right w:val="none" w:sz="0" w:space="0" w:color="auto"/>
          </w:divBdr>
        </w:div>
        <w:div w:id="272633606">
          <w:marLeft w:val="1800"/>
          <w:marRight w:val="0"/>
          <w:marTop w:val="0"/>
          <w:marBottom w:val="200"/>
          <w:divBdr>
            <w:top w:val="none" w:sz="0" w:space="0" w:color="auto"/>
            <w:left w:val="none" w:sz="0" w:space="0" w:color="auto"/>
            <w:bottom w:val="none" w:sz="0" w:space="0" w:color="auto"/>
            <w:right w:val="none" w:sz="0" w:space="0" w:color="auto"/>
          </w:divBdr>
        </w:div>
        <w:div w:id="1773279860">
          <w:marLeft w:val="1800"/>
          <w:marRight w:val="0"/>
          <w:marTop w:val="0"/>
          <w:marBottom w:val="200"/>
          <w:divBdr>
            <w:top w:val="none" w:sz="0" w:space="0" w:color="auto"/>
            <w:left w:val="none" w:sz="0" w:space="0" w:color="auto"/>
            <w:bottom w:val="none" w:sz="0" w:space="0" w:color="auto"/>
            <w:right w:val="none" w:sz="0" w:space="0" w:color="auto"/>
          </w:divBdr>
        </w:div>
        <w:div w:id="647438068">
          <w:marLeft w:val="547"/>
          <w:marRight w:val="0"/>
          <w:marTop w:val="0"/>
          <w:marBottom w:val="200"/>
          <w:divBdr>
            <w:top w:val="none" w:sz="0" w:space="0" w:color="auto"/>
            <w:left w:val="none" w:sz="0" w:space="0" w:color="auto"/>
            <w:bottom w:val="none" w:sz="0" w:space="0" w:color="auto"/>
            <w:right w:val="none" w:sz="0" w:space="0" w:color="auto"/>
          </w:divBdr>
        </w:div>
      </w:divsChild>
    </w:div>
    <w:div w:id="2031251713">
      <w:bodyDiv w:val="1"/>
      <w:marLeft w:val="0"/>
      <w:marRight w:val="0"/>
      <w:marTop w:val="0"/>
      <w:marBottom w:val="0"/>
      <w:divBdr>
        <w:top w:val="none" w:sz="0" w:space="0" w:color="auto"/>
        <w:left w:val="none" w:sz="0" w:space="0" w:color="auto"/>
        <w:bottom w:val="none" w:sz="0" w:space="0" w:color="auto"/>
        <w:right w:val="none" w:sz="0" w:space="0" w:color="auto"/>
      </w:divBdr>
      <w:divsChild>
        <w:div w:id="1200625200">
          <w:marLeft w:val="547"/>
          <w:marRight w:val="0"/>
          <w:marTop w:val="0"/>
          <w:marBottom w:val="0"/>
          <w:divBdr>
            <w:top w:val="none" w:sz="0" w:space="0" w:color="auto"/>
            <w:left w:val="none" w:sz="0" w:space="0" w:color="auto"/>
            <w:bottom w:val="none" w:sz="0" w:space="0" w:color="auto"/>
            <w:right w:val="none" w:sz="0" w:space="0" w:color="auto"/>
          </w:divBdr>
        </w:div>
        <w:div w:id="1688752868">
          <w:marLeft w:val="1166"/>
          <w:marRight w:val="0"/>
          <w:marTop w:val="0"/>
          <w:marBottom w:val="0"/>
          <w:divBdr>
            <w:top w:val="none" w:sz="0" w:space="0" w:color="auto"/>
            <w:left w:val="none" w:sz="0" w:space="0" w:color="auto"/>
            <w:bottom w:val="none" w:sz="0" w:space="0" w:color="auto"/>
            <w:right w:val="none" w:sz="0" w:space="0" w:color="auto"/>
          </w:divBdr>
        </w:div>
        <w:div w:id="1706439087">
          <w:marLeft w:val="1166"/>
          <w:marRight w:val="0"/>
          <w:marTop w:val="0"/>
          <w:marBottom w:val="0"/>
          <w:divBdr>
            <w:top w:val="none" w:sz="0" w:space="0" w:color="auto"/>
            <w:left w:val="none" w:sz="0" w:space="0" w:color="auto"/>
            <w:bottom w:val="none" w:sz="0" w:space="0" w:color="auto"/>
            <w:right w:val="none" w:sz="0" w:space="0" w:color="auto"/>
          </w:divBdr>
        </w:div>
        <w:div w:id="2015959489">
          <w:marLeft w:val="547"/>
          <w:marRight w:val="0"/>
          <w:marTop w:val="0"/>
          <w:marBottom w:val="0"/>
          <w:divBdr>
            <w:top w:val="none" w:sz="0" w:space="0" w:color="auto"/>
            <w:left w:val="none" w:sz="0" w:space="0" w:color="auto"/>
            <w:bottom w:val="none" w:sz="0" w:space="0" w:color="auto"/>
            <w:right w:val="none" w:sz="0" w:space="0" w:color="auto"/>
          </w:divBdr>
        </w:div>
        <w:div w:id="1113281265">
          <w:marLeft w:val="1166"/>
          <w:marRight w:val="0"/>
          <w:marTop w:val="0"/>
          <w:marBottom w:val="0"/>
          <w:divBdr>
            <w:top w:val="none" w:sz="0" w:space="0" w:color="auto"/>
            <w:left w:val="none" w:sz="0" w:space="0" w:color="auto"/>
            <w:bottom w:val="none" w:sz="0" w:space="0" w:color="auto"/>
            <w:right w:val="none" w:sz="0" w:space="0" w:color="auto"/>
          </w:divBdr>
        </w:div>
        <w:div w:id="2069067444">
          <w:marLeft w:val="547"/>
          <w:marRight w:val="0"/>
          <w:marTop w:val="0"/>
          <w:marBottom w:val="0"/>
          <w:divBdr>
            <w:top w:val="none" w:sz="0" w:space="0" w:color="auto"/>
            <w:left w:val="none" w:sz="0" w:space="0" w:color="auto"/>
            <w:bottom w:val="none" w:sz="0" w:space="0" w:color="auto"/>
            <w:right w:val="none" w:sz="0" w:space="0" w:color="auto"/>
          </w:divBdr>
        </w:div>
        <w:div w:id="650524304">
          <w:marLeft w:val="547"/>
          <w:marRight w:val="0"/>
          <w:marTop w:val="0"/>
          <w:marBottom w:val="0"/>
          <w:divBdr>
            <w:top w:val="none" w:sz="0" w:space="0" w:color="auto"/>
            <w:left w:val="none" w:sz="0" w:space="0" w:color="auto"/>
            <w:bottom w:val="none" w:sz="0" w:space="0" w:color="auto"/>
            <w:right w:val="none" w:sz="0" w:space="0" w:color="auto"/>
          </w:divBdr>
        </w:div>
        <w:div w:id="1717394402">
          <w:marLeft w:val="547"/>
          <w:marRight w:val="0"/>
          <w:marTop w:val="0"/>
          <w:marBottom w:val="0"/>
          <w:divBdr>
            <w:top w:val="none" w:sz="0" w:space="0" w:color="auto"/>
            <w:left w:val="none" w:sz="0" w:space="0" w:color="auto"/>
            <w:bottom w:val="none" w:sz="0" w:space="0" w:color="auto"/>
            <w:right w:val="none" w:sz="0" w:space="0" w:color="auto"/>
          </w:divBdr>
        </w:div>
        <w:div w:id="1888301968">
          <w:marLeft w:val="1166"/>
          <w:marRight w:val="0"/>
          <w:marTop w:val="0"/>
          <w:marBottom w:val="0"/>
          <w:divBdr>
            <w:top w:val="none" w:sz="0" w:space="0" w:color="auto"/>
            <w:left w:val="none" w:sz="0" w:space="0" w:color="auto"/>
            <w:bottom w:val="none" w:sz="0" w:space="0" w:color="auto"/>
            <w:right w:val="none" w:sz="0" w:space="0" w:color="auto"/>
          </w:divBdr>
        </w:div>
        <w:div w:id="1226455981">
          <w:marLeft w:val="1166"/>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1365245">
      <w:bodyDiv w:val="1"/>
      <w:marLeft w:val="0"/>
      <w:marRight w:val="0"/>
      <w:marTop w:val="0"/>
      <w:marBottom w:val="0"/>
      <w:divBdr>
        <w:top w:val="none" w:sz="0" w:space="0" w:color="auto"/>
        <w:left w:val="none" w:sz="0" w:space="0" w:color="auto"/>
        <w:bottom w:val="none" w:sz="0" w:space="0" w:color="auto"/>
        <w:right w:val="none" w:sz="0" w:space="0" w:color="auto"/>
      </w:divBdr>
      <w:divsChild>
        <w:div w:id="1941914278">
          <w:marLeft w:val="720"/>
          <w:marRight w:val="0"/>
          <w:marTop w:val="0"/>
          <w:marBottom w:val="120"/>
          <w:divBdr>
            <w:top w:val="none" w:sz="0" w:space="0" w:color="auto"/>
            <w:left w:val="none" w:sz="0" w:space="0" w:color="auto"/>
            <w:bottom w:val="none" w:sz="0" w:space="0" w:color="auto"/>
            <w:right w:val="none" w:sz="0" w:space="0" w:color="auto"/>
          </w:divBdr>
        </w:div>
      </w:divsChild>
    </w:div>
    <w:div w:id="208641740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oleObject" Target="embeddings/oleObject4.bin"/><Relationship Id="rId39"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package" Target="embeddings/Microsoft_Visio_Drawing2.vsdx"/><Relationship Id="rId33" Type="http://schemas.openxmlformats.org/officeDocument/2006/relationships/image" Target="media/image10.wmf"/><Relationship Id="rId38"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image" Target="media/image8.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oleObject" Target="embeddings/oleObject8.bin"/><Relationship Id="rId37" Type="http://schemas.openxmlformats.org/officeDocument/2006/relationships/image" Target="media/image12.emf"/><Relationship Id="rId40" Type="http://schemas.openxmlformats.org/officeDocument/2006/relationships/oleObject" Target="embeddings/Microsoft_Visio_2003-2010_Drawing1.vsd"/><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5AIRPNAIUNRU-1830940522-3937</_dlc_DocId>
    <_dlc_DocIdUrl xmlns="71c5aaf6-e6ce-465b-b873-5148d2a4c105">
      <Url>https://nokia.sharepoint.com/sites/c5g/5gradio/_layouts/15/DocIdRedir.aspx?ID=5AIRPNAIUNRU-1830940522-3937</Url>
      <Description>5AIRPNAIUNRU-1830940522-3937</Description>
    </_dlc_DocIdUrl>
    <HideFromDelve xmlns="71c5aaf6-e6ce-465b-b873-5148d2a4c105">false</HideFromDelv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BFC32-68D6-43ED-A8F2-FA5434847EC6}">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purl.org/dc/dcmitype/"/>
    <ds:schemaRef ds:uri="http://schemas.microsoft.com/office/infopath/2007/PartnerControls"/>
    <ds:schemaRef ds:uri="95d2e41d-1f11-4347-bb1c-11d6a32975dd"/>
    <ds:schemaRef ds:uri="http://purl.org/dc/elements/1.1/"/>
    <ds:schemaRef ds:uri="http://www.w3.org/XML/1998/namespace"/>
    <ds:schemaRef ds:uri="http://purl.org/dc/terms/"/>
    <ds:schemaRef ds:uri="3b34c8f0-1ef5-4d1e-bb66-517ce7fe7356"/>
    <ds:schemaRef ds:uri="http://schemas.microsoft.com/office/2006/documentManagement/types"/>
    <ds:schemaRef ds:uri="http://schemas.microsoft.com/office/2006/metadata/properties"/>
    <ds:schemaRef ds:uri="71c5aaf6-e6ce-465b-b873-5148d2a4c105"/>
    <ds:schemaRef ds:uri="http://schemas.openxmlformats.org/package/2006/metadata/core-properties"/>
    <ds:schemaRef ds:uri="ebabf6ce-2443-438c-9946-ecc878e7654a"/>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8B2A2740-2C3B-4F77-B4E4-4767CFC4E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BF65E0A-32D7-450E-9EB1-49E1E8653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181</TotalTime>
  <Pages>8</Pages>
  <Words>3091</Words>
  <Characters>16293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Nokia</cp:lastModifiedBy>
  <cp:revision>68</cp:revision>
  <cp:lastPrinted>2016-06-20T11:35:00Z</cp:lastPrinted>
  <dcterms:created xsi:type="dcterms:W3CDTF">2018-04-06T04:20:00Z</dcterms:created>
  <dcterms:modified xsi:type="dcterms:W3CDTF">2018-09-28T14:04:00Z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d5ac0cf5-1b79-4033-bc26-6ee7acd07a38</vt:lpwstr>
  </property>
</Properties>
</file>