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3FCD22E5"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A471CA">
        <w:rPr>
          <w:rFonts w:ascii="Arial" w:hAnsi="Arial" w:cs="Arial"/>
          <w:b/>
          <w:bCs/>
          <w:sz w:val="24"/>
          <w:lang w:val="en-US"/>
        </w:rPr>
        <w:t>9</w:t>
      </w:r>
      <w:r w:rsidR="00D12ADD">
        <w:rPr>
          <w:rFonts w:ascii="Arial" w:hAnsi="Arial" w:cs="Arial"/>
          <w:b/>
          <w:bCs/>
          <w:sz w:val="24"/>
          <w:lang w:val="en-US"/>
        </w:rPr>
        <w:t>4</w:t>
      </w:r>
      <w:r w:rsidR="00234ADF">
        <w:rPr>
          <w:rFonts w:ascii="Arial" w:hAnsi="Arial" w:cs="Arial"/>
          <w:b/>
          <w:bCs/>
          <w:sz w:val="24"/>
          <w:lang w:val="en-US"/>
        </w:rPr>
        <w:t>bis</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213F72" w:rsidRPr="00213F72">
        <w:rPr>
          <w:rFonts w:ascii="Arial" w:hAnsi="Arial" w:cs="Arial"/>
          <w:b/>
          <w:bCs/>
          <w:sz w:val="24"/>
          <w:lang w:val="en-US"/>
        </w:rPr>
        <w:t>R1-1810484</w:t>
      </w:r>
    </w:p>
    <w:p w14:paraId="737CA536" w14:textId="0DEB8670" w:rsidR="00A471CA" w:rsidRDefault="00234ADF" w:rsidP="003D5449">
      <w:pPr>
        <w:widowControl w:val="0"/>
        <w:tabs>
          <w:tab w:val="center" w:pos="4536"/>
          <w:tab w:val="right" w:pos="9072"/>
        </w:tabs>
        <w:overflowPunct/>
        <w:autoSpaceDE/>
        <w:adjustRightInd/>
        <w:spacing w:after="0"/>
        <w:rPr>
          <w:rFonts w:cs="Arial"/>
          <w:b/>
          <w:i/>
          <w:kern w:val="2"/>
          <w:lang w:val="en-US"/>
        </w:rPr>
      </w:pPr>
      <w:r w:rsidRPr="00234ADF">
        <w:rPr>
          <w:rFonts w:ascii="Arial" w:hAnsi="Arial" w:cs="Arial"/>
          <w:b/>
          <w:bCs/>
          <w:sz w:val="24"/>
          <w:lang w:val="en-US"/>
        </w:rPr>
        <w:t>Chengdu, China, October 8th – 12th, 2018</w:t>
      </w:r>
      <w:r w:rsidR="003246E3" w:rsidRPr="003246E3">
        <w:rPr>
          <w:rFonts w:cs="Arial" w:hint="eastAsia"/>
          <w:i/>
          <w:color w:val="FF0000"/>
          <w:kern w:val="2"/>
          <w:lang w:val="en-US"/>
        </w:rPr>
        <w:t xml:space="preserve"> </w:t>
      </w:r>
      <w:r w:rsidR="002558B0">
        <w:rPr>
          <w:rFonts w:cs="Arial"/>
          <w:i/>
          <w:color w:val="FF0000"/>
          <w:kern w:val="2"/>
          <w:lang w:val="en-US"/>
        </w:rPr>
        <w:t xml:space="preserve">                                         </w:t>
      </w:r>
      <w:r w:rsidR="003D5449">
        <w:rPr>
          <w:rFonts w:cs="Arial"/>
          <w:i/>
          <w:color w:val="FF0000"/>
          <w:kern w:val="2"/>
          <w:lang w:val="en-US"/>
        </w:rPr>
        <w:tab/>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455658D4"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234ADF">
        <w:rPr>
          <w:rFonts w:ascii="Arial" w:hAnsi="Arial" w:cs="Arial"/>
          <w:b/>
          <w:sz w:val="24"/>
          <w:lang w:val="en-US"/>
        </w:rPr>
        <w:t>Design</w:t>
      </w:r>
      <w:r w:rsidR="00D12ADD">
        <w:rPr>
          <w:rFonts w:ascii="Arial" w:hAnsi="Arial" w:cs="Arial"/>
          <w:b/>
          <w:sz w:val="24"/>
          <w:lang w:val="en-US"/>
        </w:rPr>
        <w:t xml:space="preserve"> for </w:t>
      </w:r>
      <w:r w:rsidR="00CC13D3">
        <w:rPr>
          <w:rFonts w:ascii="Arial" w:hAnsi="Arial" w:cs="Arial"/>
          <w:b/>
          <w:sz w:val="24"/>
          <w:lang w:val="en-US"/>
        </w:rPr>
        <w:t xml:space="preserve">NR V2X </w:t>
      </w:r>
      <w:r w:rsidR="00F50510">
        <w:rPr>
          <w:rFonts w:ascii="Arial" w:hAnsi="Arial" w:cs="Arial"/>
          <w:b/>
          <w:sz w:val="24"/>
          <w:lang w:val="en-US"/>
        </w:rPr>
        <w:t xml:space="preserve">Physical </w:t>
      </w:r>
      <w:r w:rsidR="00884CA6">
        <w:rPr>
          <w:rFonts w:ascii="Arial" w:hAnsi="Arial" w:cs="Arial"/>
          <w:b/>
          <w:sz w:val="24"/>
          <w:lang w:val="en-US"/>
        </w:rPr>
        <w:t>Channels</w:t>
      </w:r>
    </w:p>
    <w:p w14:paraId="4CA7C7B8" w14:textId="7569A071"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234ADF">
        <w:rPr>
          <w:rFonts w:ascii="Arial" w:hAnsi="Arial" w:cs="Arial"/>
          <w:b/>
          <w:sz w:val="24"/>
          <w:lang w:val="en-US"/>
        </w:rPr>
        <w:t>7.2.4.1.2</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3DE41E99"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D12ADD">
        <w:t xml:space="preserve"> [1] in RAN#80</w:t>
      </w:r>
      <w:r>
        <w:t xml:space="preserve"> and the objectives were identified</w:t>
      </w:r>
      <w:r w:rsidR="00380ECD">
        <w:t xml:space="preserve"> in relation to </w:t>
      </w:r>
      <w:r w:rsidR="002110D9">
        <w:t>physical layer structures</w:t>
      </w:r>
      <w:r>
        <w:t>:</w:t>
      </w:r>
    </w:p>
    <w:tbl>
      <w:tblPr>
        <w:tblStyle w:val="TableGrid"/>
        <w:tblW w:w="0" w:type="auto"/>
        <w:tblLook w:val="04A0" w:firstRow="1" w:lastRow="0" w:firstColumn="1" w:lastColumn="0" w:noHBand="0" w:noVBand="1"/>
      </w:tblPr>
      <w:tblGrid>
        <w:gridCol w:w="9895"/>
      </w:tblGrid>
      <w:tr w:rsidR="00635D54" w14:paraId="399410E2" w14:textId="77777777" w:rsidTr="00F50510">
        <w:tc>
          <w:tcPr>
            <w:tcW w:w="9895" w:type="dxa"/>
          </w:tcPr>
          <w:p w14:paraId="2D7DB567" w14:textId="0D9224CA" w:rsidR="00D12ADD" w:rsidRDefault="00D12ADD" w:rsidP="00D12ADD">
            <w:pPr>
              <w:pStyle w:val="3GPPNormalText"/>
            </w:pPr>
            <w:r>
              <w:t>This study item includes the following objectives, considering in-network coverage, out-of-network coverage, and partial network coverage:</w:t>
            </w:r>
          </w:p>
          <w:p w14:paraId="5E861C0E" w14:textId="77777777" w:rsidR="00DB30F4" w:rsidRPr="00CC13D3" w:rsidRDefault="00DB30F4" w:rsidP="00DB30F4">
            <w:pPr>
              <w:pStyle w:val="3GPPNormalText"/>
            </w:pPr>
            <w:r w:rsidRPr="00CC13D3">
              <w:t>1: Sidelink design [RAN1, RAN2]:</w:t>
            </w:r>
          </w:p>
          <w:p w14:paraId="59EF3F85" w14:textId="77777777" w:rsidR="00DB30F4" w:rsidRDefault="00DB30F4" w:rsidP="00DB30F4">
            <w:pPr>
              <w:pStyle w:val="3GPPNormalText"/>
            </w:pPr>
            <w:r>
              <w:t></w:t>
            </w:r>
            <w:r>
              <w:tab/>
              <w:t xml:space="preserve">Identify technical solutions for a NR sidelink design to meet the requirements of advanced V2X services, including </w:t>
            </w:r>
          </w:p>
          <w:p w14:paraId="4A64BA84" w14:textId="77777777" w:rsidR="00DB30F4" w:rsidRDefault="00DB30F4" w:rsidP="00CC13D3">
            <w:pPr>
              <w:pStyle w:val="3GPPNormalText"/>
              <w:ind w:left="338"/>
            </w:pPr>
            <w:r>
              <w:t>-</w:t>
            </w:r>
            <w:r>
              <w:tab/>
              <w:t>Study the support of sidelink unicast, sidelink groupcast and sidelink broadcast</w:t>
            </w:r>
          </w:p>
          <w:p w14:paraId="155434B2" w14:textId="77777777" w:rsidR="00DB30F4" w:rsidRDefault="00DB30F4" w:rsidP="00CC13D3">
            <w:pPr>
              <w:pStyle w:val="3GPPNormalText"/>
              <w:ind w:left="338"/>
            </w:pPr>
            <w:r>
              <w:t>-</w:t>
            </w:r>
            <w:r>
              <w:tab/>
            </w:r>
            <w:r w:rsidRPr="00F50510">
              <w:rPr>
                <w:b/>
              </w:rPr>
              <w:t>Study NR sidelink physical layer structures and procedure(s)</w:t>
            </w:r>
          </w:p>
          <w:p w14:paraId="5A7642DD" w14:textId="77777777" w:rsidR="00DB30F4" w:rsidRDefault="00DB30F4" w:rsidP="00CC13D3">
            <w:pPr>
              <w:pStyle w:val="3GPPNormalText"/>
              <w:ind w:left="338"/>
            </w:pPr>
            <w:r>
              <w:t>-</w:t>
            </w:r>
            <w:r>
              <w:tab/>
              <w:t>Study sidelink synchronization mechanism</w:t>
            </w:r>
          </w:p>
          <w:p w14:paraId="05F00CF4" w14:textId="77777777" w:rsidR="00DB30F4" w:rsidRPr="00CC13D3" w:rsidRDefault="00DB30F4" w:rsidP="00CC13D3">
            <w:pPr>
              <w:pStyle w:val="3GPPNormalText"/>
              <w:ind w:left="338"/>
              <w:rPr>
                <w:b/>
              </w:rPr>
            </w:pPr>
            <w:r w:rsidRPr="00CC13D3">
              <w:rPr>
                <w:b/>
              </w:rPr>
              <w:t>-</w:t>
            </w:r>
            <w:r w:rsidRPr="00CC13D3">
              <w:rPr>
                <w:b/>
              </w:rPr>
              <w:tab/>
            </w:r>
            <w:r w:rsidRPr="00F50510">
              <w:t>Study sidelink resource allocation mechanism (also including objective 3)</w:t>
            </w:r>
          </w:p>
          <w:p w14:paraId="66933CE5" w14:textId="2F3B7071" w:rsidR="00635D54" w:rsidRDefault="00DB30F4" w:rsidP="00F50510">
            <w:pPr>
              <w:pStyle w:val="3GPPNormalText"/>
              <w:ind w:left="338"/>
            </w:pPr>
            <w:r>
              <w:t>-</w:t>
            </w:r>
            <w:r>
              <w:tab/>
              <w:t>Study sidelink L2/L3 protocols</w:t>
            </w:r>
          </w:p>
        </w:tc>
      </w:tr>
    </w:tbl>
    <w:p w14:paraId="20DBBA13" w14:textId="02AAFA17" w:rsidR="00514A1F" w:rsidRDefault="00514A1F" w:rsidP="00EB2390">
      <w:pPr>
        <w:pStyle w:val="3GPPNormalText"/>
      </w:pPr>
    </w:p>
    <w:p w14:paraId="7448EF96" w14:textId="57C39204" w:rsidR="00F50510" w:rsidRDefault="00F50510" w:rsidP="00EB2390">
      <w:pPr>
        <w:pStyle w:val="3GPPNormalText"/>
      </w:pPr>
      <w:r>
        <w:t>In the previous meeting in RAN1#94, the following agreements were made</w:t>
      </w:r>
      <w:r w:rsidR="00326891">
        <w:t xml:space="preserve"> [2]</w:t>
      </w:r>
      <w:r>
        <w:t>:</w:t>
      </w:r>
    </w:p>
    <w:p w14:paraId="2E9C02C7" w14:textId="103BC178" w:rsidR="00F50510" w:rsidRPr="00F50510" w:rsidRDefault="00F50510" w:rsidP="00F50510">
      <w:pPr>
        <w:pStyle w:val="3GPPNormalText"/>
        <w:numPr>
          <w:ilvl w:val="0"/>
          <w:numId w:val="21"/>
        </w:numPr>
        <w:ind w:left="360"/>
        <w:rPr>
          <w:lang w:val="en-GB"/>
        </w:rPr>
      </w:pPr>
      <w:r w:rsidRPr="00F50510">
        <w:rPr>
          <w:lang w:val="en-GB"/>
        </w:rPr>
        <w:t>At least PSCCH and PSSCH are defined for NR V2X. PSCCH at least carries information necessary to decode PSSCH.</w:t>
      </w:r>
    </w:p>
    <w:p w14:paraId="322349E3" w14:textId="2E67F9AF" w:rsidR="00F50510" w:rsidRPr="00F50510" w:rsidRDefault="00F50510" w:rsidP="009C2480">
      <w:pPr>
        <w:pStyle w:val="3GPPNormalText"/>
        <w:numPr>
          <w:ilvl w:val="1"/>
          <w:numId w:val="21"/>
        </w:numPr>
        <w:ind w:left="720"/>
        <w:rPr>
          <w:lang w:val="en-GB"/>
        </w:rPr>
      </w:pPr>
      <w:r w:rsidRPr="00F50510">
        <w:rPr>
          <w:lang w:val="en-GB"/>
        </w:rPr>
        <w:t>Note: PSBCH will be discussed in the synchronization agenda.</w:t>
      </w:r>
    </w:p>
    <w:p w14:paraId="0ED648C8" w14:textId="003E4740" w:rsidR="00F50510" w:rsidRPr="00F50510" w:rsidRDefault="00F50510" w:rsidP="00F50510">
      <w:pPr>
        <w:pStyle w:val="3GPPNormalText"/>
        <w:numPr>
          <w:ilvl w:val="0"/>
          <w:numId w:val="21"/>
        </w:numPr>
        <w:ind w:left="360"/>
        <w:rPr>
          <w:lang w:val="en-GB"/>
        </w:rPr>
      </w:pPr>
      <w:r w:rsidRPr="00F50510">
        <w:rPr>
          <w:lang w:val="en-GB"/>
        </w:rPr>
        <w:t xml:space="preserve">RAN1 continues study on the necessity of other channels. </w:t>
      </w:r>
    </w:p>
    <w:p w14:paraId="4DB2E6CA" w14:textId="7D64F711" w:rsidR="00F50510" w:rsidRPr="00F50510" w:rsidRDefault="00F50510" w:rsidP="00F50510">
      <w:pPr>
        <w:pStyle w:val="3GPPNormalText"/>
        <w:numPr>
          <w:ilvl w:val="0"/>
          <w:numId w:val="21"/>
        </w:numPr>
        <w:ind w:left="360"/>
        <w:rPr>
          <w:lang w:val="en-GB"/>
        </w:rPr>
      </w:pPr>
      <w:r w:rsidRPr="00F50510">
        <w:rPr>
          <w:lang w:val="en-GB"/>
        </w:rPr>
        <w:t>Further study on</w:t>
      </w:r>
    </w:p>
    <w:p w14:paraId="634CADD2" w14:textId="2721A5C6" w:rsidR="00F50510" w:rsidRPr="00F50510" w:rsidRDefault="00F50510" w:rsidP="009C2480">
      <w:pPr>
        <w:pStyle w:val="3GPPNormalText"/>
        <w:numPr>
          <w:ilvl w:val="1"/>
          <w:numId w:val="21"/>
        </w:numPr>
        <w:ind w:left="720"/>
        <w:rPr>
          <w:lang w:val="en-GB"/>
        </w:rPr>
      </w:pPr>
      <w:r w:rsidRPr="00F50510">
        <w:rPr>
          <w:lang w:val="en-GB"/>
        </w:rPr>
        <w:t>Whether/which sidelink feedback information is carried by PSCCH or by another channel/signal.</w:t>
      </w:r>
    </w:p>
    <w:p w14:paraId="0FB53459" w14:textId="733386B6" w:rsidR="00F50510" w:rsidRPr="00F50510" w:rsidRDefault="00F50510" w:rsidP="009C2480">
      <w:pPr>
        <w:pStyle w:val="3GPPNormalText"/>
        <w:numPr>
          <w:ilvl w:val="1"/>
          <w:numId w:val="21"/>
        </w:numPr>
        <w:ind w:left="720"/>
        <w:rPr>
          <w:lang w:val="en-GB"/>
        </w:rPr>
      </w:pPr>
      <w:r w:rsidRPr="00F50510">
        <w:rPr>
          <w:lang w:val="en-GB"/>
        </w:rPr>
        <w:t>Whether/which information to assist resource allocation and/or schedule UE’s transmission resource(s) is carried by PSCCH or by another channel/signal.</w:t>
      </w:r>
    </w:p>
    <w:p w14:paraId="082FA1BB" w14:textId="60045105" w:rsidR="00F50510" w:rsidRDefault="00F50510" w:rsidP="009C2480">
      <w:pPr>
        <w:pStyle w:val="3GPPNormalText"/>
        <w:numPr>
          <w:ilvl w:val="1"/>
          <w:numId w:val="21"/>
        </w:numPr>
        <w:ind w:left="720"/>
        <w:rPr>
          <w:lang w:val="en-GB"/>
        </w:rPr>
      </w:pPr>
      <w:r w:rsidRPr="00F50510">
        <w:rPr>
          <w:lang w:val="en-GB"/>
        </w:rPr>
        <w:t>PSCCH format(s) and content(s) for unicast, groupcast, and broadcast</w:t>
      </w:r>
    </w:p>
    <w:p w14:paraId="20A52108" w14:textId="219F3CBB" w:rsidR="00F50510" w:rsidRDefault="00F50510" w:rsidP="00F50510">
      <w:pPr>
        <w:pStyle w:val="3GPPNormalText"/>
        <w:numPr>
          <w:ilvl w:val="0"/>
          <w:numId w:val="21"/>
        </w:numPr>
        <w:ind w:left="360"/>
        <w:rPr>
          <w:lang w:val="en-GB"/>
        </w:rPr>
      </w:pPr>
      <w:r w:rsidRPr="00F50510">
        <w:rPr>
          <w:lang w:val="en-GB"/>
        </w:rPr>
        <w:t>RAN1 continues study on the necessity, benefits and relationship between bandwidth part and resource pool.</w:t>
      </w:r>
    </w:p>
    <w:p w14:paraId="05921FC8" w14:textId="77777777" w:rsidR="009C2480" w:rsidRPr="009C2480" w:rsidRDefault="009C2480" w:rsidP="009C2480">
      <w:pPr>
        <w:pStyle w:val="3GPPNormalText"/>
        <w:numPr>
          <w:ilvl w:val="0"/>
          <w:numId w:val="21"/>
        </w:numPr>
        <w:ind w:left="360"/>
        <w:rPr>
          <w:lang w:val="en-GB"/>
        </w:rPr>
      </w:pPr>
      <w:r w:rsidRPr="009C2480">
        <w:rPr>
          <w:lang w:val="en-GB"/>
        </w:rPr>
        <w:t>RAN1 to continue study on multiplexing physical channels considering at least the above aspects:</w:t>
      </w:r>
    </w:p>
    <w:p w14:paraId="51D9DDAC" w14:textId="60694EA3" w:rsidR="009C2480" w:rsidRDefault="009C2480" w:rsidP="009C2480">
      <w:pPr>
        <w:pStyle w:val="3GPPNormalText"/>
        <w:numPr>
          <w:ilvl w:val="1"/>
          <w:numId w:val="21"/>
        </w:numPr>
        <w:ind w:left="720"/>
        <w:rPr>
          <w:lang w:val="en-GB"/>
        </w:rPr>
      </w:pPr>
      <w:r w:rsidRPr="009C2480">
        <w:rPr>
          <w:lang w:val="en-GB"/>
        </w:rPr>
        <w:t>Multiplexing of PSCCH and the associated PSSCH (here, the “associated” means that the PSCCH at least carries information necessary to decode the PSSCH).</w:t>
      </w:r>
    </w:p>
    <w:p w14:paraId="04456763" w14:textId="3C156CA9" w:rsidR="009C2480" w:rsidRPr="009C2480" w:rsidRDefault="009C2480" w:rsidP="009C2480">
      <w:pPr>
        <w:pStyle w:val="3GPPNormalText"/>
        <w:rPr>
          <w:lang w:val="en-GB"/>
        </w:rPr>
      </w:pPr>
    </w:p>
    <w:p w14:paraId="2E19FB28" w14:textId="77777777" w:rsidR="009C2480" w:rsidRPr="009C2480" w:rsidRDefault="009C2480" w:rsidP="009C2480">
      <w:pPr>
        <w:pStyle w:val="3GPPNormalText"/>
        <w:numPr>
          <w:ilvl w:val="2"/>
          <w:numId w:val="21"/>
        </w:numPr>
        <w:ind w:left="1080"/>
        <w:rPr>
          <w:lang w:val="en-GB"/>
        </w:rPr>
      </w:pPr>
      <w:r w:rsidRPr="009C2480">
        <w:rPr>
          <w:lang w:val="en-GB"/>
        </w:rPr>
        <w:lastRenderedPageBreak/>
        <w:t xml:space="preserve">Study further the following options: </w:t>
      </w:r>
    </w:p>
    <w:p w14:paraId="35C5080C" w14:textId="77777777" w:rsidR="009C2480" w:rsidRPr="009C2480" w:rsidRDefault="009C2480" w:rsidP="009C2480">
      <w:pPr>
        <w:pStyle w:val="3GPPNormalText"/>
        <w:numPr>
          <w:ilvl w:val="3"/>
          <w:numId w:val="21"/>
        </w:numPr>
        <w:ind w:left="1440"/>
        <w:rPr>
          <w:lang w:val="en-GB"/>
        </w:rPr>
      </w:pPr>
      <w:r w:rsidRPr="009C2480">
        <w:rPr>
          <w:lang w:val="en-GB"/>
        </w:rPr>
        <w:t>Option 1: PSCCH and the associated PSSCH are transmitted using non-overlapping time resources.</w:t>
      </w:r>
    </w:p>
    <w:p w14:paraId="62D27805" w14:textId="77777777" w:rsidR="009C2480" w:rsidRPr="009C2480" w:rsidRDefault="009C2480" w:rsidP="009C2480">
      <w:pPr>
        <w:pStyle w:val="3GPPNormalText"/>
        <w:numPr>
          <w:ilvl w:val="4"/>
          <w:numId w:val="21"/>
        </w:numPr>
        <w:ind w:left="1800"/>
        <w:rPr>
          <w:lang w:val="en-GB"/>
        </w:rPr>
      </w:pPr>
      <w:r w:rsidRPr="009C2480">
        <w:rPr>
          <w:lang w:val="en-GB"/>
        </w:rPr>
        <w:t>Option 1A: The frequency resources used by the two channels are the same.</w:t>
      </w:r>
    </w:p>
    <w:p w14:paraId="3F53327B" w14:textId="77777777" w:rsidR="009C2480" w:rsidRPr="009C2480" w:rsidRDefault="009C2480" w:rsidP="009C2480">
      <w:pPr>
        <w:pStyle w:val="3GPPNormalText"/>
        <w:numPr>
          <w:ilvl w:val="4"/>
          <w:numId w:val="21"/>
        </w:numPr>
        <w:ind w:left="1800"/>
        <w:rPr>
          <w:lang w:val="en-GB"/>
        </w:rPr>
      </w:pPr>
      <w:r w:rsidRPr="009C2480">
        <w:rPr>
          <w:lang w:val="en-GB"/>
        </w:rPr>
        <w:t>Option 1B: The frequency resources used by the two channels can be different.</w:t>
      </w:r>
    </w:p>
    <w:p w14:paraId="75C46A47" w14:textId="77777777" w:rsidR="009C2480" w:rsidRPr="009C2480" w:rsidRDefault="009C2480" w:rsidP="009C2480">
      <w:pPr>
        <w:pStyle w:val="3GPPNormalText"/>
        <w:numPr>
          <w:ilvl w:val="3"/>
          <w:numId w:val="21"/>
        </w:numPr>
        <w:ind w:left="1440"/>
        <w:rPr>
          <w:lang w:val="en-GB"/>
        </w:rPr>
      </w:pPr>
      <w:r w:rsidRPr="009C2480">
        <w:rPr>
          <w:lang w:val="en-GB"/>
        </w:rPr>
        <w:t>Option 2: PSCCH and the associated PSSCH are transmitted using non-overlapping frequency resources in the all the time resources used for transmission. The time resources used by the two channels are the same.</w:t>
      </w:r>
    </w:p>
    <w:p w14:paraId="74E9A806" w14:textId="19C20E79" w:rsidR="009C2480" w:rsidRPr="009C2480" w:rsidRDefault="009C2480" w:rsidP="009C2480">
      <w:pPr>
        <w:pStyle w:val="3GPPNormalText"/>
        <w:numPr>
          <w:ilvl w:val="3"/>
          <w:numId w:val="21"/>
        </w:numPr>
        <w:ind w:left="1440"/>
        <w:rPr>
          <w:lang w:val="en-GB"/>
        </w:rPr>
      </w:pPr>
      <w:r w:rsidRPr="009C2480">
        <w:rPr>
          <w:lang w:val="en-GB"/>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25797077" w14:textId="77777777" w:rsidR="00F50510" w:rsidRPr="00F50510" w:rsidRDefault="00F50510" w:rsidP="00F50510">
      <w:pPr>
        <w:pStyle w:val="3GPPNormalText"/>
        <w:rPr>
          <w:lang w:val="en-GB"/>
        </w:rPr>
      </w:pPr>
    </w:p>
    <w:p w14:paraId="5C3F1E6F" w14:textId="36194534" w:rsidR="00635D54" w:rsidRDefault="00927EDF" w:rsidP="00635D54">
      <w:pPr>
        <w:pStyle w:val="Heading1"/>
        <w:rPr>
          <w:lang w:val="en-US"/>
        </w:rPr>
      </w:pPr>
      <w:bookmarkStart w:id="0" w:name="OLE_LINK15"/>
      <w:bookmarkStart w:id="1" w:name="OLE_LINK16"/>
      <w:r>
        <w:rPr>
          <w:lang w:val="en-US"/>
        </w:rPr>
        <w:t xml:space="preserve">Requirements for NR V2X </w:t>
      </w:r>
      <w:r w:rsidR="00192A49">
        <w:rPr>
          <w:lang w:val="en-US"/>
        </w:rPr>
        <w:t>Physical Channel Multiplexing</w:t>
      </w:r>
      <w:r>
        <w:rPr>
          <w:lang w:val="en-US"/>
        </w:rPr>
        <w:t xml:space="preserve"> Design</w:t>
      </w:r>
    </w:p>
    <w:p w14:paraId="3D3B2248" w14:textId="4F98949F" w:rsidR="005869F1" w:rsidRDefault="00192A49" w:rsidP="00B56E3B">
      <w:pPr>
        <w:pStyle w:val="3GPPNormalText"/>
      </w:pPr>
      <w:r>
        <w:t>Based on the use cases for NR V2X</w:t>
      </w:r>
      <w:r w:rsidR="006248DA">
        <w:t xml:space="preserve"> as</w:t>
      </w:r>
      <w:r>
        <w:t xml:space="preserve"> stated in [1], the following are the physical channel</w:t>
      </w:r>
      <w:r w:rsidR="00577652">
        <w:t xml:space="preserve"> multiplexing design requirements and constraints which ha</w:t>
      </w:r>
      <w:r w:rsidR="000C2223">
        <w:t>ve</w:t>
      </w:r>
      <w:r w:rsidR="00577652">
        <w:t xml:space="preserve"> to be adhered to. We also </w:t>
      </w:r>
      <w:r w:rsidR="000C2223">
        <w:t>consider</w:t>
      </w:r>
      <w:r w:rsidR="00577652">
        <w:t xml:space="preserve"> the features available from the NR framework which can be incorporated into the physical channel design.</w:t>
      </w:r>
    </w:p>
    <w:p w14:paraId="7C26F695" w14:textId="5143E62A" w:rsidR="005869F1" w:rsidRDefault="005869F1" w:rsidP="00927EDF">
      <w:pPr>
        <w:pStyle w:val="Heading2"/>
        <w:tabs>
          <w:tab w:val="clear" w:pos="1002"/>
          <w:tab w:val="num" w:pos="540"/>
        </w:tabs>
        <w:ind w:left="540"/>
      </w:pPr>
      <w:r>
        <w:t>Time-Continuous Control Resources</w:t>
      </w:r>
    </w:p>
    <w:p w14:paraId="34E1BF76" w14:textId="5F5A806B" w:rsidR="005F5EF3" w:rsidRDefault="005F5EF3" w:rsidP="005F5EF3">
      <w:pPr>
        <w:jc w:val="both"/>
        <w:rPr>
          <w:sz w:val="22"/>
          <w:szCs w:val="22"/>
        </w:rPr>
      </w:pPr>
      <w:r w:rsidRPr="005F5EF3">
        <w:rPr>
          <w:sz w:val="22"/>
          <w:szCs w:val="22"/>
        </w:rPr>
        <w:t xml:space="preserve">Given the very tight latency requirements of NR V2X use cases, an NR V-UE should be able to transmit or receive control and data at any given point in time, immaterial of whether the information pertains to a given communications type of broadcast, groupcast or unicast. This would translate </w:t>
      </w:r>
      <w:r w:rsidR="006248DA">
        <w:rPr>
          <w:sz w:val="22"/>
          <w:szCs w:val="22"/>
        </w:rPr>
        <w:t>in</w:t>
      </w:r>
      <w:r w:rsidRPr="005F5EF3">
        <w:rPr>
          <w:sz w:val="22"/>
          <w:szCs w:val="22"/>
        </w:rPr>
        <w:t>to a</w:t>
      </w:r>
      <w:r w:rsidR="006248DA">
        <w:rPr>
          <w:sz w:val="22"/>
          <w:szCs w:val="22"/>
        </w:rPr>
        <w:t xml:space="preserve"> key</w:t>
      </w:r>
      <w:r w:rsidRPr="005F5EF3">
        <w:rPr>
          <w:sz w:val="22"/>
          <w:szCs w:val="22"/>
        </w:rPr>
        <w:t xml:space="preserve"> requirement </w:t>
      </w:r>
      <w:r w:rsidR="006248DA">
        <w:rPr>
          <w:sz w:val="22"/>
          <w:szCs w:val="22"/>
        </w:rPr>
        <w:t>that</w:t>
      </w:r>
      <w:r w:rsidRPr="005F5EF3">
        <w:rPr>
          <w:sz w:val="22"/>
          <w:szCs w:val="22"/>
        </w:rPr>
        <w:t xml:space="preserve"> a time-continuous control region</w:t>
      </w:r>
      <w:r w:rsidR="006248DA">
        <w:rPr>
          <w:sz w:val="22"/>
          <w:szCs w:val="22"/>
        </w:rPr>
        <w:t xml:space="preserve"> needs to be defined</w:t>
      </w:r>
      <w:r w:rsidR="000C2223">
        <w:rPr>
          <w:sz w:val="22"/>
          <w:szCs w:val="22"/>
        </w:rPr>
        <w:t>,</w:t>
      </w:r>
      <w:r w:rsidRPr="005F5EF3">
        <w:rPr>
          <w:sz w:val="22"/>
          <w:szCs w:val="22"/>
        </w:rPr>
        <w:t xml:space="preserve"> where the V-UEs can transmit their control information at any time.</w:t>
      </w:r>
      <w:r>
        <w:rPr>
          <w:sz w:val="22"/>
          <w:szCs w:val="22"/>
        </w:rPr>
        <w:t xml:space="preserve"> </w:t>
      </w:r>
    </w:p>
    <w:p w14:paraId="2D62ABB8" w14:textId="689FD8BC" w:rsidR="005F5EF3" w:rsidRPr="005F5EF3" w:rsidRDefault="00F420A2" w:rsidP="005F5EF3">
      <w:pPr>
        <w:jc w:val="both"/>
        <w:rPr>
          <w:sz w:val="22"/>
          <w:szCs w:val="22"/>
        </w:rPr>
      </w:pPr>
      <w:r>
        <w:rPr>
          <w:sz w:val="22"/>
          <w:szCs w:val="22"/>
        </w:rPr>
        <w:t xml:space="preserve">This can be achieved by either having a time-continuous control channel, similar to that of LTE V2X, or by having control symbols in every </w:t>
      </w:r>
      <w:r w:rsidR="000C2223">
        <w:rPr>
          <w:sz w:val="22"/>
          <w:szCs w:val="22"/>
        </w:rPr>
        <w:t>transmission interval</w:t>
      </w:r>
      <w:r>
        <w:rPr>
          <w:sz w:val="22"/>
          <w:szCs w:val="22"/>
        </w:rPr>
        <w:t>.</w:t>
      </w:r>
    </w:p>
    <w:p w14:paraId="47C67311" w14:textId="4454073E" w:rsidR="00927EDF" w:rsidRPr="00765239" w:rsidRDefault="005869F1" w:rsidP="00927EDF">
      <w:pPr>
        <w:pStyle w:val="Heading2"/>
        <w:tabs>
          <w:tab w:val="clear" w:pos="1002"/>
          <w:tab w:val="num" w:pos="540"/>
        </w:tabs>
        <w:ind w:left="540"/>
      </w:pPr>
      <w:r>
        <w:t xml:space="preserve">Implicit </w:t>
      </w:r>
      <w:r w:rsidR="00927EDF">
        <w:t>Association between Control and Data Resources</w:t>
      </w:r>
    </w:p>
    <w:p w14:paraId="72377312" w14:textId="717EA2B6" w:rsidR="00F420A2" w:rsidRDefault="005F5EF3" w:rsidP="00B56E3B">
      <w:pPr>
        <w:pStyle w:val="3GPPNormalText"/>
        <w:rPr>
          <w:lang w:val="en-GB"/>
        </w:rPr>
      </w:pPr>
      <w:r>
        <w:rPr>
          <w:lang w:val="en-GB"/>
        </w:rPr>
        <w:t>Since the NR V-UEs need to function</w:t>
      </w:r>
      <w:r w:rsidR="006248DA">
        <w:rPr>
          <w:lang w:val="en-GB"/>
        </w:rPr>
        <w:t xml:space="preserve"> in</w:t>
      </w:r>
      <w:r>
        <w:rPr>
          <w:lang w:val="en-GB"/>
        </w:rPr>
        <w:t xml:space="preserve"> both in- and out-of-coverage</w:t>
      </w:r>
      <w:r w:rsidR="006248DA">
        <w:rPr>
          <w:lang w:val="en-GB"/>
        </w:rPr>
        <w:t xml:space="preserve"> scenarios</w:t>
      </w:r>
      <w:r>
        <w:rPr>
          <w:lang w:val="en-GB"/>
        </w:rPr>
        <w:t xml:space="preserve">, with or without the presence of the gNB organizing the resource allocation, there needs to be an implicit association between the control and data resources. When a V-UE intends to transmit any control information followed by data, especially without the assistance of the gNB, the </w:t>
      </w:r>
      <w:r w:rsidR="00F420A2">
        <w:rPr>
          <w:lang w:val="en-GB"/>
        </w:rPr>
        <w:t xml:space="preserve">V-UE should be able to sense the channel and determine the </w:t>
      </w:r>
      <w:r w:rsidR="00DD6DB0">
        <w:rPr>
          <w:lang w:val="en-GB"/>
        </w:rPr>
        <w:t>control and data</w:t>
      </w:r>
      <w:r w:rsidR="00F420A2">
        <w:rPr>
          <w:lang w:val="en-GB"/>
        </w:rPr>
        <w:t xml:space="preserve"> resources available for transmission. </w:t>
      </w:r>
      <w:r w:rsidR="000674A9">
        <w:rPr>
          <w:lang w:val="en-GB"/>
        </w:rPr>
        <w:t>If there is no</w:t>
      </w:r>
      <w:r w:rsidR="00DD6DB0">
        <w:rPr>
          <w:lang w:val="en-GB"/>
        </w:rPr>
        <w:t xml:space="preserve"> implicit mapping between them, there is an increased probability of collisions as they can occur for control and data resources. </w:t>
      </w:r>
    </w:p>
    <w:p w14:paraId="7AE9913B" w14:textId="199DE45F" w:rsidR="005F5EF3" w:rsidRDefault="00F420A2" w:rsidP="00B56E3B">
      <w:pPr>
        <w:pStyle w:val="3GPPNormalText"/>
        <w:rPr>
          <w:lang w:val="en-GB"/>
        </w:rPr>
      </w:pPr>
      <w:r>
        <w:rPr>
          <w:lang w:val="en-GB"/>
        </w:rPr>
        <w:t xml:space="preserve">The control information for a V-UE has to be mapped to particular control resources within the channel, and cannot be </w:t>
      </w:r>
      <w:r w:rsidR="00DD6DB0">
        <w:rPr>
          <w:lang w:val="en-GB"/>
        </w:rPr>
        <w:t xml:space="preserve">interleaved or </w:t>
      </w:r>
      <w:r>
        <w:rPr>
          <w:lang w:val="en-GB"/>
        </w:rPr>
        <w:t xml:space="preserve">spread over the entire </w:t>
      </w:r>
      <w:r w:rsidR="00DD6DB0">
        <w:rPr>
          <w:lang w:val="en-GB"/>
        </w:rPr>
        <w:t>control region</w:t>
      </w:r>
      <w:r>
        <w:rPr>
          <w:lang w:val="en-GB"/>
        </w:rPr>
        <w:t>.</w:t>
      </w:r>
    </w:p>
    <w:p w14:paraId="28910850" w14:textId="026E2FC7" w:rsidR="005869F1" w:rsidRDefault="005869F1" w:rsidP="00B56E3B">
      <w:pPr>
        <w:pStyle w:val="Heading2"/>
        <w:tabs>
          <w:tab w:val="clear" w:pos="1002"/>
          <w:tab w:val="num" w:pos="540"/>
        </w:tabs>
        <w:ind w:left="540"/>
      </w:pPr>
      <w:r>
        <w:t>Optimization of Resource Sharing Across Communication Types</w:t>
      </w:r>
    </w:p>
    <w:p w14:paraId="582B8CDB" w14:textId="4BC45986" w:rsidR="00F420A2" w:rsidRPr="00F420A2" w:rsidRDefault="00F420A2" w:rsidP="00B91474">
      <w:pPr>
        <w:jc w:val="both"/>
        <w:rPr>
          <w:sz w:val="22"/>
          <w:szCs w:val="22"/>
        </w:rPr>
      </w:pPr>
      <w:r>
        <w:rPr>
          <w:sz w:val="22"/>
          <w:szCs w:val="22"/>
        </w:rPr>
        <w:t>LTE V2X support</w:t>
      </w:r>
      <w:r w:rsidR="000A3199">
        <w:rPr>
          <w:sz w:val="22"/>
          <w:szCs w:val="22"/>
        </w:rPr>
        <w:t>s</w:t>
      </w:r>
      <w:r>
        <w:rPr>
          <w:sz w:val="22"/>
          <w:szCs w:val="22"/>
        </w:rPr>
        <w:t xml:space="preserve"> only a single communication type</w:t>
      </w:r>
      <w:r w:rsidR="0072478E">
        <w:rPr>
          <w:sz w:val="22"/>
          <w:szCs w:val="22"/>
        </w:rPr>
        <w:t xml:space="preserve"> over the PHY layer</w:t>
      </w:r>
      <w:r>
        <w:rPr>
          <w:sz w:val="22"/>
          <w:szCs w:val="22"/>
        </w:rPr>
        <w:t xml:space="preserve"> – broadcast communications. However, NR V2X should support all the three communication types, and hence the resources to be used across these communication types need to be optimized.</w:t>
      </w:r>
      <w:r w:rsidR="008A67D0">
        <w:rPr>
          <w:sz w:val="22"/>
          <w:szCs w:val="22"/>
        </w:rPr>
        <w:t xml:space="preserve"> Each communication type can be associated to a resource pool or a BWP, and the size of the resource pool or BWP can be dynamic in nature, depending on the traffic for each of the</w:t>
      </w:r>
      <w:r w:rsidR="0072478E">
        <w:rPr>
          <w:sz w:val="22"/>
          <w:szCs w:val="22"/>
        </w:rPr>
        <w:t xml:space="preserve"> communication</w:t>
      </w:r>
      <w:r w:rsidR="008A67D0">
        <w:rPr>
          <w:sz w:val="22"/>
          <w:szCs w:val="22"/>
        </w:rPr>
        <w:t xml:space="preserve"> types.</w:t>
      </w:r>
    </w:p>
    <w:p w14:paraId="311DF82B" w14:textId="547BB30E" w:rsidR="00BB3779" w:rsidRPr="00765239" w:rsidRDefault="00927EDF" w:rsidP="00B56E3B">
      <w:pPr>
        <w:pStyle w:val="Heading2"/>
        <w:tabs>
          <w:tab w:val="clear" w:pos="1002"/>
          <w:tab w:val="num" w:pos="540"/>
        </w:tabs>
        <w:ind w:left="540"/>
      </w:pPr>
      <w:r>
        <w:lastRenderedPageBreak/>
        <w:t>Feedback Channel</w:t>
      </w:r>
    </w:p>
    <w:p w14:paraId="559C8A8C" w14:textId="68FB0F53" w:rsidR="00234ADF" w:rsidRDefault="008A67D0" w:rsidP="00234ADF">
      <w:pPr>
        <w:pStyle w:val="3GPPNormalText"/>
      </w:pPr>
      <w:r>
        <w:t>The requirement for high reliability would bring about the necessity of having a feedback channel in order to support ACK/NACK feedback for particular communication types. In addition to this, the channel should also be able to provide CSI and CQI information in order to optimize the resources to be selected for transmissions.</w:t>
      </w:r>
    </w:p>
    <w:p w14:paraId="19574820" w14:textId="77777777" w:rsidR="00927EDF" w:rsidRDefault="00927EDF" w:rsidP="00927EDF">
      <w:pPr>
        <w:pStyle w:val="Heading2"/>
        <w:tabs>
          <w:tab w:val="clear" w:pos="1002"/>
          <w:tab w:val="num" w:pos="810"/>
        </w:tabs>
        <w:ind w:left="540"/>
      </w:pPr>
      <w:r>
        <w:t>Utilization of NR Features</w:t>
      </w:r>
    </w:p>
    <w:p w14:paraId="55AD8B15" w14:textId="328F3F65" w:rsidR="008A67D0" w:rsidRDefault="008A67D0" w:rsidP="008A67D0">
      <w:pPr>
        <w:jc w:val="both"/>
        <w:rPr>
          <w:sz w:val="22"/>
          <w:szCs w:val="22"/>
        </w:rPr>
      </w:pPr>
      <w:r>
        <w:rPr>
          <w:sz w:val="22"/>
          <w:szCs w:val="22"/>
        </w:rPr>
        <w:t>5G NR has provided a series of improvements over the existing LTE-V2X specification which can be leveraged and adopted into the new NR V2X standard. The major highlights of 5G NR are the ability to support multiple numerologies</w:t>
      </w:r>
      <w:r w:rsidR="00B54177">
        <w:rPr>
          <w:sz w:val="22"/>
          <w:szCs w:val="22"/>
        </w:rPr>
        <w:t xml:space="preserve">, </w:t>
      </w:r>
      <w:r>
        <w:rPr>
          <w:sz w:val="22"/>
          <w:szCs w:val="22"/>
        </w:rPr>
        <w:t>the use of BWPs</w:t>
      </w:r>
      <w:r w:rsidR="00B54177">
        <w:rPr>
          <w:sz w:val="22"/>
          <w:szCs w:val="22"/>
        </w:rPr>
        <w:t xml:space="preserve"> as well as a flexible slot design for TDD configurations.</w:t>
      </w:r>
    </w:p>
    <w:p w14:paraId="7DBD897B" w14:textId="67448FD0" w:rsidR="008A67D0" w:rsidRDefault="008A67D0" w:rsidP="008A67D0">
      <w:pPr>
        <w:jc w:val="both"/>
        <w:rPr>
          <w:sz w:val="22"/>
          <w:szCs w:val="22"/>
        </w:rPr>
      </w:pPr>
      <w:r>
        <w:rPr>
          <w:sz w:val="22"/>
          <w:szCs w:val="22"/>
        </w:rPr>
        <w:t xml:space="preserve">Multiple numerologies would open the possibility of NR V2X systems to transmit and receive using higher SCSs, which also translates to shorter transmission intervals. Moreover, it supports slot-based transmissions and flexible slot configurations. However, the switching time between SCSs and the AGC retuning time has to be taking into consideration when exploring these options. </w:t>
      </w:r>
    </w:p>
    <w:p w14:paraId="6B502041" w14:textId="42119E2A" w:rsidR="008A67D0" w:rsidRDefault="008A67D0" w:rsidP="008A67D0">
      <w:pPr>
        <w:jc w:val="both"/>
        <w:rPr>
          <w:sz w:val="22"/>
          <w:szCs w:val="22"/>
        </w:rPr>
      </w:pPr>
      <w:r>
        <w:rPr>
          <w:sz w:val="22"/>
          <w:szCs w:val="22"/>
        </w:rPr>
        <w:t>Additionally, the use of BWPs in NR is necessary because of the larger bandwidth that NR systems support. By directing a UE to monitor control in only a sub-section of the entire bandwidth, the energy efficiency and processing time are greatly improved.</w:t>
      </w:r>
    </w:p>
    <w:p w14:paraId="10614F08" w14:textId="4A22AF5D" w:rsidR="00C03C85" w:rsidRDefault="00C03C85" w:rsidP="00C03C85">
      <w:pPr>
        <w:jc w:val="both"/>
        <w:rPr>
          <w:sz w:val="22"/>
          <w:szCs w:val="22"/>
        </w:rPr>
      </w:pPr>
      <w:r w:rsidRPr="00392242">
        <w:rPr>
          <w:sz w:val="22"/>
          <w:szCs w:val="22"/>
        </w:rPr>
        <w:t xml:space="preserve">The flexible slot structure in NR </w:t>
      </w:r>
      <w:r w:rsidR="00460F49">
        <w:rPr>
          <w:sz w:val="22"/>
          <w:szCs w:val="22"/>
        </w:rPr>
        <w:t xml:space="preserve">Rel-15 </w:t>
      </w:r>
      <w:r w:rsidRPr="00392242">
        <w:rPr>
          <w:sz w:val="22"/>
          <w:szCs w:val="22"/>
        </w:rPr>
        <w:t xml:space="preserve">defines slot formats as a combination of symbols which are denoted as downlink, uplink or flexible. This facilitates flexible slot configuration for uplink and downlink in TDD fashion, i.e. dynamic scheduling of the transmission direction even within one slot. </w:t>
      </w:r>
      <w:r w:rsidR="00460F49">
        <w:rPr>
          <w:sz w:val="22"/>
          <w:szCs w:val="22"/>
        </w:rPr>
        <w:t>This way a flexible accommodation to</w:t>
      </w:r>
      <w:r w:rsidR="00460F49" w:rsidRPr="00EB0A22">
        <w:rPr>
          <w:sz w:val="22"/>
          <w:szCs w:val="22"/>
        </w:rPr>
        <w:t xml:space="preserve"> different traffic requirements, e.g. for </w:t>
      </w:r>
      <w:proofErr w:type="spellStart"/>
      <w:r w:rsidR="00460F49" w:rsidRPr="00EB0A22">
        <w:rPr>
          <w:sz w:val="22"/>
          <w:szCs w:val="22"/>
        </w:rPr>
        <w:t>eMBB</w:t>
      </w:r>
      <w:proofErr w:type="spellEnd"/>
      <w:r w:rsidR="00460F49" w:rsidRPr="00EB0A22">
        <w:rPr>
          <w:sz w:val="22"/>
          <w:szCs w:val="22"/>
        </w:rPr>
        <w:t xml:space="preserve"> or URLLC scenarios</w:t>
      </w:r>
      <w:r w:rsidR="00460F49">
        <w:rPr>
          <w:sz w:val="22"/>
          <w:szCs w:val="22"/>
        </w:rPr>
        <w:t>,</w:t>
      </w:r>
      <w:r w:rsidR="00460F49" w:rsidRPr="00EB0A22">
        <w:rPr>
          <w:sz w:val="22"/>
          <w:szCs w:val="22"/>
        </w:rPr>
        <w:t xml:space="preserve"> </w:t>
      </w:r>
      <w:r w:rsidR="00460F49">
        <w:rPr>
          <w:sz w:val="22"/>
          <w:szCs w:val="22"/>
        </w:rPr>
        <w:t xml:space="preserve">can be achieved. As the </w:t>
      </w:r>
      <w:r w:rsidR="00460F49" w:rsidRPr="00EB0A22">
        <w:rPr>
          <w:sz w:val="22"/>
          <w:szCs w:val="22"/>
        </w:rPr>
        <w:t xml:space="preserve">advanced </w:t>
      </w:r>
      <w:r w:rsidR="00460F49">
        <w:rPr>
          <w:sz w:val="22"/>
          <w:szCs w:val="22"/>
        </w:rPr>
        <w:t xml:space="preserve">V2X </w:t>
      </w:r>
      <w:r w:rsidR="00460F49" w:rsidRPr="00EB0A22">
        <w:rPr>
          <w:sz w:val="22"/>
          <w:szCs w:val="22"/>
        </w:rPr>
        <w:t xml:space="preserve">use case groups </w:t>
      </w:r>
      <w:r w:rsidR="00460F49">
        <w:rPr>
          <w:sz w:val="22"/>
          <w:szCs w:val="22"/>
        </w:rPr>
        <w:t xml:space="preserve">span a diverse range of requirements regarding transmission rate, latency and reliability, the </w:t>
      </w:r>
      <w:r w:rsidR="00460F49" w:rsidRPr="00EB0A22">
        <w:rPr>
          <w:sz w:val="22"/>
          <w:szCs w:val="22"/>
        </w:rPr>
        <w:t xml:space="preserve">adoption of the flexible slot format for NR sidelink would allow capitalizing on </w:t>
      </w:r>
      <w:r w:rsidR="00C61B8B">
        <w:rPr>
          <w:sz w:val="22"/>
          <w:szCs w:val="22"/>
        </w:rPr>
        <w:t>these</w:t>
      </w:r>
      <w:r w:rsidR="00460F49">
        <w:rPr>
          <w:sz w:val="22"/>
          <w:szCs w:val="22"/>
        </w:rPr>
        <w:t xml:space="preserve"> </w:t>
      </w:r>
      <w:r w:rsidR="00460F49" w:rsidRPr="00EB0A22">
        <w:rPr>
          <w:sz w:val="22"/>
          <w:szCs w:val="22"/>
        </w:rPr>
        <w:t>provisions also for NR V2X communication</w:t>
      </w:r>
      <w:r w:rsidR="00460F49">
        <w:rPr>
          <w:sz w:val="22"/>
          <w:szCs w:val="22"/>
        </w:rPr>
        <w:t xml:space="preserve">s. </w:t>
      </w:r>
      <w:bookmarkStart w:id="2" w:name="_GoBack"/>
      <w:bookmarkEnd w:id="2"/>
    </w:p>
    <w:p w14:paraId="331A6228" w14:textId="77777777" w:rsidR="0010714D" w:rsidRDefault="0010714D" w:rsidP="0087565B">
      <w:pPr>
        <w:jc w:val="both"/>
        <w:rPr>
          <w:sz w:val="22"/>
          <w:szCs w:val="22"/>
        </w:rPr>
      </w:pPr>
    </w:p>
    <w:p w14:paraId="0C9839B1" w14:textId="01DEF0A1" w:rsidR="001E7715" w:rsidRDefault="00907E8D" w:rsidP="001E7715">
      <w:pPr>
        <w:pStyle w:val="Heading1"/>
        <w:rPr>
          <w:lang w:val="en-US"/>
        </w:rPr>
      </w:pPr>
      <w:r>
        <w:rPr>
          <w:lang w:val="en-US"/>
        </w:rPr>
        <w:t xml:space="preserve">Possible </w:t>
      </w:r>
      <w:r w:rsidR="008A67D0">
        <w:rPr>
          <w:lang w:val="en-US"/>
        </w:rPr>
        <w:t>Physical Channel Multiplexing</w:t>
      </w:r>
      <w:r w:rsidR="00927EDF">
        <w:rPr>
          <w:lang w:val="en-US"/>
        </w:rPr>
        <w:t xml:space="preserve"> Designs</w:t>
      </w:r>
    </w:p>
    <w:p w14:paraId="4D0DA800" w14:textId="0BFE33A1" w:rsidR="00061F7A" w:rsidRDefault="00CC7CF1" w:rsidP="00907E8D">
      <w:pPr>
        <w:pStyle w:val="3GPPNormalText"/>
      </w:pPr>
      <w:r>
        <w:t xml:space="preserve">This section </w:t>
      </w:r>
      <w:r w:rsidR="000A3199">
        <w:t xml:space="preserve">presents </w:t>
      </w:r>
      <w:r>
        <w:t xml:space="preserve">the different </w:t>
      </w:r>
      <w:r w:rsidR="00E52A6C">
        <w:t xml:space="preserve">NR </w:t>
      </w:r>
      <w:r w:rsidR="00927EDF">
        <w:t xml:space="preserve">V2X </w:t>
      </w:r>
      <w:r w:rsidR="00CE38B9">
        <w:t xml:space="preserve">channel multiplexing </w:t>
      </w:r>
      <w:r w:rsidR="000E539D">
        <w:t>schemes</w:t>
      </w:r>
      <w:r>
        <w:t>.</w:t>
      </w:r>
    </w:p>
    <w:p w14:paraId="0AD7A5E3" w14:textId="4484B24A" w:rsidR="00FA0DFC" w:rsidRDefault="00FA0DFC" w:rsidP="00392C09">
      <w:pPr>
        <w:pStyle w:val="Heading2"/>
        <w:tabs>
          <w:tab w:val="clear" w:pos="1002"/>
          <w:tab w:val="num" w:pos="540"/>
        </w:tabs>
        <w:ind w:left="540"/>
      </w:pPr>
      <w:r>
        <w:t>Introduction of Resource Sets for Each Communications Type</w:t>
      </w:r>
    </w:p>
    <w:p w14:paraId="31B8970D" w14:textId="133E1A9A" w:rsidR="00FA0DFC" w:rsidRDefault="00FA0DFC" w:rsidP="00F23829">
      <w:pPr>
        <w:jc w:val="both"/>
        <w:rPr>
          <w:sz w:val="22"/>
          <w:szCs w:val="22"/>
        </w:rPr>
      </w:pPr>
      <w:r>
        <w:rPr>
          <w:sz w:val="22"/>
          <w:szCs w:val="22"/>
        </w:rPr>
        <w:t xml:space="preserve">Given that NR V2X </w:t>
      </w:r>
      <w:r w:rsidR="00F808D0">
        <w:rPr>
          <w:sz w:val="22"/>
          <w:szCs w:val="22"/>
        </w:rPr>
        <w:t xml:space="preserve">is required to </w:t>
      </w:r>
      <w:r>
        <w:rPr>
          <w:sz w:val="22"/>
          <w:szCs w:val="22"/>
        </w:rPr>
        <w:t>support</w:t>
      </w:r>
      <w:r w:rsidR="00E46A37">
        <w:rPr>
          <w:sz w:val="22"/>
          <w:szCs w:val="22"/>
        </w:rPr>
        <w:t xml:space="preserve"> broadcast, groupcast and unicast communication types, and since each of them have their own unique characteristics, it would be advantageous to divide the V2X resources for each of the communication types.</w:t>
      </w:r>
    </w:p>
    <w:p w14:paraId="0F35A584" w14:textId="0687625C" w:rsidR="00925421" w:rsidRDefault="00E46A37" w:rsidP="00925421">
      <w:pPr>
        <w:jc w:val="both"/>
        <w:rPr>
          <w:sz w:val="22"/>
          <w:szCs w:val="22"/>
        </w:rPr>
      </w:pPr>
      <w:r>
        <w:rPr>
          <w:sz w:val="22"/>
          <w:szCs w:val="22"/>
        </w:rPr>
        <w:t xml:space="preserve">Factoring in the BWP and CORESET features of NR 5G, a legacy LTE V2X resource pool structure can be retained, with the difference that the control sub channel is a control BWP consisting of multiple sub channels within it. This is followed by the data BWPs in a FDM fashion, with each data BWP assigned to each communication type. </w:t>
      </w:r>
      <w:r w:rsidR="00925421">
        <w:rPr>
          <w:sz w:val="22"/>
          <w:szCs w:val="22"/>
        </w:rPr>
        <w:t>The size of the data BWPs can be dynamic, depending on the current traffic scenario for each of the types. It is also possible to merge the groupcast and unicast communication data BWPs, since unicast communications can be considered as a special case of groupcast communications, where the group consists of only two member V-UEs.</w:t>
      </w:r>
    </w:p>
    <w:p w14:paraId="18BBD0A7" w14:textId="1E4ECB43" w:rsidR="009E5054" w:rsidRDefault="00E46A37" w:rsidP="00F23829">
      <w:pPr>
        <w:jc w:val="both"/>
        <w:rPr>
          <w:sz w:val="22"/>
          <w:szCs w:val="22"/>
        </w:rPr>
      </w:pPr>
      <w:r>
        <w:rPr>
          <w:sz w:val="22"/>
          <w:szCs w:val="22"/>
        </w:rPr>
        <w:t xml:space="preserve">Considering the AGC </w:t>
      </w:r>
      <w:r w:rsidR="002808CC">
        <w:rPr>
          <w:sz w:val="22"/>
          <w:szCs w:val="22"/>
        </w:rPr>
        <w:t xml:space="preserve">settling time </w:t>
      </w:r>
      <w:r>
        <w:rPr>
          <w:sz w:val="22"/>
          <w:szCs w:val="22"/>
        </w:rPr>
        <w:t xml:space="preserve">issue, and referring to the LS from RAN4 [3] regarding the </w:t>
      </w:r>
      <w:r w:rsidR="009E5054">
        <w:rPr>
          <w:sz w:val="22"/>
          <w:szCs w:val="22"/>
        </w:rPr>
        <w:t xml:space="preserve">transition </w:t>
      </w:r>
      <w:r>
        <w:rPr>
          <w:sz w:val="22"/>
          <w:szCs w:val="22"/>
        </w:rPr>
        <w:t>time between BWPs</w:t>
      </w:r>
      <w:r w:rsidR="009E5054">
        <w:rPr>
          <w:sz w:val="22"/>
          <w:szCs w:val="22"/>
        </w:rPr>
        <w:t xml:space="preserve"> of different SCSs</w:t>
      </w:r>
      <w:r>
        <w:rPr>
          <w:sz w:val="22"/>
          <w:szCs w:val="22"/>
        </w:rPr>
        <w:t xml:space="preserve">, each resource pool </w:t>
      </w:r>
      <w:r w:rsidR="00F808D0">
        <w:rPr>
          <w:sz w:val="22"/>
          <w:szCs w:val="22"/>
        </w:rPr>
        <w:t xml:space="preserve">and </w:t>
      </w:r>
      <w:r>
        <w:rPr>
          <w:sz w:val="22"/>
          <w:szCs w:val="22"/>
        </w:rPr>
        <w:t>the BWPs within it</w:t>
      </w:r>
      <w:r w:rsidR="00F808D0">
        <w:rPr>
          <w:sz w:val="22"/>
          <w:szCs w:val="22"/>
        </w:rPr>
        <w:t xml:space="preserve"> are defined with a single </w:t>
      </w:r>
      <w:r>
        <w:rPr>
          <w:sz w:val="22"/>
          <w:szCs w:val="22"/>
        </w:rPr>
        <w:t>SCS.</w:t>
      </w:r>
      <w:r w:rsidR="009E5054">
        <w:rPr>
          <w:sz w:val="22"/>
          <w:szCs w:val="22"/>
        </w:rPr>
        <w:t xml:space="preserve"> The different transition times are detailed in Table 1.</w:t>
      </w:r>
    </w:p>
    <w:p w14:paraId="36768FBB" w14:textId="1149F8A2" w:rsidR="009E5054" w:rsidRDefault="009E5054" w:rsidP="00F23829">
      <w:pPr>
        <w:jc w:val="both"/>
        <w:rPr>
          <w:sz w:val="22"/>
          <w:szCs w:val="22"/>
        </w:rPr>
      </w:pPr>
      <w:r>
        <w:rPr>
          <w:sz w:val="22"/>
          <w:szCs w:val="22"/>
        </w:rPr>
        <w:lastRenderedPageBreak/>
        <w:t xml:space="preserve">It is possible to consider a time shifted version with the same concept, where the BWPs could belong to different SCSs, in order to account for the </w:t>
      </w:r>
      <w:r w:rsidR="002808CC">
        <w:rPr>
          <w:sz w:val="22"/>
          <w:szCs w:val="22"/>
        </w:rPr>
        <w:t>transition</w:t>
      </w:r>
      <w:r>
        <w:rPr>
          <w:sz w:val="22"/>
          <w:szCs w:val="22"/>
        </w:rPr>
        <w:t xml:space="preserve"> time.</w:t>
      </w:r>
    </w:p>
    <w:tbl>
      <w:tblPr>
        <w:tblStyle w:val="TableGrid"/>
        <w:tblW w:w="0" w:type="auto"/>
        <w:tblInd w:w="-5" w:type="dxa"/>
        <w:tblLook w:val="04A0" w:firstRow="1" w:lastRow="0" w:firstColumn="1" w:lastColumn="0" w:noHBand="0" w:noVBand="1"/>
      </w:tblPr>
      <w:tblGrid>
        <w:gridCol w:w="3325"/>
        <w:gridCol w:w="3321"/>
        <w:gridCol w:w="3321"/>
      </w:tblGrid>
      <w:tr w:rsidR="009E5054" w14:paraId="2D00DEE8" w14:textId="77777777" w:rsidTr="003F7274">
        <w:tc>
          <w:tcPr>
            <w:tcW w:w="3325" w:type="dxa"/>
            <w:shd w:val="clear" w:color="auto" w:fill="D9D9D9" w:themeFill="background1" w:themeFillShade="D9"/>
          </w:tcPr>
          <w:p w14:paraId="42663503" w14:textId="616E7B81" w:rsidR="009E5054" w:rsidRPr="002808CC" w:rsidRDefault="009E5054" w:rsidP="002808CC">
            <w:pPr>
              <w:jc w:val="center"/>
              <w:rPr>
                <w:b/>
                <w:sz w:val="22"/>
                <w:szCs w:val="22"/>
              </w:rPr>
            </w:pPr>
            <w:r w:rsidRPr="002808CC">
              <w:rPr>
                <w:b/>
                <w:sz w:val="22"/>
                <w:szCs w:val="22"/>
              </w:rPr>
              <w:t>Band Operation</w:t>
            </w:r>
          </w:p>
        </w:tc>
        <w:tc>
          <w:tcPr>
            <w:tcW w:w="3321" w:type="dxa"/>
            <w:shd w:val="clear" w:color="auto" w:fill="D9D9D9" w:themeFill="background1" w:themeFillShade="D9"/>
          </w:tcPr>
          <w:p w14:paraId="660C9E43" w14:textId="4A20A533" w:rsidR="009E5054" w:rsidRPr="002808CC" w:rsidRDefault="009E5054" w:rsidP="002808CC">
            <w:pPr>
              <w:jc w:val="center"/>
              <w:rPr>
                <w:b/>
                <w:sz w:val="22"/>
                <w:szCs w:val="22"/>
              </w:rPr>
            </w:pPr>
            <w:r w:rsidRPr="002808CC">
              <w:rPr>
                <w:b/>
                <w:sz w:val="22"/>
                <w:szCs w:val="22"/>
              </w:rPr>
              <w:t>Conditions</w:t>
            </w:r>
          </w:p>
        </w:tc>
        <w:tc>
          <w:tcPr>
            <w:tcW w:w="3321" w:type="dxa"/>
            <w:shd w:val="clear" w:color="auto" w:fill="D9D9D9" w:themeFill="background1" w:themeFillShade="D9"/>
          </w:tcPr>
          <w:p w14:paraId="0D2058F1" w14:textId="77C7E171" w:rsidR="009E5054" w:rsidRPr="002808CC" w:rsidRDefault="009E5054" w:rsidP="002808CC">
            <w:pPr>
              <w:jc w:val="center"/>
              <w:rPr>
                <w:b/>
                <w:sz w:val="22"/>
                <w:szCs w:val="22"/>
              </w:rPr>
            </w:pPr>
            <w:r w:rsidRPr="002808CC">
              <w:rPr>
                <w:b/>
                <w:sz w:val="22"/>
                <w:szCs w:val="22"/>
              </w:rPr>
              <w:t>Transition Time</w:t>
            </w:r>
          </w:p>
        </w:tc>
      </w:tr>
      <w:tr w:rsidR="009E5054" w14:paraId="0AAFE62A" w14:textId="77777777" w:rsidTr="003F7274">
        <w:tc>
          <w:tcPr>
            <w:tcW w:w="3325" w:type="dxa"/>
          </w:tcPr>
          <w:p w14:paraId="15743D74" w14:textId="5301367E" w:rsidR="009E5054" w:rsidRDefault="009E5054" w:rsidP="00F23829">
            <w:pPr>
              <w:rPr>
                <w:sz w:val="22"/>
                <w:szCs w:val="22"/>
              </w:rPr>
            </w:pPr>
            <w:r>
              <w:rPr>
                <w:sz w:val="22"/>
                <w:szCs w:val="22"/>
              </w:rPr>
              <w:t>Intra-Band Operation</w:t>
            </w:r>
          </w:p>
        </w:tc>
        <w:tc>
          <w:tcPr>
            <w:tcW w:w="3321" w:type="dxa"/>
          </w:tcPr>
          <w:p w14:paraId="27665672" w14:textId="2658CDF9" w:rsidR="009E5054" w:rsidRDefault="009E5054" w:rsidP="00F23829">
            <w:pPr>
              <w:rPr>
                <w:sz w:val="22"/>
                <w:szCs w:val="22"/>
              </w:rPr>
            </w:pPr>
            <w:r>
              <w:rPr>
                <w:sz w:val="22"/>
                <w:szCs w:val="22"/>
              </w:rPr>
              <w:t>Same centre frequency before and after bandwidth adaptation</w:t>
            </w:r>
          </w:p>
        </w:tc>
        <w:tc>
          <w:tcPr>
            <w:tcW w:w="3321" w:type="dxa"/>
          </w:tcPr>
          <w:p w14:paraId="1C0F1BF2" w14:textId="6684E5DE" w:rsidR="009E5054" w:rsidRDefault="009E5054" w:rsidP="002808CC">
            <w:pPr>
              <w:rPr>
                <w:sz w:val="22"/>
                <w:szCs w:val="22"/>
              </w:rPr>
            </w:pPr>
            <w:r>
              <w:rPr>
                <w:sz w:val="22"/>
                <w:szCs w:val="22"/>
              </w:rPr>
              <w:t xml:space="preserve">Up to 20 </w:t>
            </w:r>
            <w:r w:rsidRPr="009E5054">
              <w:rPr>
                <w:sz w:val="22"/>
                <w:szCs w:val="22"/>
              </w:rPr>
              <w:t>µs</w:t>
            </w:r>
          </w:p>
        </w:tc>
      </w:tr>
      <w:tr w:rsidR="009E5054" w14:paraId="6B8C36CA" w14:textId="77777777" w:rsidTr="003F7274">
        <w:tc>
          <w:tcPr>
            <w:tcW w:w="3325" w:type="dxa"/>
          </w:tcPr>
          <w:p w14:paraId="191D852B" w14:textId="7C9F8C95" w:rsidR="009E5054" w:rsidRDefault="009E5054" w:rsidP="00F23829">
            <w:pPr>
              <w:rPr>
                <w:sz w:val="22"/>
                <w:szCs w:val="22"/>
              </w:rPr>
            </w:pPr>
            <w:r>
              <w:rPr>
                <w:sz w:val="22"/>
                <w:szCs w:val="22"/>
              </w:rPr>
              <w:t>Intra-Band Operation</w:t>
            </w:r>
          </w:p>
        </w:tc>
        <w:tc>
          <w:tcPr>
            <w:tcW w:w="3321" w:type="dxa"/>
          </w:tcPr>
          <w:p w14:paraId="1C8A8708" w14:textId="1384F5A9" w:rsidR="009E5054" w:rsidRDefault="009E5054" w:rsidP="00F23829">
            <w:pPr>
              <w:rPr>
                <w:sz w:val="22"/>
                <w:szCs w:val="22"/>
              </w:rPr>
            </w:pPr>
            <w:r>
              <w:rPr>
                <w:sz w:val="22"/>
                <w:szCs w:val="22"/>
              </w:rPr>
              <w:t>Different centre frequencies before and after bandwidth adaptation</w:t>
            </w:r>
          </w:p>
        </w:tc>
        <w:tc>
          <w:tcPr>
            <w:tcW w:w="3321" w:type="dxa"/>
          </w:tcPr>
          <w:p w14:paraId="096B1188" w14:textId="0AFC6DE0" w:rsidR="009E5054" w:rsidRDefault="009E5054" w:rsidP="00F23829">
            <w:pPr>
              <w:rPr>
                <w:sz w:val="22"/>
                <w:szCs w:val="22"/>
              </w:rPr>
            </w:pPr>
            <w:r w:rsidRPr="009E5054">
              <w:rPr>
                <w:sz w:val="22"/>
                <w:szCs w:val="22"/>
              </w:rPr>
              <w:t>50~200 µs</w:t>
            </w:r>
          </w:p>
        </w:tc>
      </w:tr>
      <w:tr w:rsidR="009E5054" w14:paraId="412B373F" w14:textId="77777777" w:rsidTr="003F7274">
        <w:tc>
          <w:tcPr>
            <w:tcW w:w="3325" w:type="dxa"/>
          </w:tcPr>
          <w:p w14:paraId="7D1EDFE9" w14:textId="3695C81A" w:rsidR="009E5054" w:rsidRDefault="009E5054" w:rsidP="00F23829">
            <w:pPr>
              <w:rPr>
                <w:sz w:val="22"/>
                <w:szCs w:val="22"/>
              </w:rPr>
            </w:pPr>
            <w:r>
              <w:rPr>
                <w:sz w:val="22"/>
                <w:szCs w:val="22"/>
              </w:rPr>
              <w:t>Inter-Band Operation</w:t>
            </w:r>
          </w:p>
        </w:tc>
        <w:tc>
          <w:tcPr>
            <w:tcW w:w="3321" w:type="dxa"/>
          </w:tcPr>
          <w:p w14:paraId="2480E9A7" w14:textId="669E6760" w:rsidR="009E5054" w:rsidRDefault="009E5054" w:rsidP="00F23829">
            <w:pPr>
              <w:rPr>
                <w:sz w:val="22"/>
                <w:szCs w:val="22"/>
              </w:rPr>
            </w:pPr>
            <w:r>
              <w:rPr>
                <w:sz w:val="22"/>
                <w:szCs w:val="22"/>
              </w:rPr>
              <w:t>N/A</w:t>
            </w:r>
          </w:p>
        </w:tc>
        <w:tc>
          <w:tcPr>
            <w:tcW w:w="3321" w:type="dxa"/>
          </w:tcPr>
          <w:p w14:paraId="009076D3" w14:textId="66ED89CA" w:rsidR="009E5054" w:rsidRDefault="009E5054" w:rsidP="00F23829">
            <w:pPr>
              <w:rPr>
                <w:sz w:val="22"/>
                <w:szCs w:val="22"/>
              </w:rPr>
            </w:pPr>
            <w:r>
              <w:rPr>
                <w:sz w:val="22"/>
                <w:szCs w:val="22"/>
              </w:rPr>
              <w:t xml:space="preserve">Up to 900 </w:t>
            </w:r>
            <w:r w:rsidRPr="009E5054">
              <w:rPr>
                <w:sz w:val="22"/>
                <w:szCs w:val="22"/>
              </w:rPr>
              <w:t>µs</w:t>
            </w:r>
          </w:p>
        </w:tc>
      </w:tr>
    </w:tbl>
    <w:p w14:paraId="4722D401" w14:textId="77777777" w:rsidR="002808CC" w:rsidRDefault="002808CC" w:rsidP="002808CC">
      <w:pPr>
        <w:pStyle w:val="3GPPNormalText"/>
      </w:pPr>
    </w:p>
    <w:p w14:paraId="779908B5" w14:textId="1F2BC683" w:rsidR="009E5054" w:rsidRPr="002808CC" w:rsidRDefault="009E5054" w:rsidP="002808CC">
      <w:pPr>
        <w:jc w:val="center"/>
        <w:rPr>
          <w:i/>
          <w:sz w:val="22"/>
          <w:szCs w:val="22"/>
        </w:rPr>
      </w:pPr>
      <w:r w:rsidRPr="002808CC">
        <w:rPr>
          <w:i/>
          <w:sz w:val="22"/>
          <w:szCs w:val="22"/>
        </w:rPr>
        <w:t>Table 1: Transition time based on RF aspect</w:t>
      </w:r>
      <w:r w:rsidR="00191FB0">
        <w:rPr>
          <w:i/>
          <w:sz w:val="22"/>
          <w:szCs w:val="22"/>
        </w:rPr>
        <w:t>s</w:t>
      </w:r>
      <w:r w:rsidRPr="002808CC">
        <w:rPr>
          <w:i/>
          <w:sz w:val="22"/>
          <w:szCs w:val="22"/>
        </w:rPr>
        <w:t xml:space="preserve"> (not including AGC settling time) for below 6GHz</w:t>
      </w:r>
      <w:r w:rsidR="002808CC">
        <w:rPr>
          <w:i/>
          <w:sz w:val="22"/>
          <w:szCs w:val="22"/>
        </w:rPr>
        <w:t xml:space="preserve"> [3]</w:t>
      </w:r>
    </w:p>
    <w:p w14:paraId="4E896738" w14:textId="77777777" w:rsidR="00311571" w:rsidRPr="00E46A37" w:rsidRDefault="00311571" w:rsidP="00311571">
      <w:pPr>
        <w:jc w:val="both"/>
        <w:rPr>
          <w:b/>
          <w:sz w:val="22"/>
          <w:szCs w:val="22"/>
        </w:rPr>
      </w:pPr>
      <w:r w:rsidRPr="00E46A37">
        <w:rPr>
          <w:b/>
          <w:sz w:val="22"/>
          <w:szCs w:val="22"/>
        </w:rPr>
        <w:t>Proposal 1: Study the possibility of a resource pool containing BWPs, with BWPs assigned individually for control and for each communication type.</w:t>
      </w:r>
    </w:p>
    <w:p w14:paraId="2FA7C58C" w14:textId="77777777" w:rsidR="009E5054" w:rsidRDefault="009E5054" w:rsidP="00F23829">
      <w:pPr>
        <w:jc w:val="both"/>
        <w:rPr>
          <w:sz w:val="22"/>
          <w:szCs w:val="22"/>
        </w:rPr>
      </w:pPr>
    </w:p>
    <w:p w14:paraId="799BDC42" w14:textId="1115C29C" w:rsidR="00927EDF" w:rsidRDefault="00927EDF" w:rsidP="00392C09">
      <w:pPr>
        <w:pStyle w:val="Heading2"/>
        <w:tabs>
          <w:tab w:val="clear" w:pos="1002"/>
          <w:tab w:val="num" w:pos="540"/>
        </w:tabs>
        <w:ind w:left="540"/>
      </w:pPr>
      <w:r>
        <w:t>TDM/FDM Dual Control Channel Design</w:t>
      </w:r>
    </w:p>
    <w:p w14:paraId="52F21FF6" w14:textId="51BEE2E7" w:rsidR="00B91474" w:rsidRDefault="00B91474" w:rsidP="00B91474">
      <w:pPr>
        <w:jc w:val="both"/>
        <w:rPr>
          <w:sz w:val="22"/>
          <w:szCs w:val="22"/>
        </w:rPr>
      </w:pPr>
      <w:r>
        <w:rPr>
          <w:sz w:val="22"/>
          <w:szCs w:val="22"/>
        </w:rPr>
        <w:t>In this design, the resource pool in a given SCS consists of data BWPs for each communications type – broadcast, groupcast and unicast. The control information for a transmission is divided into two</w:t>
      </w:r>
      <w:r w:rsidR="00036D3A">
        <w:rPr>
          <w:sz w:val="22"/>
          <w:szCs w:val="22"/>
        </w:rPr>
        <w:t xml:space="preserve"> entities</w:t>
      </w:r>
      <w:r>
        <w:rPr>
          <w:sz w:val="22"/>
          <w:szCs w:val="22"/>
        </w:rPr>
        <w:t xml:space="preserve"> </w:t>
      </w:r>
      <w:r w:rsidR="00036D3A">
        <w:rPr>
          <w:sz w:val="22"/>
          <w:szCs w:val="22"/>
        </w:rPr>
        <w:t>–</w:t>
      </w:r>
      <w:r>
        <w:rPr>
          <w:sz w:val="22"/>
          <w:szCs w:val="22"/>
        </w:rPr>
        <w:t xml:space="preserve"> </w:t>
      </w:r>
      <w:r w:rsidR="00036D3A">
        <w:rPr>
          <w:sz w:val="22"/>
          <w:szCs w:val="22"/>
        </w:rPr>
        <w:t xml:space="preserve">the </w:t>
      </w:r>
      <w:r>
        <w:rPr>
          <w:sz w:val="22"/>
          <w:szCs w:val="22"/>
        </w:rPr>
        <w:t>Common Control BWP, which is time-continuous, pointing to CORESETs residing within the respective data BWPs.</w:t>
      </w:r>
      <w:r w:rsidR="00E8126A">
        <w:rPr>
          <w:sz w:val="22"/>
          <w:szCs w:val="22"/>
        </w:rPr>
        <w:t xml:space="preserve"> The Common Control BWP is FDMed with the data BWPs, and the CORESETs are TDMed with the data within the data BWPs</w:t>
      </w:r>
      <w:r w:rsidR="00F06B9C">
        <w:rPr>
          <w:sz w:val="22"/>
          <w:szCs w:val="22"/>
        </w:rPr>
        <w:t>, as seen in Fig. 1.</w:t>
      </w:r>
    </w:p>
    <w:p w14:paraId="3EF4D205" w14:textId="77777777" w:rsidR="00F80D0E" w:rsidRDefault="00F80D0E" w:rsidP="00F80D0E">
      <w:pPr>
        <w:jc w:val="both"/>
        <w:rPr>
          <w:sz w:val="22"/>
          <w:szCs w:val="22"/>
        </w:rPr>
      </w:pPr>
      <w:r>
        <w:rPr>
          <w:sz w:val="22"/>
          <w:szCs w:val="22"/>
        </w:rPr>
        <w:t>All V-UEs will listen to the Common Control BWP</w:t>
      </w:r>
      <w:r w:rsidRPr="006A616A">
        <w:t xml:space="preserve"> </w:t>
      </w:r>
      <w:r w:rsidRPr="006A616A">
        <w:rPr>
          <w:sz w:val="22"/>
          <w:szCs w:val="22"/>
        </w:rPr>
        <w:t xml:space="preserve">at all times, </w:t>
      </w:r>
      <w:r>
        <w:rPr>
          <w:sz w:val="22"/>
          <w:szCs w:val="22"/>
        </w:rPr>
        <w:t>irrespective</w:t>
      </w:r>
      <w:r w:rsidRPr="006A616A">
        <w:rPr>
          <w:sz w:val="22"/>
          <w:szCs w:val="22"/>
        </w:rPr>
        <w:t xml:space="preserve"> of whether they are a part of a group or carrying out unicast or broadcast</w:t>
      </w:r>
      <w:r>
        <w:rPr>
          <w:sz w:val="22"/>
          <w:szCs w:val="22"/>
        </w:rPr>
        <w:t xml:space="preserve"> transmissions</w:t>
      </w:r>
      <w:r w:rsidRPr="006A616A">
        <w:rPr>
          <w:sz w:val="22"/>
          <w:szCs w:val="22"/>
        </w:rPr>
        <w:t>.</w:t>
      </w:r>
      <w:r>
        <w:rPr>
          <w:sz w:val="22"/>
          <w:szCs w:val="22"/>
        </w:rPr>
        <w:t xml:space="preserve"> The control information in the Common Control BWP will carry the following content:</w:t>
      </w:r>
    </w:p>
    <w:p w14:paraId="5129EDB2" w14:textId="77777777" w:rsidR="00F80D0E" w:rsidRPr="006A616A" w:rsidRDefault="00F80D0E" w:rsidP="00F80D0E">
      <w:pPr>
        <w:pStyle w:val="ListParagraph"/>
        <w:numPr>
          <w:ilvl w:val="0"/>
          <w:numId w:val="22"/>
        </w:numPr>
        <w:jc w:val="both"/>
        <w:rPr>
          <w:rFonts w:ascii="Times New Roman" w:hAnsi="Times New Roman"/>
        </w:rPr>
      </w:pPr>
      <w:r w:rsidRPr="006A616A">
        <w:rPr>
          <w:rFonts w:ascii="Times New Roman" w:hAnsi="Times New Roman"/>
        </w:rPr>
        <w:t>Type of communication, which will inform the receiving V-UE as to which BWP to decode for the respective CORESET and data</w:t>
      </w:r>
      <w:r>
        <w:rPr>
          <w:rFonts w:ascii="Times New Roman" w:hAnsi="Times New Roman"/>
        </w:rPr>
        <w:t>,</w:t>
      </w:r>
    </w:p>
    <w:p w14:paraId="5090A45F" w14:textId="77777777" w:rsidR="00F80D0E" w:rsidRPr="006A616A" w:rsidRDefault="00F80D0E" w:rsidP="00F80D0E">
      <w:pPr>
        <w:pStyle w:val="ListParagraph"/>
        <w:numPr>
          <w:ilvl w:val="0"/>
          <w:numId w:val="22"/>
        </w:numPr>
        <w:jc w:val="both"/>
        <w:rPr>
          <w:rFonts w:ascii="Times New Roman" w:hAnsi="Times New Roman"/>
        </w:rPr>
      </w:pPr>
      <w:r w:rsidRPr="006A616A">
        <w:rPr>
          <w:rFonts w:ascii="Times New Roman" w:hAnsi="Times New Roman"/>
        </w:rPr>
        <w:t xml:space="preserve">Priority of the transmission, so that the UE can accordingly decode the relevant </w:t>
      </w:r>
      <w:r>
        <w:rPr>
          <w:rFonts w:ascii="Times New Roman" w:hAnsi="Times New Roman"/>
        </w:rPr>
        <w:t xml:space="preserve">CORESET and </w:t>
      </w:r>
      <w:r w:rsidRPr="006A616A">
        <w:rPr>
          <w:rFonts w:ascii="Times New Roman" w:hAnsi="Times New Roman"/>
        </w:rPr>
        <w:t>data</w:t>
      </w:r>
      <w:r>
        <w:rPr>
          <w:rFonts w:ascii="Times New Roman" w:hAnsi="Times New Roman"/>
        </w:rPr>
        <w:t>,</w:t>
      </w:r>
    </w:p>
    <w:p w14:paraId="57FEC121" w14:textId="77777777" w:rsidR="00F80D0E" w:rsidRDefault="00F80D0E" w:rsidP="00F80D0E">
      <w:pPr>
        <w:pStyle w:val="ListParagraph"/>
        <w:numPr>
          <w:ilvl w:val="0"/>
          <w:numId w:val="22"/>
        </w:numPr>
        <w:jc w:val="both"/>
        <w:rPr>
          <w:rFonts w:ascii="Times New Roman" w:hAnsi="Times New Roman"/>
        </w:rPr>
      </w:pPr>
      <w:r w:rsidRPr="006A616A">
        <w:rPr>
          <w:rFonts w:ascii="Times New Roman" w:hAnsi="Times New Roman"/>
        </w:rPr>
        <w:t xml:space="preserve">UE ID, in the case of unicast communications, or group ID, in the case of groupcast communications. Based on the given ID, the V-UE can decide </w:t>
      </w:r>
      <w:r>
        <w:rPr>
          <w:rFonts w:ascii="Times New Roman" w:hAnsi="Times New Roman"/>
        </w:rPr>
        <w:t>whether the transmission is</w:t>
      </w:r>
      <w:r w:rsidRPr="006A616A">
        <w:rPr>
          <w:rFonts w:ascii="Times New Roman" w:hAnsi="Times New Roman"/>
        </w:rPr>
        <w:t xml:space="preserve"> relevant to it, and if yes, decode the relevant CORESET and data</w:t>
      </w:r>
      <w:r>
        <w:rPr>
          <w:rFonts w:ascii="Times New Roman" w:hAnsi="Times New Roman"/>
        </w:rPr>
        <w:t>,</w:t>
      </w:r>
    </w:p>
    <w:p w14:paraId="6343E90D" w14:textId="426A429B" w:rsidR="00F80D0E" w:rsidRDefault="00F80D0E" w:rsidP="00F80D0E">
      <w:pPr>
        <w:pStyle w:val="ListParagraph"/>
        <w:numPr>
          <w:ilvl w:val="0"/>
          <w:numId w:val="22"/>
        </w:numPr>
        <w:jc w:val="both"/>
        <w:rPr>
          <w:rFonts w:ascii="Times New Roman" w:hAnsi="Times New Roman"/>
        </w:rPr>
      </w:pPr>
      <w:r w:rsidRPr="006A616A">
        <w:rPr>
          <w:rFonts w:ascii="Times New Roman" w:hAnsi="Times New Roman"/>
        </w:rPr>
        <w:t>In the case of gr</w:t>
      </w:r>
      <w:r>
        <w:rPr>
          <w:rFonts w:ascii="Times New Roman" w:hAnsi="Times New Roman"/>
        </w:rPr>
        <w:t>oupcast communications, information regarding the resources pertaining to a given group will be defined. This is discussed in more detail in our accompanying contribution [4] on groupcast resource allocation.</w:t>
      </w:r>
    </w:p>
    <w:p w14:paraId="018A1E1D" w14:textId="6BF076E0" w:rsidR="00F80D0E" w:rsidRDefault="00F80D0E" w:rsidP="00F80D0E">
      <w:pPr>
        <w:ind w:left="360"/>
        <w:jc w:val="both"/>
      </w:pPr>
    </w:p>
    <w:p w14:paraId="589C8815" w14:textId="77777777" w:rsidR="00F80D0E" w:rsidRDefault="00F80D0E" w:rsidP="00F80D0E">
      <w:pPr>
        <w:jc w:val="both"/>
        <w:rPr>
          <w:sz w:val="22"/>
          <w:szCs w:val="22"/>
        </w:rPr>
      </w:pPr>
      <w:r>
        <w:rPr>
          <w:sz w:val="22"/>
          <w:szCs w:val="22"/>
        </w:rPr>
        <w:t xml:space="preserve">The CORESET </w:t>
      </w:r>
      <w:r w:rsidRPr="006A616A">
        <w:rPr>
          <w:sz w:val="22"/>
          <w:szCs w:val="22"/>
        </w:rPr>
        <w:t xml:space="preserve">will provide the receiving </w:t>
      </w:r>
      <w:r>
        <w:rPr>
          <w:sz w:val="22"/>
          <w:szCs w:val="22"/>
        </w:rPr>
        <w:t>V-</w:t>
      </w:r>
      <w:r w:rsidRPr="006A616A">
        <w:rPr>
          <w:sz w:val="22"/>
          <w:szCs w:val="22"/>
        </w:rPr>
        <w:t>UE</w:t>
      </w:r>
      <w:r>
        <w:rPr>
          <w:sz w:val="22"/>
          <w:szCs w:val="22"/>
        </w:rPr>
        <w:t>s</w:t>
      </w:r>
      <w:r w:rsidRPr="006A616A">
        <w:rPr>
          <w:sz w:val="22"/>
          <w:szCs w:val="22"/>
        </w:rPr>
        <w:t xml:space="preserve"> with further information regarding whether the transmission is aperiodic </w:t>
      </w:r>
      <w:r>
        <w:rPr>
          <w:sz w:val="22"/>
          <w:szCs w:val="22"/>
        </w:rPr>
        <w:t xml:space="preserve">or </w:t>
      </w:r>
      <w:r w:rsidRPr="006A616A">
        <w:rPr>
          <w:sz w:val="22"/>
          <w:szCs w:val="22"/>
        </w:rPr>
        <w:t xml:space="preserve">periodic, in which case the </w:t>
      </w:r>
      <w:r>
        <w:rPr>
          <w:sz w:val="22"/>
          <w:szCs w:val="22"/>
        </w:rPr>
        <w:t>duration and periodicity</w:t>
      </w:r>
      <w:r w:rsidRPr="006A616A">
        <w:rPr>
          <w:sz w:val="22"/>
          <w:szCs w:val="22"/>
        </w:rPr>
        <w:t xml:space="preserve"> </w:t>
      </w:r>
      <w:r>
        <w:rPr>
          <w:sz w:val="22"/>
          <w:szCs w:val="22"/>
        </w:rPr>
        <w:t>of the following transmissions will be specified, along with other remaining control information. In the case of groupcast communications, the member V-UEs will transmit control information relevant to the group they belong to in the CORESETs.</w:t>
      </w:r>
    </w:p>
    <w:p w14:paraId="562D07FE" w14:textId="77777777" w:rsidR="002808CC" w:rsidRDefault="002808CC" w:rsidP="002808CC">
      <w:pPr>
        <w:rPr>
          <w:sz w:val="22"/>
          <w:szCs w:val="22"/>
        </w:rPr>
      </w:pPr>
      <w:r w:rsidRPr="004375C1">
        <w:rPr>
          <w:noProof/>
          <w:lang w:val="en-US"/>
        </w:rPr>
        <w:lastRenderedPageBreak/>
        <w:drawing>
          <wp:inline distT="0" distB="0" distL="0" distR="0" wp14:anchorId="2C7583D6" wp14:editId="334F7D6A">
            <wp:extent cx="6332220" cy="33538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353802"/>
                    </a:xfrm>
                    <a:prstGeom prst="rect">
                      <a:avLst/>
                    </a:prstGeom>
                    <a:noFill/>
                    <a:ln>
                      <a:noFill/>
                    </a:ln>
                  </pic:spPr>
                </pic:pic>
              </a:graphicData>
            </a:graphic>
          </wp:inline>
        </w:drawing>
      </w:r>
    </w:p>
    <w:p w14:paraId="18987963" w14:textId="77777777" w:rsidR="002808CC" w:rsidRPr="004375C1" w:rsidRDefault="002808CC" w:rsidP="002808CC">
      <w:pPr>
        <w:jc w:val="center"/>
        <w:rPr>
          <w:i/>
          <w:sz w:val="22"/>
          <w:szCs w:val="22"/>
        </w:rPr>
      </w:pPr>
      <w:r>
        <w:rPr>
          <w:i/>
          <w:sz w:val="22"/>
          <w:szCs w:val="22"/>
        </w:rPr>
        <w:t xml:space="preserve">Figure 1: </w:t>
      </w:r>
      <w:r w:rsidRPr="00036D3A">
        <w:rPr>
          <w:i/>
          <w:sz w:val="22"/>
          <w:szCs w:val="22"/>
        </w:rPr>
        <w:t>TDM/FDM Dual Control Channel Design</w:t>
      </w:r>
    </w:p>
    <w:p w14:paraId="2873BB6C" w14:textId="1E07B33C" w:rsidR="006A616A" w:rsidRPr="006A616A" w:rsidRDefault="006A616A" w:rsidP="006A616A">
      <w:pPr>
        <w:pStyle w:val="ListParagraph"/>
        <w:jc w:val="both"/>
        <w:rPr>
          <w:rFonts w:ascii="Times New Roman" w:hAnsi="Times New Roman"/>
        </w:rPr>
      </w:pPr>
    </w:p>
    <w:p w14:paraId="4F7FED0D" w14:textId="4BEA8F66" w:rsidR="00036D3A" w:rsidRDefault="00036D3A" w:rsidP="00B91474">
      <w:pPr>
        <w:jc w:val="both"/>
        <w:rPr>
          <w:sz w:val="22"/>
          <w:szCs w:val="22"/>
        </w:rPr>
      </w:pPr>
      <w:r>
        <w:rPr>
          <w:sz w:val="22"/>
          <w:szCs w:val="22"/>
        </w:rPr>
        <w:t xml:space="preserve">This design permits the possibility of V-UEs transmitting large amounts of data across </w:t>
      </w:r>
      <w:r w:rsidR="006F0D8F">
        <w:rPr>
          <w:sz w:val="22"/>
          <w:szCs w:val="22"/>
        </w:rPr>
        <w:t>time slots</w:t>
      </w:r>
      <w:r>
        <w:rPr>
          <w:sz w:val="22"/>
          <w:szCs w:val="22"/>
        </w:rPr>
        <w:t>, as depicted in</w:t>
      </w:r>
      <w:r w:rsidR="004D4C34">
        <w:rPr>
          <w:sz w:val="22"/>
          <w:szCs w:val="22"/>
        </w:rPr>
        <w:t> </w:t>
      </w:r>
      <w:r>
        <w:rPr>
          <w:sz w:val="22"/>
          <w:szCs w:val="22"/>
        </w:rPr>
        <w:t>Fig.</w:t>
      </w:r>
      <w:r w:rsidR="004D4C34">
        <w:rPr>
          <w:sz w:val="22"/>
          <w:szCs w:val="22"/>
        </w:rPr>
        <w:t> </w:t>
      </w:r>
      <w:r>
        <w:rPr>
          <w:sz w:val="22"/>
          <w:szCs w:val="22"/>
        </w:rPr>
        <w:t>1. It is also conducive to the sensing procedure, with the advantage that V-UEs will have to sense only the Common Control BWP to determine whether a resource is occupied or not.</w:t>
      </w:r>
    </w:p>
    <w:p w14:paraId="3F264BA7" w14:textId="5AB88A34" w:rsidR="00C0184D" w:rsidRPr="00B91474" w:rsidRDefault="00C0184D" w:rsidP="00B91474">
      <w:pPr>
        <w:jc w:val="both"/>
        <w:rPr>
          <w:sz w:val="22"/>
          <w:szCs w:val="22"/>
        </w:rPr>
      </w:pPr>
      <w:r>
        <w:rPr>
          <w:sz w:val="22"/>
          <w:szCs w:val="22"/>
        </w:rPr>
        <w:t xml:space="preserve">The design is also capable of functioning in a time-shifted manner, where the </w:t>
      </w:r>
      <w:r w:rsidR="006F0D8F">
        <w:rPr>
          <w:sz w:val="22"/>
          <w:szCs w:val="22"/>
        </w:rPr>
        <w:t>common control information will point to the corresponding CORESET and data in the next time slot. This will provide the flexibility of the Common Control BWP and the data BWPs to bear different SCSs.</w:t>
      </w:r>
    </w:p>
    <w:p w14:paraId="4892B91D" w14:textId="18A10A55" w:rsidR="006F0D8F" w:rsidRDefault="006F0D8F" w:rsidP="007946F8">
      <w:pPr>
        <w:jc w:val="both"/>
        <w:rPr>
          <w:b/>
          <w:sz w:val="22"/>
          <w:szCs w:val="22"/>
        </w:rPr>
      </w:pPr>
      <w:r w:rsidRPr="006F0D8F">
        <w:rPr>
          <w:b/>
          <w:sz w:val="22"/>
          <w:szCs w:val="22"/>
        </w:rPr>
        <w:t xml:space="preserve">Proposal </w:t>
      </w:r>
      <w:r w:rsidR="00E46A37">
        <w:rPr>
          <w:b/>
          <w:sz w:val="22"/>
          <w:szCs w:val="22"/>
        </w:rPr>
        <w:t>2</w:t>
      </w:r>
      <w:r w:rsidRPr="006F0D8F">
        <w:rPr>
          <w:b/>
          <w:sz w:val="22"/>
          <w:szCs w:val="22"/>
        </w:rPr>
        <w:t xml:space="preserve">: </w:t>
      </w:r>
      <w:r w:rsidR="007946F8">
        <w:rPr>
          <w:b/>
          <w:sz w:val="22"/>
          <w:szCs w:val="22"/>
        </w:rPr>
        <w:t>S</w:t>
      </w:r>
      <w:r w:rsidR="007946F8" w:rsidRPr="006F0D8F">
        <w:rPr>
          <w:b/>
          <w:sz w:val="22"/>
          <w:szCs w:val="22"/>
        </w:rPr>
        <w:t xml:space="preserve">tudy </w:t>
      </w:r>
      <w:r w:rsidR="007946F8">
        <w:rPr>
          <w:b/>
          <w:sz w:val="22"/>
          <w:szCs w:val="22"/>
        </w:rPr>
        <w:t>f</w:t>
      </w:r>
      <w:r w:rsidRPr="006F0D8F">
        <w:rPr>
          <w:b/>
          <w:sz w:val="22"/>
          <w:szCs w:val="22"/>
        </w:rPr>
        <w:t>urther the feasibility of a split control channel design in orde</w:t>
      </w:r>
      <w:r>
        <w:rPr>
          <w:b/>
          <w:sz w:val="22"/>
          <w:szCs w:val="22"/>
        </w:rPr>
        <w:t xml:space="preserve">r to </w:t>
      </w:r>
      <w:r w:rsidR="007946F8">
        <w:rPr>
          <w:b/>
          <w:sz w:val="22"/>
          <w:szCs w:val="22"/>
        </w:rPr>
        <w:t>streamline the co-existence of different communication types, while utilizing NR features such as BWP</w:t>
      </w:r>
      <w:r w:rsidR="004D4C34">
        <w:rPr>
          <w:b/>
          <w:sz w:val="22"/>
          <w:szCs w:val="22"/>
        </w:rPr>
        <w:t>s</w:t>
      </w:r>
      <w:r w:rsidR="007946F8">
        <w:rPr>
          <w:b/>
          <w:sz w:val="22"/>
          <w:szCs w:val="22"/>
        </w:rPr>
        <w:t xml:space="preserve"> and CORESET</w:t>
      </w:r>
      <w:r w:rsidR="004D4C34">
        <w:rPr>
          <w:b/>
          <w:sz w:val="22"/>
          <w:szCs w:val="22"/>
        </w:rPr>
        <w:t>s</w:t>
      </w:r>
      <w:r w:rsidR="007946F8">
        <w:rPr>
          <w:b/>
          <w:sz w:val="22"/>
          <w:szCs w:val="22"/>
        </w:rPr>
        <w:t>.</w:t>
      </w:r>
    </w:p>
    <w:p w14:paraId="71FEF05A" w14:textId="780F9AB2" w:rsidR="007946F8" w:rsidRDefault="007946F8" w:rsidP="007946F8">
      <w:pPr>
        <w:jc w:val="both"/>
        <w:rPr>
          <w:b/>
          <w:sz w:val="22"/>
          <w:szCs w:val="22"/>
        </w:rPr>
      </w:pPr>
      <w:r>
        <w:rPr>
          <w:b/>
          <w:sz w:val="22"/>
          <w:szCs w:val="22"/>
        </w:rPr>
        <w:t xml:space="preserve">Proposal </w:t>
      </w:r>
      <w:r w:rsidR="00E46A37">
        <w:rPr>
          <w:b/>
          <w:sz w:val="22"/>
          <w:szCs w:val="22"/>
        </w:rPr>
        <w:t>3</w:t>
      </w:r>
      <w:r>
        <w:rPr>
          <w:b/>
          <w:sz w:val="22"/>
          <w:szCs w:val="22"/>
        </w:rPr>
        <w:t>: We suggest</w:t>
      </w:r>
      <w:r w:rsidR="0072478E">
        <w:rPr>
          <w:b/>
          <w:sz w:val="22"/>
          <w:szCs w:val="22"/>
        </w:rPr>
        <w:t xml:space="preserve"> that</w:t>
      </w:r>
      <w:r>
        <w:rPr>
          <w:b/>
          <w:sz w:val="22"/>
          <w:szCs w:val="22"/>
        </w:rPr>
        <w:t xml:space="preserve"> the TDM/FDM dual control channel design</w:t>
      </w:r>
      <w:r w:rsidR="0072478E">
        <w:rPr>
          <w:b/>
          <w:sz w:val="22"/>
          <w:szCs w:val="22"/>
        </w:rPr>
        <w:t xml:space="preserve"> be</w:t>
      </w:r>
      <w:r>
        <w:rPr>
          <w:b/>
          <w:sz w:val="22"/>
          <w:szCs w:val="22"/>
        </w:rPr>
        <w:t xml:space="preserve"> the baseline for further study.</w:t>
      </w:r>
    </w:p>
    <w:p w14:paraId="37F3B73E" w14:textId="75162024" w:rsidR="007946F8" w:rsidRDefault="007946F8" w:rsidP="007946F8">
      <w:pPr>
        <w:pStyle w:val="ListParagraph"/>
        <w:numPr>
          <w:ilvl w:val="0"/>
          <w:numId w:val="23"/>
        </w:numPr>
        <w:jc w:val="both"/>
        <w:rPr>
          <w:rFonts w:ascii="Times New Roman" w:hAnsi="Times New Roman"/>
          <w:b/>
        </w:rPr>
      </w:pPr>
      <w:r w:rsidRPr="007946F8">
        <w:rPr>
          <w:rFonts w:ascii="Times New Roman" w:hAnsi="Times New Roman"/>
          <w:b/>
        </w:rPr>
        <w:t>Dual control channel design</w:t>
      </w:r>
      <w:r>
        <w:rPr>
          <w:rFonts w:ascii="Times New Roman" w:hAnsi="Times New Roman"/>
          <w:b/>
        </w:rPr>
        <w:t xml:space="preserve"> with data BWPs</w:t>
      </w:r>
      <w:r w:rsidRPr="007946F8">
        <w:rPr>
          <w:rFonts w:ascii="Times New Roman" w:hAnsi="Times New Roman"/>
          <w:b/>
        </w:rPr>
        <w:t xml:space="preserve"> catering to different communication types</w:t>
      </w:r>
      <w:r w:rsidR="004D4C34">
        <w:rPr>
          <w:rFonts w:ascii="Times New Roman" w:hAnsi="Times New Roman"/>
          <w:b/>
        </w:rPr>
        <w:t>:</w:t>
      </w:r>
    </w:p>
    <w:p w14:paraId="734F412B" w14:textId="6CDBF26F" w:rsidR="00E8126A" w:rsidRDefault="00E8126A" w:rsidP="00E8126A">
      <w:pPr>
        <w:pStyle w:val="ListParagraph"/>
        <w:numPr>
          <w:ilvl w:val="1"/>
          <w:numId w:val="23"/>
        </w:numPr>
        <w:jc w:val="both"/>
        <w:rPr>
          <w:rFonts w:ascii="Times New Roman" w:hAnsi="Times New Roman"/>
          <w:b/>
        </w:rPr>
      </w:pPr>
      <w:r>
        <w:rPr>
          <w:rFonts w:ascii="Times New Roman" w:hAnsi="Times New Roman"/>
          <w:b/>
        </w:rPr>
        <w:t>Common Control BWP FDMed with data BWPs</w:t>
      </w:r>
      <w:r w:rsidR="004D4C34">
        <w:rPr>
          <w:rFonts w:ascii="Times New Roman" w:hAnsi="Times New Roman"/>
          <w:b/>
        </w:rPr>
        <w:t>,</w:t>
      </w:r>
    </w:p>
    <w:p w14:paraId="3CDD1EDB" w14:textId="2CF3ED97" w:rsidR="00E8126A" w:rsidRDefault="00E8126A" w:rsidP="00E8126A">
      <w:pPr>
        <w:pStyle w:val="ListParagraph"/>
        <w:numPr>
          <w:ilvl w:val="1"/>
          <w:numId w:val="23"/>
        </w:numPr>
        <w:jc w:val="both"/>
        <w:rPr>
          <w:rFonts w:ascii="Times New Roman" w:hAnsi="Times New Roman"/>
          <w:b/>
        </w:rPr>
      </w:pPr>
      <w:r>
        <w:rPr>
          <w:rFonts w:ascii="Times New Roman" w:hAnsi="Times New Roman"/>
          <w:b/>
        </w:rPr>
        <w:t>CORESETs TDMed within data BWPs.</w:t>
      </w:r>
    </w:p>
    <w:p w14:paraId="46CA051A" w14:textId="4CF07D64" w:rsidR="007946F8" w:rsidRDefault="000674A9" w:rsidP="007946F8">
      <w:pPr>
        <w:pStyle w:val="ListParagraph"/>
        <w:numPr>
          <w:ilvl w:val="0"/>
          <w:numId w:val="23"/>
        </w:numPr>
        <w:jc w:val="both"/>
        <w:rPr>
          <w:rFonts w:ascii="Times New Roman" w:hAnsi="Times New Roman"/>
          <w:b/>
        </w:rPr>
      </w:pPr>
      <w:r>
        <w:rPr>
          <w:rFonts w:ascii="Times New Roman" w:hAnsi="Times New Roman"/>
          <w:b/>
        </w:rPr>
        <w:t>Direct relationship between control and data, with the option to prioritize receptions</w:t>
      </w:r>
      <w:r w:rsidR="00553516">
        <w:rPr>
          <w:rFonts w:ascii="Times New Roman" w:hAnsi="Times New Roman"/>
          <w:b/>
        </w:rPr>
        <w:t>,</w:t>
      </w:r>
    </w:p>
    <w:p w14:paraId="49A95330" w14:textId="519897E7" w:rsidR="000674A9" w:rsidRPr="000674A9" w:rsidRDefault="000674A9" w:rsidP="000674A9">
      <w:pPr>
        <w:pStyle w:val="ListParagraph"/>
        <w:numPr>
          <w:ilvl w:val="0"/>
          <w:numId w:val="23"/>
        </w:numPr>
        <w:jc w:val="both"/>
        <w:rPr>
          <w:rFonts w:ascii="Times New Roman" w:hAnsi="Times New Roman"/>
          <w:b/>
        </w:rPr>
      </w:pPr>
      <w:r>
        <w:rPr>
          <w:rFonts w:ascii="Times New Roman" w:hAnsi="Times New Roman"/>
          <w:b/>
        </w:rPr>
        <w:t>Sensing only over the Common Control BWP, reducing</w:t>
      </w:r>
      <w:r w:rsidR="007946F8">
        <w:rPr>
          <w:rFonts w:ascii="Times New Roman" w:hAnsi="Times New Roman"/>
          <w:b/>
        </w:rPr>
        <w:t xml:space="preserve"> sensing effort.</w:t>
      </w:r>
    </w:p>
    <w:p w14:paraId="15EC606F" w14:textId="77777777" w:rsidR="00036D3A" w:rsidRPr="000674A9" w:rsidRDefault="00036D3A" w:rsidP="00036D3A">
      <w:pPr>
        <w:rPr>
          <w:sz w:val="22"/>
          <w:szCs w:val="22"/>
          <w:lang w:val="en-US"/>
        </w:rPr>
      </w:pPr>
    </w:p>
    <w:p w14:paraId="7CF08354" w14:textId="49CE828B" w:rsidR="00061F7A" w:rsidRDefault="00927EDF" w:rsidP="00392C09">
      <w:pPr>
        <w:pStyle w:val="Heading2"/>
        <w:tabs>
          <w:tab w:val="clear" w:pos="1002"/>
          <w:tab w:val="num" w:pos="540"/>
        </w:tabs>
        <w:ind w:left="540"/>
      </w:pPr>
      <w:r>
        <w:t>In</w:t>
      </w:r>
      <w:r w:rsidR="00F34D6A">
        <w:t>-</w:t>
      </w:r>
      <w:r>
        <w:t xml:space="preserve"> and Out-of-Coverage Dual Channel Design</w:t>
      </w:r>
    </w:p>
    <w:p w14:paraId="1272E258" w14:textId="7B29A9BE" w:rsidR="00036D3A" w:rsidRDefault="00036D3A" w:rsidP="004B6FBB">
      <w:pPr>
        <w:jc w:val="both"/>
        <w:rPr>
          <w:sz w:val="22"/>
          <w:szCs w:val="22"/>
        </w:rPr>
      </w:pPr>
      <w:r>
        <w:rPr>
          <w:sz w:val="22"/>
          <w:szCs w:val="22"/>
        </w:rPr>
        <w:t xml:space="preserve">This dual control channel design tackles the challenges of mode 1 and mode 2 co-existence. The control channel is divided into two sub channels – one </w:t>
      </w:r>
      <w:r w:rsidR="004B6FBB">
        <w:rPr>
          <w:sz w:val="22"/>
          <w:szCs w:val="22"/>
        </w:rPr>
        <w:t xml:space="preserve">for Mode 1 V-UEs and the other for Mode 2 V-UEs. </w:t>
      </w:r>
    </w:p>
    <w:p w14:paraId="0861E6D9" w14:textId="5D34CB1E" w:rsidR="007946F8" w:rsidRDefault="007946F8" w:rsidP="004B6FBB">
      <w:pPr>
        <w:jc w:val="both"/>
        <w:rPr>
          <w:sz w:val="22"/>
          <w:szCs w:val="22"/>
        </w:rPr>
      </w:pPr>
      <w:r>
        <w:rPr>
          <w:sz w:val="22"/>
          <w:szCs w:val="22"/>
        </w:rPr>
        <w:t>Mode</w:t>
      </w:r>
      <w:r w:rsidR="004D4C34">
        <w:rPr>
          <w:sz w:val="22"/>
          <w:szCs w:val="22"/>
        </w:rPr>
        <w:t> </w:t>
      </w:r>
      <w:r>
        <w:rPr>
          <w:sz w:val="22"/>
          <w:szCs w:val="22"/>
        </w:rPr>
        <w:t xml:space="preserve">1 V-UEs transmit the control information followed by the corresponding data in a time shifted fashion, whereas the Mode 2 V-UEs transmit control and data in the same time slot. The advantage of such a design is that when a Mode 2 V-UE senses the control channel and finds the sub channel for Mode 1 </w:t>
      </w:r>
      <w:r w:rsidR="004D4C34">
        <w:rPr>
          <w:sz w:val="22"/>
          <w:szCs w:val="22"/>
        </w:rPr>
        <w:t xml:space="preserve">as </w:t>
      </w:r>
      <w:r>
        <w:rPr>
          <w:sz w:val="22"/>
          <w:szCs w:val="22"/>
        </w:rPr>
        <w:t xml:space="preserve">vacant, it can be </w:t>
      </w:r>
      <w:r>
        <w:rPr>
          <w:sz w:val="22"/>
          <w:szCs w:val="22"/>
        </w:rPr>
        <w:lastRenderedPageBreak/>
        <w:t xml:space="preserve">guaranteed that no Mode 1 V-UE is using the data in the next time slot. Hence it can transmit its control and data </w:t>
      </w:r>
      <w:r w:rsidR="004D4C34">
        <w:rPr>
          <w:sz w:val="22"/>
          <w:szCs w:val="22"/>
        </w:rPr>
        <w:t>in the said next time slot</w:t>
      </w:r>
      <w:r>
        <w:rPr>
          <w:sz w:val="22"/>
          <w:szCs w:val="22"/>
        </w:rPr>
        <w:t xml:space="preserve">. This design is </w:t>
      </w:r>
      <w:r w:rsidR="004D4C34">
        <w:rPr>
          <w:sz w:val="22"/>
          <w:szCs w:val="22"/>
        </w:rPr>
        <w:t xml:space="preserve">shown </w:t>
      </w:r>
      <w:r>
        <w:rPr>
          <w:sz w:val="22"/>
          <w:szCs w:val="22"/>
        </w:rPr>
        <w:t>in Figure 2.</w:t>
      </w:r>
    </w:p>
    <w:p w14:paraId="37E43901" w14:textId="0B18F7BA" w:rsidR="006507B0" w:rsidRDefault="005E79BE" w:rsidP="006507B0">
      <w:pPr>
        <w:rPr>
          <w:sz w:val="22"/>
          <w:szCs w:val="22"/>
        </w:rPr>
      </w:pPr>
      <w:r w:rsidRPr="005E79BE">
        <w:rPr>
          <w:noProof/>
          <w:lang w:val="en-US"/>
        </w:rPr>
        <w:drawing>
          <wp:inline distT="0" distB="0" distL="0" distR="0" wp14:anchorId="52D15460" wp14:editId="208166AA">
            <wp:extent cx="6332220" cy="20063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006318"/>
                    </a:xfrm>
                    <a:prstGeom prst="rect">
                      <a:avLst/>
                    </a:prstGeom>
                    <a:noFill/>
                    <a:ln>
                      <a:noFill/>
                    </a:ln>
                  </pic:spPr>
                </pic:pic>
              </a:graphicData>
            </a:graphic>
          </wp:inline>
        </w:drawing>
      </w:r>
    </w:p>
    <w:p w14:paraId="052EBDB1" w14:textId="68C8146F" w:rsidR="004B6FBB" w:rsidRDefault="004B6FBB" w:rsidP="004B6FBB">
      <w:pPr>
        <w:jc w:val="center"/>
        <w:rPr>
          <w:i/>
          <w:sz w:val="22"/>
          <w:szCs w:val="22"/>
        </w:rPr>
      </w:pPr>
      <w:r>
        <w:rPr>
          <w:i/>
          <w:sz w:val="22"/>
          <w:szCs w:val="22"/>
        </w:rPr>
        <w:t xml:space="preserve">Figure 2: </w:t>
      </w:r>
      <w:r w:rsidRPr="004B6FBB">
        <w:rPr>
          <w:i/>
          <w:sz w:val="22"/>
          <w:szCs w:val="22"/>
        </w:rPr>
        <w:t>In- and Out-of-Coverage Dual Channel Design</w:t>
      </w:r>
    </w:p>
    <w:p w14:paraId="632FBD22" w14:textId="77777777" w:rsidR="00D54094" w:rsidRDefault="00D54094" w:rsidP="00D54094">
      <w:pPr>
        <w:jc w:val="both"/>
        <w:rPr>
          <w:b/>
          <w:sz w:val="22"/>
          <w:szCs w:val="22"/>
        </w:rPr>
      </w:pPr>
      <w:r>
        <w:rPr>
          <w:b/>
          <w:sz w:val="22"/>
          <w:szCs w:val="22"/>
        </w:rPr>
        <w:t>Proposal 4: Study further the impact of collisions in resource allocation between Mode 1 and Mode 2 V-UEs.</w:t>
      </w:r>
    </w:p>
    <w:p w14:paraId="3977AF6C" w14:textId="77777777" w:rsidR="00D54094" w:rsidRDefault="00D54094" w:rsidP="00D54094">
      <w:pPr>
        <w:jc w:val="both"/>
        <w:rPr>
          <w:b/>
          <w:sz w:val="22"/>
          <w:szCs w:val="22"/>
        </w:rPr>
      </w:pPr>
      <w:r>
        <w:rPr>
          <w:b/>
          <w:sz w:val="22"/>
          <w:szCs w:val="22"/>
        </w:rPr>
        <w:t>Proposal 5: We suggest that the in- and out-of-coverage dual channel design be the baseline for further study:</w:t>
      </w:r>
    </w:p>
    <w:p w14:paraId="3F91958E" w14:textId="77777777" w:rsidR="00D54094" w:rsidRPr="000674A9" w:rsidRDefault="00D54094" w:rsidP="00D54094">
      <w:pPr>
        <w:pStyle w:val="ListParagraph"/>
        <w:numPr>
          <w:ilvl w:val="0"/>
          <w:numId w:val="24"/>
        </w:numPr>
        <w:jc w:val="both"/>
        <w:rPr>
          <w:rFonts w:ascii="Times New Roman" w:hAnsi="Times New Roman"/>
          <w:b/>
        </w:rPr>
      </w:pPr>
      <w:r w:rsidRPr="000674A9">
        <w:rPr>
          <w:rFonts w:ascii="Times New Roman" w:hAnsi="Times New Roman"/>
          <w:b/>
        </w:rPr>
        <w:t>Time deferred control-data association for Mode 1 V-UEs</w:t>
      </w:r>
      <w:r>
        <w:rPr>
          <w:rFonts w:ascii="Times New Roman" w:hAnsi="Times New Roman"/>
          <w:b/>
        </w:rPr>
        <w:t>,</w:t>
      </w:r>
    </w:p>
    <w:p w14:paraId="4F2341D3" w14:textId="77777777" w:rsidR="00D54094" w:rsidRPr="002808CC" w:rsidRDefault="00D54094" w:rsidP="00D54094">
      <w:pPr>
        <w:pStyle w:val="ListParagraph"/>
        <w:numPr>
          <w:ilvl w:val="0"/>
          <w:numId w:val="24"/>
        </w:numPr>
        <w:jc w:val="both"/>
      </w:pPr>
      <w:r w:rsidRPr="000674A9">
        <w:rPr>
          <w:rFonts w:ascii="Times New Roman" w:hAnsi="Times New Roman"/>
          <w:b/>
        </w:rPr>
        <w:t>Same slot control-data association for Mode 2 V-UEs.</w:t>
      </w:r>
    </w:p>
    <w:p w14:paraId="33B9246B" w14:textId="77777777" w:rsidR="007946F8" w:rsidRPr="00D54094" w:rsidRDefault="007946F8" w:rsidP="006F0D8F">
      <w:pPr>
        <w:jc w:val="both"/>
        <w:rPr>
          <w:sz w:val="22"/>
          <w:szCs w:val="22"/>
          <w:lang w:val="en-US"/>
        </w:rPr>
      </w:pPr>
    </w:p>
    <w:p w14:paraId="09C541BE" w14:textId="6552380A" w:rsidR="00927EDF" w:rsidRDefault="00927EDF" w:rsidP="00927EDF">
      <w:pPr>
        <w:pStyle w:val="Heading2"/>
        <w:tabs>
          <w:tab w:val="clear" w:pos="1002"/>
          <w:tab w:val="num" w:pos="540"/>
        </w:tabs>
        <w:ind w:left="540"/>
      </w:pPr>
      <w:r>
        <w:t>Feedback Channel Design</w:t>
      </w:r>
    </w:p>
    <w:p w14:paraId="1E3CB5E5" w14:textId="1F2B60EE" w:rsidR="004B6FBB" w:rsidRPr="004B6FBB" w:rsidRDefault="004B6FBB" w:rsidP="004B6FBB">
      <w:pPr>
        <w:jc w:val="both"/>
        <w:rPr>
          <w:sz w:val="22"/>
          <w:szCs w:val="22"/>
        </w:rPr>
      </w:pPr>
      <w:r>
        <w:rPr>
          <w:sz w:val="22"/>
          <w:szCs w:val="22"/>
        </w:rPr>
        <w:t xml:space="preserve">In this section, the incorporation of a feedback channel is discussed. </w:t>
      </w:r>
      <w:r w:rsidR="00AF304B">
        <w:rPr>
          <w:sz w:val="22"/>
          <w:szCs w:val="22"/>
        </w:rPr>
        <w:t>In the case of SPS transmissions, the control information transmitted by a V-UE will contain details of allocation of resources for feedback in the subsequent time slot of the SPS transmission. The receiving V-UE can then send the feedback for the previous transmission in the said subsequent time slot</w:t>
      </w:r>
      <w:r w:rsidR="00450C29">
        <w:rPr>
          <w:sz w:val="22"/>
          <w:szCs w:val="22"/>
        </w:rPr>
        <w:t>, which is depicted</w:t>
      </w:r>
      <w:r w:rsidR="00AF304B">
        <w:rPr>
          <w:sz w:val="22"/>
          <w:szCs w:val="22"/>
        </w:rPr>
        <w:t xml:space="preserve"> in Fig.</w:t>
      </w:r>
      <w:r w:rsidR="00450C29">
        <w:rPr>
          <w:sz w:val="22"/>
          <w:szCs w:val="22"/>
        </w:rPr>
        <w:t> </w:t>
      </w:r>
      <w:r w:rsidR="00AF304B">
        <w:rPr>
          <w:sz w:val="22"/>
          <w:szCs w:val="22"/>
        </w:rPr>
        <w:t xml:space="preserve">3. </w:t>
      </w:r>
    </w:p>
    <w:p w14:paraId="37452664" w14:textId="124ACC2B" w:rsidR="00927EDF" w:rsidRDefault="005E79BE" w:rsidP="005E79BE">
      <w:pPr>
        <w:jc w:val="center"/>
        <w:rPr>
          <w:sz w:val="22"/>
          <w:szCs w:val="22"/>
        </w:rPr>
      </w:pPr>
      <w:r w:rsidRPr="005E79BE">
        <w:rPr>
          <w:noProof/>
          <w:lang w:val="en-US"/>
        </w:rPr>
        <w:drawing>
          <wp:inline distT="0" distB="0" distL="0" distR="0" wp14:anchorId="1A1ECE13" wp14:editId="346C8B45">
            <wp:extent cx="4420534" cy="22971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0534" cy="2297186"/>
                    </a:xfrm>
                    <a:prstGeom prst="rect">
                      <a:avLst/>
                    </a:prstGeom>
                    <a:noFill/>
                    <a:ln>
                      <a:noFill/>
                    </a:ln>
                  </pic:spPr>
                </pic:pic>
              </a:graphicData>
            </a:graphic>
          </wp:inline>
        </w:drawing>
      </w:r>
    </w:p>
    <w:p w14:paraId="5974D00A" w14:textId="4F3C243E" w:rsidR="00AF304B" w:rsidRDefault="00AF304B" w:rsidP="00AF304B">
      <w:pPr>
        <w:jc w:val="center"/>
        <w:rPr>
          <w:i/>
          <w:sz w:val="22"/>
          <w:szCs w:val="22"/>
        </w:rPr>
      </w:pPr>
      <w:r>
        <w:rPr>
          <w:i/>
          <w:sz w:val="22"/>
          <w:szCs w:val="22"/>
        </w:rPr>
        <w:t xml:space="preserve">Figure </w:t>
      </w:r>
      <w:r w:rsidR="00C0184D">
        <w:rPr>
          <w:i/>
          <w:sz w:val="22"/>
          <w:szCs w:val="22"/>
        </w:rPr>
        <w:t>3</w:t>
      </w:r>
      <w:r>
        <w:rPr>
          <w:i/>
          <w:sz w:val="22"/>
          <w:szCs w:val="22"/>
        </w:rPr>
        <w:t xml:space="preserve">: </w:t>
      </w:r>
      <w:r w:rsidRPr="00AF304B">
        <w:rPr>
          <w:i/>
          <w:sz w:val="22"/>
          <w:szCs w:val="22"/>
        </w:rPr>
        <w:t>Feedback Channel Design</w:t>
      </w:r>
    </w:p>
    <w:p w14:paraId="514735BB" w14:textId="26376954" w:rsidR="008776E3" w:rsidRDefault="000674A9" w:rsidP="008776E3">
      <w:pPr>
        <w:rPr>
          <w:b/>
          <w:sz w:val="22"/>
          <w:szCs w:val="22"/>
        </w:rPr>
      </w:pPr>
      <w:r>
        <w:rPr>
          <w:b/>
          <w:sz w:val="22"/>
          <w:szCs w:val="22"/>
        </w:rPr>
        <w:t xml:space="preserve">Proposal </w:t>
      </w:r>
      <w:r w:rsidR="00E46A37">
        <w:rPr>
          <w:b/>
          <w:sz w:val="22"/>
          <w:szCs w:val="22"/>
        </w:rPr>
        <w:t>6</w:t>
      </w:r>
      <w:r>
        <w:rPr>
          <w:b/>
          <w:sz w:val="22"/>
          <w:szCs w:val="22"/>
        </w:rPr>
        <w:t>: Study the feasibility and necessity of feedback channels, at least for unicast and groupcast communications, with the feedback resources incorporated in the subsequent data transmissions.</w:t>
      </w:r>
    </w:p>
    <w:p w14:paraId="105B88A7" w14:textId="2FAE5522" w:rsidR="00C03C85" w:rsidRDefault="00C03C85" w:rsidP="00311571">
      <w:pPr>
        <w:pStyle w:val="Heading1"/>
      </w:pPr>
      <w:r>
        <w:lastRenderedPageBreak/>
        <w:t xml:space="preserve">Flexible Slot Structure </w:t>
      </w:r>
    </w:p>
    <w:p w14:paraId="1B887FAB" w14:textId="0B02B674" w:rsidR="007B55DB" w:rsidRDefault="0049456D">
      <w:pPr>
        <w:jc w:val="both"/>
        <w:rPr>
          <w:sz w:val="22"/>
          <w:szCs w:val="22"/>
          <w:lang w:val="en-US"/>
        </w:rPr>
      </w:pPr>
      <w:r w:rsidRPr="00EB0A22">
        <w:rPr>
          <w:sz w:val="22"/>
          <w:szCs w:val="22"/>
        </w:rPr>
        <w:t>The flexible slot structure in NR</w:t>
      </w:r>
      <w:r>
        <w:rPr>
          <w:sz w:val="22"/>
          <w:szCs w:val="22"/>
        </w:rPr>
        <w:t xml:space="preserve"> Rel-15</w:t>
      </w:r>
      <w:r w:rsidRPr="00EB0A22">
        <w:rPr>
          <w:sz w:val="22"/>
          <w:szCs w:val="22"/>
        </w:rPr>
        <w:t xml:space="preserve"> defines slot formats as a combination of symbols which are denoted as downlink, uplink or flexible.</w:t>
      </w:r>
      <w:r>
        <w:rPr>
          <w:sz w:val="22"/>
          <w:szCs w:val="22"/>
        </w:rPr>
        <w:t xml:space="preserve"> Cell-specific s</w:t>
      </w:r>
      <w:r w:rsidR="00C03C85">
        <w:rPr>
          <w:sz w:val="22"/>
          <w:szCs w:val="22"/>
        </w:rPr>
        <w:t xml:space="preserve">lot formats can be combined </w:t>
      </w:r>
      <w:r>
        <w:rPr>
          <w:sz w:val="22"/>
          <w:szCs w:val="22"/>
        </w:rPr>
        <w:t>with</w:t>
      </w:r>
      <w:r w:rsidR="00C03C85">
        <w:rPr>
          <w:sz w:val="22"/>
          <w:szCs w:val="22"/>
        </w:rPr>
        <w:t xml:space="preserve"> device</w:t>
      </w:r>
      <w:r>
        <w:rPr>
          <w:sz w:val="22"/>
          <w:szCs w:val="22"/>
        </w:rPr>
        <w:t>-</w:t>
      </w:r>
      <w:r w:rsidR="00C03C85">
        <w:rPr>
          <w:sz w:val="22"/>
          <w:szCs w:val="22"/>
        </w:rPr>
        <w:t xml:space="preserve"> or group-specific slot formats. </w:t>
      </w:r>
      <w:r w:rsidR="00C03C85" w:rsidRPr="001069AE">
        <w:rPr>
          <w:sz w:val="22"/>
          <w:szCs w:val="22"/>
          <w:lang w:val="en-US"/>
        </w:rPr>
        <w:t xml:space="preserve">In </w:t>
      </w:r>
      <w:r w:rsidR="00C03C85">
        <w:rPr>
          <w:sz w:val="22"/>
          <w:szCs w:val="22"/>
          <w:lang w:val="en-US"/>
        </w:rPr>
        <w:t xml:space="preserve">Figure 4, </w:t>
      </w:r>
      <w:r w:rsidR="00D57A8C">
        <w:rPr>
          <w:sz w:val="22"/>
          <w:szCs w:val="22"/>
          <w:lang w:val="en-US"/>
        </w:rPr>
        <w:t xml:space="preserve">options a) to d) depict </w:t>
      </w:r>
      <w:r w:rsidR="00C03C85">
        <w:rPr>
          <w:sz w:val="22"/>
          <w:szCs w:val="22"/>
          <w:lang w:val="en-US"/>
        </w:rPr>
        <w:t>four examples of possible sidelink slot configurations</w:t>
      </w:r>
      <w:r w:rsidR="00D57A8C">
        <w:rPr>
          <w:sz w:val="22"/>
          <w:szCs w:val="22"/>
          <w:lang w:val="en-US"/>
        </w:rPr>
        <w:t>,</w:t>
      </w:r>
      <w:r w:rsidR="00C03C85">
        <w:rPr>
          <w:sz w:val="22"/>
          <w:szCs w:val="22"/>
          <w:lang w:val="en-US"/>
        </w:rPr>
        <w:t xml:space="preserve"> where </w:t>
      </w:r>
      <w:r w:rsidR="00C03C85" w:rsidRPr="001069AE">
        <w:rPr>
          <w:sz w:val="22"/>
          <w:szCs w:val="22"/>
          <w:lang w:val="en-US"/>
        </w:rPr>
        <w:t>two UEs</w:t>
      </w:r>
      <w:r w:rsidR="00460F49">
        <w:rPr>
          <w:sz w:val="22"/>
          <w:szCs w:val="22"/>
          <w:lang w:val="en-US"/>
        </w:rPr>
        <w:t xml:space="preserve">, denoted </w:t>
      </w:r>
      <w:r w:rsidR="00C03C85" w:rsidRPr="001069AE">
        <w:rPr>
          <w:sz w:val="22"/>
          <w:szCs w:val="22"/>
          <w:lang w:val="en-US"/>
        </w:rPr>
        <w:t>UE</w:t>
      </w:r>
      <w:r w:rsidR="00D57A8C">
        <w:rPr>
          <w:sz w:val="22"/>
          <w:szCs w:val="22"/>
          <w:lang w:val="en-US"/>
        </w:rPr>
        <w:t>1</w:t>
      </w:r>
      <w:r w:rsidR="00C03C85" w:rsidRPr="001069AE">
        <w:rPr>
          <w:sz w:val="22"/>
          <w:szCs w:val="22"/>
          <w:lang w:val="en-US"/>
        </w:rPr>
        <w:t xml:space="preserve"> and UE</w:t>
      </w:r>
      <w:r w:rsidR="00D57A8C">
        <w:rPr>
          <w:sz w:val="22"/>
          <w:szCs w:val="22"/>
          <w:lang w:val="en-US"/>
        </w:rPr>
        <w:t>2</w:t>
      </w:r>
      <w:r w:rsidR="00C03C85" w:rsidRPr="001069AE">
        <w:rPr>
          <w:sz w:val="22"/>
          <w:szCs w:val="22"/>
          <w:lang w:val="en-US"/>
        </w:rPr>
        <w:t xml:space="preserve">, </w:t>
      </w:r>
      <w:r w:rsidR="007B55DB">
        <w:rPr>
          <w:sz w:val="22"/>
          <w:szCs w:val="22"/>
          <w:lang w:val="en-US"/>
        </w:rPr>
        <w:t xml:space="preserve">are transmitting on different time instances using the depicted configurations. </w:t>
      </w:r>
    </w:p>
    <w:p w14:paraId="7D4A71D8" w14:textId="5A9B127C" w:rsidR="007B55DB" w:rsidRDefault="007B55DB" w:rsidP="00C03C85">
      <w:pPr>
        <w:jc w:val="both"/>
        <w:rPr>
          <w:sz w:val="22"/>
          <w:szCs w:val="22"/>
          <w:lang w:val="en-US"/>
        </w:rPr>
      </w:pPr>
      <w:r>
        <w:rPr>
          <w:sz w:val="22"/>
          <w:szCs w:val="22"/>
          <w:lang w:val="en-US"/>
        </w:rPr>
        <w:t>These</w:t>
      </w:r>
      <w:r w:rsidR="00C03C85" w:rsidRPr="001069AE">
        <w:rPr>
          <w:sz w:val="22"/>
          <w:szCs w:val="22"/>
          <w:lang w:val="en-US"/>
        </w:rPr>
        <w:t xml:space="preserve"> two UEs may be communicating </w:t>
      </w:r>
      <w:r>
        <w:rPr>
          <w:sz w:val="22"/>
          <w:szCs w:val="22"/>
          <w:lang w:val="en-US"/>
        </w:rPr>
        <w:t>with</w:t>
      </w:r>
      <w:r w:rsidR="00C03C85" w:rsidRPr="001069AE">
        <w:rPr>
          <w:sz w:val="22"/>
          <w:szCs w:val="22"/>
          <w:lang w:val="en-US"/>
        </w:rPr>
        <w:t xml:space="preserve"> each other</w:t>
      </w:r>
      <w:r>
        <w:rPr>
          <w:sz w:val="22"/>
          <w:szCs w:val="22"/>
          <w:lang w:val="en-US"/>
        </w:rPr>
        <w:t>,</w:t>
      </w:r>
      <w:r w:rsidR="00C03C85" w:rsidRPr="001069AE">
        <w:rPr>
          <w:sz w:val="22"/>
          <w:szCs w:val="22"/>
          <w:lang w:val="en-US"/>
        </w:rPr>
        <w:t xml:space="preserve"> or to different </w:t>
      </w:r>
      <w:r w:rsidR="00C03C85">
        <w:rPr>
          <w:sz w:val="22"/>
          <w:szCs w:val="22"/>
          <w:lang w:val="en-US"/>
        </w:rPr>
        <w:t xml:space="preserve">UEs on slots dedicated for sidelink </w:t>
      </w:r>
      <w:r>
        <w:rPr>
          <w:sz w:val="22"/>
          <w:szCs w:val="22"/>
          <w:lang w:val="en-US"/>
        </w:rPr>
        <w:t xml:space="preserve">as </w:t>
      </w:r>
      <w:r w:rsidR="00C03C85">
        <w:rPr>
          <w:sz w:val="22"/>
          <w:szCs w:val="22"/>
          <w:lang w:val="en-US"/>
        </w:rPr>
        <w:t xml:space="preserve">denoted </w:t>
      </w:r>
      <w:r>
        <w:rPr>
          <w:sz w:val="22"/>
          <w:szCs w:val="22"/>
          <w:lang w:val="en-US"/>
        </w:rPr>
        <w:t>by S</w:t>
      </w:r>
      <w:r w:rsidR="00C03C85" w:rsidRPr="001069AE">
        <w:rPr>
          <w:sz w:val="22"/>
          <w:szCs w:val="22"/>
          <w:lang w:val="en-US"/>
        </w:rPr>
        <w:t xml:space="preserve">. </w:t>
      </w:r>
      <w:r w:rsidR="00C03C85">
        <w:rPr>
          <w:sz w:val="22"/>
          <w:szCs w:val="22"/>
          <w:lang w:val="en-US"/>
        </w:rPr>
        <w:t xml:space="preserve">When the </w:t>
      </w:r>
      <w:r w:rsidR="00C03C85" w:rsidRPr="001069AE">
        <w:rPr>
          <w:sz w:val="22"/>
          <w:szCs w:val="22"/>
          <w:lang w:val="en-US"/>
        </w:rPr>
        <w:t>UE</w:t>
      </w:r>
      <w:r w:rsidR="00543FCD">
        <w:rPr>
          <w:sz w:val="22"/>
          <w:szCs w:val="22"/>
          <w:lang w:val="en-US"/>
        </w:rPr>
        <w:t>1</w:t>
      </w:r>
      <w:r w:rsidR="00C03C85" w:rsidRPr="001069AE">
        <w:rPr>
          <w:sz w:val="22"/>
          <w:szCs w:val="22"/>
          <w:lang w:val="en-US"/>
        </w:rPr>
        <w:t xml:space="preserve"> is</w:t>
      </w:r>
      <w:r w:rsidR="00C03C85">
        <w:rPr>
          <w:sz w:val="22"/>
          <w:szCs w:val="22"/>
          <w:lang w:val="en-US"/>
        </w:rPr>
        <w:t xml:space="preserve"> assigned for</w:t>
      </w:r>
      <w:r w:rsidR="00C03C85" w:rsidRPr="001069AE">
        <w:rPr>
          <w:sz w:val="22"/>
          <w:szCs w:val="22"/>
          <w:lang w:val="en-US"/>
        </w:rPr>
        <w:t xml:space="preserve"> transmi</w:t>
      </w:r>
      <w:r w:rsidR="00C03C85">
        <w:rPr>
          <w:sz w:val="22"/>
          <w:szCs w:val="22"/>
          <w:lang w:val="en-US"/>
        </w:rPr>
        <w:t>ssion,</w:t>
      </w:r>
      <w:r w:rsidR="00C03C85" w:rsidRPr="001069AE">
        <w:rPr>
          <w:sz w:val="22"/>
          <w:szCs w:val="22"/>
          <w:lang w:val="en-US"/>
        </w:rPr>
        <w:t xml:space="preserve"> all other UEs are </w:t>
      </w:r>
      <w:r w:rsidR="00C03C85">
        <w:rPr>
          <w:sz w:val="22"/>
          <w:szCs w:val="22"/>
          <w:lang w:val="en-US"/>
        </w:rPr>
        <w:t xml:space="preserve">receiving, similar to the existing V2X half-duplex </w:t>
      </w:r>
      <w:r>
        <w:rPr>
          <w:sz w:val="22"/>
          <w:szCs w:val="22"/>
          <w:lang w:val="en-US"/>
        </w:rPr>
        <w:t>constraint</w:t>
      </w:r>
      <w:r w:rsidR="00C03C85" w:rsidRPr="001069AE">
        <w:rPr>
          <w:sz w:val="22"/>
          <w:szCs w:val="22"/>
          <w:lang w:val="en-US"/>
        </w:rPr>
        <w:t>.</w:t>
      </w:r>
      <w:r w:rsidR="00DB7D45">
        <w:rPr>
          <w:sz w:val="22"/>
          <w:szCs w:val="22"/>
          <w:lang w:val="en-US"/>
        </w:rPr>
        <w:t xml:space="preserve"> </w:t>
      </w:r>
      <w:r w:rsidR="00C03C85">
        <w:rPr>
          <w:sz w:val="22"/>
          <w:szCs w:val="22"/>
          <w:lang w:val="en-US"/>
        </w:rPr>
        <w:t>F</w:t>
      </w:r>
      <w:r w:rsidR="00C03C85" w:rsidRPr="001069AE">
        <w:rPr>
          <w:sz w:val="22"/>
          <w:szCs w:val="22"/>
          <w:lang w:val="en-US"/>
        </w:rPr>
        <w:t xml:space="preserve">lexible slots </w:t>
      </w:r>
      <w:r w:rsidR="00460F49">
        <w:rPr>
          <w:sz w:val="22"/>
          <w:szCs w:val="22"/>
          <w:lang w:val="en-US"/>
        </w:rPr>
        <w:t>(</w:t>
      </w:r>
      <w:r w:rsidR="00C03C85">
        <w:rPr>
          <w:sz w:val="22"/>
          <w:szCs w:val="22"/>
          <w:lang w:val="en-US"/>
        </w:rPr>
        <w:t>F</w:t>
      </w:r>
      <w:r w:rsidR="00460F49">
        <w:rPr>
          <w:sz w:val="22"/>
          <w:szCs w:val="22"/>
          <w:lang w:val="en-US"/>
        </w:rPr>
        <w:t>)</w:t>
      </w:r>
      <w:r w:rsidR="00C03C85">
        <w:rPr>
          <w:sz w:val="22"/>
          <w:szCs w:val="22"/>
          <w:lang w:val="en-US"/>
        </w:rPr>
        <w:t xml:space="preserve"> in this case can be used to switch between </w:t>
      </w:r>
      <w:r w:rsidR="00036BAA">
        <w:rPr>
          <w:sz w:val="22"/>
          <w:szCs w:val="22"/>
          <w:lang w:val="en-US"/>
        </w:rPr>
        <w:t xml:space="preserve">transmission and reception. Alternatively, </w:t>
      </w:r>
      <w:r w:rsidR="00460F49">
        <w:rPr>
          <w:sz w:val="22"/>
          <w:szCs w:val="22"/>
          <w:lang w:val="en-US"/>
        </w:rPr>
        <w:t xml:space="preserve">flexible slots </w:t>
      </w:r>
      <w:r w:rsidR="00DD5717">
        <w:rPr>
          <w:sz w:val="22"/>
          <w:szCs w:val="22"/>
          <w:lang w:val="en-US"/>
        </w:rPr>
        <w:t>(</w:t>
      </w:r>
      <w:r w:rsidR="00460F49">
        <w:rPr>
          <w:sz w:val="22"/>
          <w:szCs w:val="22"/>
          <w:lang w:val="en-US"/>
        </w:rPr>
        <w:t>F</w:t>
      </w:r>
      <w:r w:rsidR="00DD5717">
        <w:rPr>
          <w:sz w:val="22"/>
          <w:szCs w:val="22"/>
          <w:lang w:val="en-US"/>
        </w:rPr>
        <w:t>)</w:t>
      </w:r>
      <w:r w:rsidR="00460F49">
        <w:rPr>
          <w:sz w:val="22"/>
          <w:szCs w:val="22"/>
          <w:lang w:val="en-US"/>
        </w:rPr>
        <w:t xml:space="preserve"> can </w:t>
      </w:r>
      <w:r w:rsidR="00DD5717">
        <w:rPr>
          <w:sz w:val="22"/>
          <w:szCs w:val="22"/>
          <w:lang w:val="en-US"/>
        </w:rPr>
        <w:t xml:space="preserve">be overridden so that they can be used as slots for sidelink communication (S). </w:t>
      </w:r>
    </w:p>
    <w:p w14:paraId="402F7D16" w14:textId="2E08B085" w:rsidR="0049456D" w:rsidRDefault="00311571" w:rsidP="00311571">
      <w:pPr>
        <w:jc w:val="center"/>
        <w:rPr>
          <w:sz w:val="22"/>
          <w:szCs w:val="22"/>
          <w:lang w:val="en-US"/>
        </w:rPr>
      </w:pPr>
      <w:r w:rsidRPr="00311571">
        <w:rPr>
          <w:noProof/>
          <w:lang w:val="en-US"/>
        </w:rPr>
        <w:drawing>
          <wp:inline distT="0" distB="0" distL="0" distR="0" wp14:anchorId="6654ECD0" wp14:editId="0395C9B7">
            <wp:extent cx="4695546" cy="2565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1798" cy="2573958"/>
                    </a:xfrm>
                    <a:prstGeom prst="rect">
                      <a:avLst/>
                    </a:prstGeom>
                    <a:noFill/>
                    <a:ln>
                      <a:noFill/>
                    </a:ln>
                  </pic:spPr>
                </pic:pic>
              </a:graphicData>
            </a:graphic>
          </wp:inline>
        </w:drawing>
      </w:r>
    </w:p>
    <w:p w14:paraId="31B21522" w14:textId="0A21046E" w:rsidR="00C03C85" w:rsidRPr="00D57A8C" w:rsidRDefault="0049456D" w:rsidP="00D57A8C">
      <w:pPr>
        <w:jc w:val="center"/>
        <w:rPr>
          <w:i/>
          <w:sz w:val="22"/>
          <w:szCs w:val="22"/>
        </w:rPr>
      </w:pPr>
      <w:r w:rsidRPr="00D57A8C">
        <w:rPr>
          <w:i/>
          <w:sz w:val="22"/>
          <w:szCs w:val="22"/>
          <w:lang w:val="en-US"/>
        </w:rPr>
        <w:t>Figure 4:</w:t>
      </w:r>
      <w:r w:rsidRPr="00D57A8C">
        <w:rPr>
          <w:i/>
          <w:sz w:val="22"/>
          <w:szCs w:val="22"/>
          <w:lang w:val="en-US"/>
        </w:rPr>
        <w:tab/>
        <w:t>Examples for Sidelink Slot Configurations</w:t>
      </w:r>
    </w:p>
    <w:p w14:paraId="38DB2951" w14:textId="2FB3B13A" w:rsidR="00C03C85" w:rsidRPr="00E46A37" w:rsidRDefault="00C03C85" w:rsidP="00C03C85">
      <w:pPr>
        <w:jc w:val="both"/>
        <w:rPr>
          <w:b/>
          <w:sz w:val="22"/>
          <w:szCs w:val="22"/>
        </w:rPr>
      </w:pPr>
      <w:r w:rsidRPr="00E46A37">
        <w:rPr>
          <w:b/>
          <w:sz w:val="22"/>
          <w:szCs w:val="22"/>
        </w:rPr>
        <w:t xml:space="preserve">Proposal </w:t>
      </w:r>
      <w:r>
        <w:rPr>
          <w:b/>
          <w:sz w:val="22"/>
          <w:szCs w:val="22"/>
        </w:rPr>
        <w:t>7</w:t>
      </w:r>
      <w:r w:rsidRPr="00E46A37">
        <w:rPr>
          <w:b/>
          <w:sz w:val="22"/>
          <w:szCs w:val="22"/>
        </w:rPr>
        <w:t xml:space="preserve">: </w:t>
      </w:r>
      <w:r>
        <w:rPr>
          <w:b/>
          <w:sz w:val="22"/>
          <w:szCs w:val="22"/>
        </w:rPr>
        <w:t>Study the NR flexible slot formats for N</w:t>
      </w:r>
      <w:r w:rsidRPr="00CF7C16">
        <w:rPr>
          <w:b/>
          <w:sz w:val="22"/>
          <w:szCs w:val="22"/>
        </w:rPr>
        <w:t>R sidelink</w:t>
      </w:r>
      <w:r>
        <w:rPr>
          <w:b/>
          <w:sz w:val="22"/>
          <w:szCs w:val="22"/>
        </w:rPr>
        <w:t xml:space="preserve"> physical structure.</w:t>
      </w:r>
    </w:p>
    <w:p w14:paraId="36D07895" w14:textId="77777777" w:rsidR="00CD3661" w:rsidRPr="008776E3" w:rsidRDefault="00CD3661" w:rsidP="008776E3">
      <w:pPr>
        <w:rPr>
          <w:b/>
          <w:sz w:val="22"/>
          <w:szCs w:val="22"/>
        </w:rPr>
      </w:pPr>
    </w:p>
    <w:p w14:paraId="018C8233" w14:textId="4BB3B11D" w:rsidR="00635D54" w:rsidRDefault="00635D54" w:rsidP="00635D54">
      <w:pPr>
        <w:pStyle w:val="Heading1"/>
        <w:rPr>
          <w:lang w:val="en-US"/>
        </w:rPr>
      </w:pPr>
      <w:bookmarkStart w:id="3" w:name="OLE_LINK13"/>
      <w:bookmarkStart w:id="4" w:name="OLE_LINK14"/>
      <w:bookmarkEnd w:id="0"/>
      <w:bookmarkEnd w:id="1"/>
      <w:r>
        <w:rPr>
          <w:lang w:val="en-US"/>
        </w:rPr>
        <w:t>Conclusion</w:t>
      </w:r>
    </w:p>
    <w:bookmarkEnd w:id="3"/>
    <w:bookmarkEnd w:id="4"/>
    <w:p w14:paraId="29F8C246" w14:textId="44FF4CD2" w:rsidR="00E46A37" w:rsidRDefault="00E46A37" w:rsidP="00E46A37">
      <w:pPr>
        <w:rPr>
          <w:b/>
          <w:sz w:val="22"/>
          <w:szCs w:val="22"/>
        </w:rPr>
      </w:pPr>
      <w:r w:rsidRPr="00E46A37">
        <w:rPr>
          <w:b/>
          <w:sz w:val="22"/>
          <w:szCs w:val="22"/>
        </w:rPr>
        <w:t>Proposal 1: Study the possibility of a resource pool containing BWPs, with BWPs assigned individually for control and for each communications type.</w:t>
      </w:r>
    </w:p>
    <w:p w14:paraId="72FD9600" w14:textId="0F086473" w:rsidR="000674A9" w:rsidRDefault="000674A9" w:rsidP="000674A9">
      <w:pPr>
        <w:jc w:val="both"/>
        <w:rPr>
          <w:b/>
          <w:sz w:val="22"/>
          <w:szCs w:val="22"/>
        </w:rPr>
      </w:pPr>
      <w:r w:rsidRPr="006F0D8F">
        <w:rPr>
          <w:b/>
          <w:sz w:val="22"/>
          <w:szCs w:val="22"/>
        </w:rPr>
        <w:t xml:space="preserve">Proposal </w:t>
      </w:r>
      <w:r w:rsidR="00E46A37">
        <w:rPr>
          <w:b/>
          <w:sz w:val="22"/>
          <w:szCs w:val="22"/>
        </w:rPr>
        <w:t>2</w:t>
      </w:r>
      <w:r w:rsidRPr="006F0D8F">
        <w:rPr>
          <w:b/>
          <w:sz w:val="22"/>
          <w:szCs w:val="22"/>
        </w:rPr>
        <w:t xml:space="preserve">: </w:t>
      </w:r>
      <w:r>
        <w:rPr>
          <w:b/>
          <w:sz w:val="22"/>
          <w:szCs w:val="22"/>
        </w:rPr>
        <w:t>S</w:t>
      </w:r>
      <w:r w:rsidRPr="006F0D8F">
        <w:rPr>
          <w:b/>
          <w:sz w:val="22"/>
          <w:szCs w:val="22"/>
        </w:rPr>
        <w:t xml:space="preserve">tudy </w:t>
      </w:r>
      <w:r>
        <w:rPr>
          <w:b/>
          <w:sz w:val="22"/>
          <w:szCs w:val="22"/>
        </w:rPr>
        <w:t>f</w:t>
      </w:r>
      <w:r w:rsidRPr="006F0D8F">
        <w:rPr>
          <w:b/>
          <w:sz w:val="22"/>
          <w:szCs w:val="22"/>
        </w:rPr>
        <w:t>urther the feasibility of a split control channel design in orde</w:t>
      </w:r>
      <w:r>
        <w:rPr>
          <w:b/>
          <w:sz w:val="22"/>
          <w:szCs w:val="22"/>
        </w:rPr>
        <w:t>r to streamline the co-existence of different communication types, while utilizing NR features such as the BWP and its CORESET.</w:t>
      </w:r>
    </w:p>
    <w:p w14:paraId="05707E0E" w14:textId="7839BC50" w:rsidR="000674A9" w:rsidRDefault="000674A9" w:rsidP="000674A9">
      <w:pPr>
        <w:jc w:val="both"/>
        <w:rPr>
          <w:b/>
          <w:sz w:val="22"/>
          <w:szCs w:val="22"/>
        </w:rPr>
      </w:pPr>
      <w:r>
        <w:rPr>
          <w:b/>
          <w:sz w:val="22"/>
          <w:szCs w:val="22"/>
        </w:rPr>
        <w:t xml:space="preserve">Proposal </w:t>
      </w:r>
      <w:r w:rsidR="00E46A37">
        <w:rPr>
          <w:b/>
          <w:sz w:val="22"/>
          <w:szCs w:val="22"/>
        </w:rPr>
        <w:t>3</w:t>
      </w:r>
      <w:r>
        <w:rPr>
          <w:b/>
          <w:sz w:val="22"/>
          <w:szCs w:val="22"/>
        </w:rPr>
        <w:t xml:space="preserve">: We suggest </w:t>
      </w:r>
      <w:r w:rsidR="0072478E">
        <w:rPr>
          <w:b/>
          <w:sz w:val="22"/>
          <w:szCs w:val="22"/>
        </w:rPr>
        <w:t xml:space="preserve">that </w:t>
      </w:r>
      <w:r>
        <w:rPr>
          <w:b/>
          <w:sz w:val="22"/>
          <w:szCs w:val="22"/>
        </w:rPr>
        <w:t xml:space="preserve">the TDM/FDM dual control channel design </w:t>
      </w:r>
      <w:r w:rsidR="0072478E">
        <w:rPr>
          <w:b/>
          <w:sz w:val="22"/>
          <w:szCs w:val="22"/>
        </w:rPr>
        <w:t>be</w:t>
      </w:r>
      <w:r>
        <w:rPr>
          <w:b/>
          <w:sz w:val="22"/>
          <w:szCs w:val="22"/>
        </w:rPr>
        <w:t xml:space="preserve"> the baseline for further study.</w:t>
      </w:r>
    </w:p>
    <w:p w14:paraId="47A0A2E5" w14:textId="63A28BF5" w:rsidR="000674A9" w:rsidRDefault="000674A9" w:rsidP="000674A9">
      <w:pPr>
        <w:pStyle w:val="ListParagraph"/>
        <w:numPr>
          <w:ilvl w:val="0"/>
          <w:numId w:val="23"/>
        </w:numPr>
        <w:jc w:val="both"/>
        <w:rPr>
          <w:rFonts w:ascii="Times New Roman" w:hAnsi="Times New Roman"/>
          <w:b/>
        </w:rPr>
      </w:pPr>
      <w:r w:rsidRPr="007946F8">
        <w:rPr>
          <w:rFonts w:ascii="Times New Roman" w:hAnsi="Times New Roman"/>
          <w:b/>
        </w:rPr>
        <w:t>Dual control channel design</w:t>
      </w:r>
      <w:r>
        <w:rPr>
          <w:rFonts w:ascii="Times New Roman" w:hAnsi="Times New Roman"/>
          <w:b/>
        </w:rPr>
        <w:t xml:space="preserve"> with data BWPs</w:t>
      </w:r>
      <w:r w:rsidRPr="007946F8">
        <w:rPr>
          <w:rFonts w:ascii="Times New Roman" w:hAnsi="Times New Roman"/>
          <w:b/>
        </w:rPr>
        <w:t xml:space="preserve"> catering to different communication types</w:t>
      </w:r>
      <w:r w:rsidR="00553516">
        <w:rPr>
          <w:rFonts w:ascii="Times New Roman" w:hAnsi="Times New Roman"/>
          <w:b/>
        </w:rPr>
        <w:t>:</w:t>
      </w:r>
    </w:p>
    <w:p w14:paraId="724E1BB2" w14:textId="6DE02246" w:rsidR="004375C1" w:rsidRDefault="004375C1" w:rsidP="004375C1">
      <w:pPr>
        <w:pStyle w:val="ListParagraph"/>
        <w:numPr>
          <w:ilvl w:val="1"/>
          <w:numId w:val="23"/>
        </w:numPr>
        <w:jc w:val="both"/>
        <w:rPr>
          <w:rFonts w:ascii="Times New Roman" w:hAnsi="Times New Roman"/>
          <w:b/>
        </w:rPr>
      </w:pPr>
      <w:r>
        <w:rPr>
          <w:rFonts w:ascii="Times New Roman" w:hAnsi="Times New Roman"/>
          <w:b/>
        </w:rPr>
        <w:t>Common Control BWP FDMed with data BWPs</w:t>
      </w:r>
      <w:r w:rsidR="00553516">
        <w:rPr>
          <w:rFonts w:ascii="Times New Roman" w:hAnsi="Times New Roman"/>
          <w:b/>
        </w:rPr>
        <w:t>,</w:t>
      </w:r>
    </w:p>
    <w:p w14:paraId="663E9224" w14:textId="77CBFD78" w:rsidR="004375C1" w:rsidRPr="004375C1" w:rsidRDefault="004375C1" w:rsidP="004375C1">
      <w:pPr>
        <w:pStyle w:val="ListParagraph"/>
        <w:numPr>
          <w:ilvl w:val="1"/>
          <w:numId w:val="23"/>
        </w:numPr>
        <w:jc w:val="both"/>
        <w:rPr>
          <w:rFonts w:ascii="Times New Roman" w:hAnsi="Times New Roman"/>
          <w:b/>
        </w:rPr>
      </w:pPr>
      <w:r>
        <w:rPr>
          <w:rFonts w:ascii="Times New Roman" w:hAnsi="Times New Roman"/>
          <w:b/>
        </w:rPr>
        <w:t>CORESETs TDMed within data BWPs.</w:t>
      </w:r>
    </w:p>
    <w:p w14:paraId="789613CA" w14:textId="4A8FC353" w:rsidR="000674A9" w:rsidRDefault="000674A9" w:rsidP="000674A9">
      <w:pPr>
        <w:pStyle w:val="ListParagraph"/>
        <w:numPr>
          <w:ilvl w:val="0"/>
          <w:numId w:val="23"/>
        </w:numPr>
        <w:jc w:val="both"/>
        <w:rPr>
          <w:rFonts w:ascii="Times New Roman" w:hAnsi="Times New Roman"/>
          <w:b/>
        </w:rPr>
      </w:pPr>
      <w:r>
        <w:rPr>
          <w:rFonts w:ascii="Times New Roman" w:hAnsi="Times New Roman"/>
          <w:b/>
        </w:rPr>
        <w:t>Direct relationship between control and data, with the option to prioritize receptions</w:t>
      </w:r>
      <w:r w:rsidR="00553516">
        <w:rPr>
          <w:rFonts w:ascii="Times New Roman" w:hAnsi="Times New Roman"/>
          <w:b/>
        </w:rPr>
        <w:t>,</w:t>
      </w:r>
    </w:p>
    <w:p w14:paraId="30821C1A" w14:textId="431B0FC5" w:rsidR="000674A9" w:rsidRDefault="000674A9" w:rsidP="000674A9">
      <w:pPr>
        <w:pStyle w:val="ListParagraph"/>
        <w:numPr>
          <w:ilvl w:val="0"/>
          <w:numId w:val="23"/>
        </w:numPr>
        <w:jc w:val="both"/>
        <w:rPr>
          <w:rFonts w:ascii="Times New Roman" w:hAnsi="Times New Roman"/>
          <w:b/>
        </w:rPr>
      </w:pPr>
      <w:r>
        <w:rPr>
          <w:rFonts w:ascii="Times New Roman" w:hAnsi="Times New Roman"/>
          <w:b/>
        </w:rPr>
        <w:t>Sensing only over the Common Control BWP, reducing sensing effort.</w:t>
      </w:r>
    </w:p>
    <w:p w14:paraId="0038D1A9" w14:textId="77777777" w:rsidR="000674A9" w:rsidRPr="000674A9" w:rsidRDefault="000674A9" w:rsidP="000674A9">
      <w:pPr>
        <w:pStyle w:val="ListParagraph"/>
        <w:jc w:val="both"/>
        <w:rPr>
          <w:rFonts w:ascii="Times New Roman" w:hAnsi="Times New Roman"/>
          <w:b/>
        </w:rPr>
      </w:pPr>
    </w:p>
    <w:p w14:paraId="5C4EE491" w14:textId="70D5CA2F" w:rsidR="000674A9" w:rsidRDefault="000674A9" w:rsidP="000674A9">
      <w:pPr>
        <w:jc w:val="both"/>
        <w:rPr>
          <w:b/>
          <w:sz w:val="22"/>
          <w:szCs w:val="22"/>
        </w:rPr>
      </w:pPr>
      <w:r>
        <w:rPr>
          <w:b/>
          <w:sz w:val="22"/>
          <w:szCs w:val="22"/>
        </w:rPr>
        <w:t xml:space="preserve">Proposal </w:t>
      </w:r>
      <w:r w:rsidR="00E46A37">
        <w:rPr>
          <w:b/>
          <w:sz w:val="22"/>
          <w:szCs w:val="22"/>
        </w:rPr>
        <w:t>4</w:t>
      </w:r>
      <w:r>
        <w:rPr>
          <w:b/>
          <w:sz w:val="22"/>
          <w:szCs w:val="22"/>
        </w:rPr>
        <w:t>: Study further the impact of collisions in resource allocation between Mode 1 and Mode 2 V-UEs.</w:t>
      </w:r>
    </w:p>
    <w:p w14:paraId="59A381D7" w14:textId="1CAA6502" w:rsidR="000674A9" w:rsidRDefault="000674A9" w:rsidP="000674A9">
      <w:pPr>
        <w:jc w:val="both"/>
        <w:rPr>
          <w:b/>
          <w:sz w:val="22"/>
          <w:szCs w:val="22"/>
        </w:rPr>
      </w:pPr>
      <w:r>
        <w:rPr>
          <w:b/>
          <w:sz w:val="22"/>
          <w:szCs w:val="22"/>
        </w:rPr>
        <w:lastRenderedPageBreak/>
        <w:t xml:space="preserve">Proposal </w:t>
      </w:r>
      <w:r w:rsidR="00E46A37">
        <w:rPr>
          <w:b/>
          <w:sz w:val="22"/>
          <w:szCs w:val="22"/>
        </w:rPr>
        <w:t>5</w:t>
      </w:r>
      <w:r>
        <w:rPr>
          <w:b/>
          <w:sz w:val="22"/>
          <w:szCs w:val="22"/>
        </w:rPr>
        <w:t xml:space="preserve">: We suggest </w:t>
      </w:r>
      <w:r w:rsidR="0072478E">
        <w:rPr>
          <w:b/>
          <w:sz w:val="22"/>
          <w:szCs w:val="22"/>
        </w:rPr>
        <w:t xml:space="preserve">that </w:t>
      </w:r>
      <w:r>
        <w:rPr>
          <w:b/>
          <w:sz w:val="22"/>
          <w:szCs w:val="22"/>
        </w:rPr>
        <w:t xml:space="preserve">the in- and out-of-coverage dual channel design </w:t>
      </w:r>
      <w:r w:rsidR="0072478E">
        <w:rPr>
          <w:b/>
          <w:sz w:val="22"/>
          <w:szCs w:val="22"/>
        </w:rPr>
        <w:t>be</w:t>
      </w:r>
      <w:r>
        <w:rPr>
          <w:b/>
          <w:sz w:val="22"/>
          <w:szCs w:val="22"/>
        </w:rPr>
        <w:t xml:space="preserve"> the baseline for further study</w:t>
      </w:r>
      <w:r w:rsidR="00553516">
        <w:rPr>
          <w:b/>
          <w:sz w:val="22"/>
          <w:szCs w:val="22"/>
        </w:rPr>
        <w:t>:</w:t>
      </w:r>
    </w:p>
    <w:p w14:paraId="70B8F5E9" w14:textId="624B5CB3" w:rsidR="000674A9" w:rsidRPr="000674A9" w:rsidRDefault="000674A9" w:rsidP="000674A9">
      <w:pPr>
        <w:pStyle w:val="ListParagraph"/>
        <w:numPr>
          <w:ilvl w:val="0"/>
          <w:numId w:val="24"/>
        </w:numPr>
        <w:jc w:val="both"/>
        <w:rPr>
          <w:rFonts w:ascii="Times New Roman" w:hAnsi="Times New Roman"/>
          <w:b/>
        </w:rPr>
      </w:pPr>
      <w:r w:rsidRPr="000674A9">
        <w:rPr>
          <w:rFonts w:ascii="Times New Roman" w:hAnsi="Times New Roman"/>
          <w:b/>
        </w:rPr>
        <w:t>Time deferred control-data association for Mode 1 V-UEs</w:t>
      </w:r>
      <w:r w:rsidR="00553516">
        <w:rPr>
          <w:rFonts w:ascii="Times New Roman" w:hAnsi="Times New Roman"/>
          <w:b/>
        </w:rPr>
        <w:t>,</w:t>
      </w:r>
    </w:p>
    <w:p w14:paraId="334AF4FB" w14:textId="4609793A" w:rsidR="000674A9" w:rsidRDefault="000674A9" w:rsidP="000674A9">
      <w:pPr>
        <w:pStyle w:val="ListParagraph"/>
        <w:numPr>
          <w:ilvl w:val="0"/>
          <w:numId w:val="24"/>
        </w:numPr>
        <w:jc w:val="both"/>
        <w:rPr>
          <w:rFonts w:ascii="Times New Roman" w:hAnsi="Times New Roman"/>
          <w:b/>
        </w:rPr>
      </w:pPr>
      <w:r w:rsidRPr="000674A9">
        <w:rPr>
          <w:rFonts w:ascii="Times New Roman" w:hAnsi="Times New Roman"/>
          <w:b/>
        </w:rPr>
        <w:t>Same slot control-data association for Mode 2 V-UEs.</w:t>
      </w:r>
    </w:p>
    <w:p w14:paraId="747C841A" w14:textId="77777777" w:rsidR="000674A9" w:rsidRPr="000674A9" w:rsidRDefault="000674A9" w:rsidP="000674A9">
      <w:pPr>
        <w:pStyle w:val="ListParagraph"/>
        <w:jc w:val="both"/>
        <w:rPr>
          <w:rFonts w:ascii="Times New Roman" w:hAnsi="Times New Roman"/>
          <w:b/>
        </w:rPr>
      </w:pPr>
    </w:p>
    <w:p w14:paraId="49BF6076" w14:textId="2173D239" w:rsidR="000674A9" w:rsidRPr="008776E3" w:rsidRDefault="000674A9" w:rsidP="000674A9">
      <w:pPr>
        <w:rPr>
          <w:b/>
          <w:sz w:val="22"/>
          <w:szCs w:val="22"/>
        </w:rPr>
      </w:pPr>
      <w:r>
        <w:rPr>
          <w:b/>
          <w:sz w:val="22"/>
          <w:szCs w:val="22"/>
        </w:rPr>
        <w:t xml:space="preserve">Proposal </w:t>
      </w:r>
      <w:r w:rsidR="00E46A37">
        <w:rPr>
          <w:b/>
          <w:sz w:val="22"/>
          <w:szCs w:val="22"/>
        </w:rPr>
        <w:t>6</w:t>
      </w:r>
      <w:r>
        <w:rPr>
          <w:b/>
          <w:sz w:val="22"/>
          <w:szCs w:val="22"/>
        </w:rPr>
        <w:t>: Study the feasibility and necessity of feedback channels, at least for unicast and groupcast communications, with the feedback resources incorporated in the subsequent data transmissions.</w:t>
      </w:r>
    </w:p>
    <w:p w14:paraId="58B1737F" w14:textId="02509A8E" w:rsidR="00F00011" w:rsidRDefault="00872918" w:rsidP="00F00011">
      <w:pPr>
        <w:pStyle w:val="3GPPNormalText"/>
        <w:rPr>
          <w:b/>
          <w:szCs w:val="22"/>
        </w:rPr>
      </w:pPr>
      <w:r>
        <w:rPr>
          <w:b/>
          <w:szCs w:val="22"/>
        </w:rPr>
        <w:t>Proposal 7: Study the NR flexible slot formats for N</w:t>
      </w:r>
      <w:r w:rsidRPr="00CF7C16">
        <w:rPr>
          <w:b/>
          <w:szCs w:val="22"/>
        </w:rPr>
        <w:t>R sidelink</w:t>
      </w:r>
      <w:r>
        <w:rPr>
          <w:b/>
          <w:szCs w:val="22"/>
        </w:rPr>
        <w:t xml:space="preserve"> physical structure.</w:t>
      </w:r>
    </w:p>
    <w:p w14:paraId="04132CFB" w14:textId="77777777" w:rsidR="00AA4BCF" w:rsidRDefault="00AA4BCF" w:rsidP="00F00011">
      <w:pPr>
        <w:pStyle w:val="3GPPNormalText"/>
      </w:pPr>
    </w:p>
    <w:p w14:paraId="61CC7273" w14:textId="653A5F75" w:rsidR="00635D54" w:rsidRPr="007564C3" w:rsidRDefault="00635D54" w:rsidP="009C7503">
      <w:pPr>
        <w:pStyle w:val="Heading1"/>
        <w:rPr>
          <w:rFonts w:cs="Arial"/>
        </w:rPr>
      </w:pPr>
      <w:r w:rsidRPr="00707A9A">
        <w:rPr>
          <w:lang w:val="en-US"/>
        </w:rPr>
        <w:t>References</w:t>
      </w:r>
    </w:p>
    <w:p w14:paraId="62CB07AC" w14:textId="33B9D30A" w:rsidR="00292C97" w:rsidRPr="00F00011" w:rsidRDefault="00AF24DB" w:rsidP="00B70C4B">
      <w:pPr>
        <w:widowControl w:val="0"/>
        <w:numPr>
          <w:ilvl w:val="0"/>
          <w:numId w:val="2"/>
        </w:numPr>
        <w:overflowPunct/>
        <w:autoSpaceDE/>
        <w:adjustRightInd/>
        <w:spacing w:after="120"/>
        <w:jc w:val="both"/>
        <w:textAlignment w:val="auto"/>
        <w:rPr>
          <w:iCs/>
          <w:lang w:val="en-US"/>
        </w:rPr>
      </w:pPr>
      <w:bookmarkStart w:id="5" w:name="_Ref494465620"/>
      <w:r>
        <w:rPr>
          <w:rFonts w:cs="Arial"/>
        </w:rPr>
        <w:t>RP-1</w:t>
      </w:r>
      <w:r w:rsidR="00B70C4B">
        <w:rPr>
          <w:rFonts w:cs="Arial"/>
        </w:rPr>
        <w:t>81429</w:t>
      </w:r>
      <w:r w:rsidRPr="009A254C">
        <w:rPr>
          <w:rFonts w:cs="Arial"/>
        </w:rPr>
        <w:t xml:space="preserve">, </w:t>
      </w:r>
      <w:r>
        <w:rPr>
          <w:rFonts w:cs="Arial"/>
        </w:rPr>
        <w:t>“</w:t>
      </w:r>
      <w:r w:rsidR="00B70C4B" w:rsidRPr="00B70C4B">
        <w:rPr>
          <w:rFonts w:cs="Arial"/>
        </w:rPr>
        <w:t>New SID: Study on NR V2X</w:t>
      </w:r>
      <w:r>
        <w:rPr>
          <w:rFonts w:cs="Arial"/>
        </w:rPr>
        <w:t xml:space="preserve">”, </w:t>
      </w:r>
      <w:r w:rsidR="00B70C4B">
        <w:rPr>
          <w:rFonts w:cs="Arial"/>
        </w:rPr>
        <w:t>Vodafone</w:t>
      </w:r>
      <w:r w:rsidR="00DB21A5">
        <w:rPr>
          <w:rFonts w:cs="Arial"/>
        </w:rPr>
        <w:t xml:space="preserve">, 3GPP </w:t>
      </w:r>
      <w:r w:rsidR="00DB21A5" w:rsidRPr="007833B8">
        <w:rPr>
          <w:rFonts w:cs="Arial"/>
        </w:rPr>
        <w:t>RAN#</w:t>
      </w:r>
      <w:r w:rsidR="00B70C4B">
        <w:rPr>
          <w:rFonts w:cs="Arial"/>
        </w:rPr>
        <w:t>80</w:t>
      </w:r>
      <w:r w:rsidR="00DB21A5" w:rsidRPr="007833B8">
        <w:rPr>
          <w:rFonts w:cs="Arial"/>
        </w:rPr>
        <w:t>, June 20</w:t>
      </w:r>
      <w:r w:rsidR="00B70C4B">
        <w:rPr>
          <w:rFonts w:cs="Arial"/>
        </w:rPr>
        <w:t>18</w:t>
      </w:r>
      <w:r w:rsidR="00895F3A" w:rsidRPr="007833B8">
        <w:rPr>
          <w:rFonts w:cs="Arial"/>
        </w:rPr>
        <w:t>.</w:t>
      </w:r>
    </w:p>
    <w:bookmarkEnd w:id="5"/>
    <w:p w14:paraId="34BE8F9C" w14:textId="14760B6E" w:rsidR="000A7EE4" w:rsidRDefault="00326891" w:rsidP="00326891">
      <w:pPr>
        <w:widowControl w:val="0"/>
        <w:numPr>
          <w:ilvl w:val="0"/>
          <w:numId w:val="2"/>
        </w:numPr>
        <w:overflowPunct/>
        <w:autoSpaceDE/>
        <w:adjustRightInd/>
        <w:spacing w:after="120"/>
        <w:jc w:val="both"/>
        <w:textAlignment w:val="auto"/>
        <w:rPr>
          <w:iCs/>
          <w:lang w:val="en-US"/>
        </w:rPr>
      </w:pPr>
      <w:r w:rsidRPr="00326891">
        <w:rPr>
          <w:iCs/>
          <w:lang w:val="en-US"/>
        </w:rPr>
        <w:t>Draft Report of 3GPP TSG RAN WG1 #94 v0.1.0</w:t>
      </w:r>
      <w:r>
        <w:rPr>
          <w:iCs/>
          <w:lang w:val="en-US"/>
        </w:rPr>
        <w:t>, MCC Support, 3GPP RAN1#94, August 2018.</w:t>
      </w:r>
    </w:p>
    <w:p w14:paraId="0FA13841" w14:textId="785455EF" w:rsidR="00F23829" w:rsidRDefault="00F23829" w:rsidP="00F23829">
      <w:pPr>
        <w:widowControl w:val="0"/>
        <w:numPr>
          <w:ilvl w:val="0"/>
          <w:numId w:val="2"/>
        </w:numPr>
        <w:overflowPunct/>
        <w:autoSpaceDE/>
        <w:adjustRightInd/>
        <w:spacing w:after="120"/>
        <w:jc w:val="both"/>
        <w:textAlignment w:val="auto"/>
        <w:rPr>
          <w:iCs/>
          <w:lang w:val="en-US"/>
        </w:rPr>
      </w:pPr>
      <w:r>
        <w:rPr>
          <w:iCs/>
          <w:lang w:val="en-US"/>
        </w:rPr>
        <w:t>R1-1704179, “</w:t>
      </w:r>
      <w:r w:rsidRPr="00F23829">
        <w:rPr>
          <w:iCs/>
          <w:lang w:val="en-US"/>
        </w:rPr>
        <w:t>Reply LS on UE RF Bandwidth Adaptation in NR</w:t>
      </w:r>
      <w:r>
        <w:rPr>
          <w:iCs/>
          <w:lang w:val="en-US"/>
        </w:rPr>
        <w:t>”, 3GPP RAN1#82, April 2017.</w:t>
      </w:r>
    </w:p>
    <w:p w14:paraId="2E71DCEC" w14:textId="64497171" w:rsidR="00326891" w:rsidRPr="002634BE" w:rsidRDefault="00326891" w:rsidP="002634BE">
      <w:pPr>
        <w:widowControl w:val="0"/>
        <w:numPr>
          <w:ilvl w:val="0"/>
          <w:numId w:val="2"/>
        </w:numPr>
        <w:overflowPunct/>
        <w:autoSpaceDE/>
        <w:adjustRightInd/>
        <w:spacing w:after="120"/>
        <w:jc w:val="both"/>
        <w:textAlignment w:val="auto"/>
        <w:rPr>
          <w:iCs/>
          <w:lang w:val="en-US"/>
        </w:rPr>
      </w:pPr>
      <w:r w:rsidRPr="002634BE">
        <w:rPr>
          <w:iCs/>
          <w:lang w:val="en-US"/>
        </w:rPr>
        <w:t>R1-</w:t>
      </w:r>
      <w:r w:rsidR="002634BE" w:rsidRPr="002634BE">
        <w:rPr>
          <w:iCs/>
          <w:lang w:val="en-US"/>
        </w:rPr>
        <w:t>1810485</w:t>
      </w:r>
      <w:r w:rsidRPr="002634BE">
        <w:rPr>
          <w:iCs/>
          <w:lang w:val="en-US"/>
        </w:rPr>
        <w:t>, “</w:t>
      </w:r>
      <w:r w:rsidR="002634BE" w:rsidRPr="002634BE">
        <w:rPr>
          <w:iCs/>
          <w:lang w:val="en-US"/>
        </w:rPr>
        <w:t>Design for NR V2X Groupcast Resource Allocation</w:t>
      </w:r>
      <w:r w:rsidRPr="002634BE">
        <w:rPr>
          <w:iCs/>
          <w:lang w:val="en-US"/>
        </w:rPr>
        <w:t>”, Fraunhofe</w:t>
      </w:r>
      <w:r w:rsidR="00F23829" w:rsidRPr="002634BE">
        <w:rPr>
          <w:iCs/>
          <w:lang w:val="en-US"/>
        </w:rPr>
        <w:t>r HHI, 3GPP RAN1#94bis, October</w:t>
      </w:r>
      <w:r w:rsidRPr="002634BE">
        <w:rPr>
          <w:iCs/>
          <w:lang w:val="en-US"/>
        </w:rPr>
        <w:t xml:space="preserve"> 2018</w:t>
      </w:r>
      <w:r w:rsidR="00F23829" w:rsidRPr="002634BE">
        <w:rPr>
          <w:iCs/>
          <w:lang w:val="en-US"/>
        </w:rPr>
        <w:t>.</w:t>
      </w:r>
    </w:p>
    <w:sectPr w:rsidR="00326891" w:rsidRPr="002634BE"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8467C" w14:textId="77777777" w:rsidR="00930D69" w:rsidRDefault="00930D69">
      <w:r>
        <w:separator/>
      </w:r>
    </w:p>
  </w:endnote>
  <w:endnote w:type="continuationSeparator" w:id="0">
    <w:p w14:paraId="673F7450" w14:textId="77777777" w:rsidR="00930D69" w:rsidRDefault="0093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1E43988E"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F7274">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F7274">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9A852" w14:textId="77777777" w:rsidR="00930D69" w:rsidRDefault="00930D69">
      <w:r>
        <w:separator/>
      </w:r>
    </w:p>
  </w:footnote>
  <w:footnote w:type="continuationSeparator" w:id="0">
    <w:p w14:paraId="644ACA1E" w14:textId="77777777" w:rsidR="00930D69" w:rsidRDefault="00930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4"/>
  </w:num>
  <w:num w:numId="8">
    <w:abstractNumId w:val="9"/>
  </w:num>
  <w:num w:numId="9">
    <w:abstractNumId w:val="5"/>
  </w:num>
  <w:num w:numId="10">
    <w:abstractNumId w:val="4"/>
  </w:num>
  <w:num w:numId="11">
    <w:abstractNumId w:val="16"/>
  </w:num>
  <w:num w:numId="12">
    <w:abstractNumId w:val="19"/>
  </w:num>
  <w:num w:numId="13">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8"/>
  </w:num>
  <w:num w:numId="16">
    <w:abstractNumId w:val="12"/>
  </w:num>
  <w:num w:numId="17">
    <w:abstractNumId w:val="11"/>
  </w:num>
  <w:num w:numId="18">
    <w:abstractNumId w:val="6"/>
  </w:num>
  <w:num w:numId="19">
    <w:abstractNumId w:val="21"/>
  </w:num>
  <w:num w:numId="20">
    <w:abstractNumId w:val="3"/>
  </w:num>
  <w:num w:numId="21">
    <w:abstractNumId w:val="15"/>
  </w:num>
  <w:num w:numId="22">
    <w:abstractNumId w:val="2"/>
  </w:num>
  <w:num w:numId="23">
    <w:abstractNumId w:val="10"/>
  </w:num>
  <w:num w:numId="2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5B7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8D0"/>
    <w:rsid w:val="00F80D0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docId w15:val="{0AFBD866-61BA-488A-9F05-62A081431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CBD358B-6E5C-4400-A03B-68BB8F4E639D}">
  <ds:schemaRefs>
    <ds:schemaRef ds:uri="http://schemas.openxmlformats.org/officeDocument/2006/bibliography"/>
  </ds:schemaRefs>
</ds:datastoreItem>
</file>

<file path=customXml/itemProps6.xml><?xml version="1.0" encoding="utf-8"?>
<ds:datastoreItem xmlns:ds="http://schemas.openxmlformats.org/officeDocument/2006/customXml" ds:itemID="{F2E45325-CAE5-45E0-BF48-A360BF08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2666</Words>
  <Characters>14261</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16894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4</cp:revision>
  <cp:lastPrinted>2017-11-16T14:00:00Z</cp:lastPrinted>
  <dcterms:created xsi:type="dcterms:W3CDTF">2018-09-28T15:15:00Z</dcterms:created>
  <dcterms:modified xsi:type="dcterms:W3CDTF">2018-09-28T15:33:00Z</dcterms:modified>
</cp:coreProperties>
</file>