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A6F98" w14:textId="03796ABA" w:rsidR="007B4F00" w:rsidRPr="000A64D8" w:rsidRDefault="007B4F00" w:rsidP="007B4F00">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94</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8</w:t>
      </w:r>
      <w:r w:rsidR="0077489C">
        <w:rPr>
          <w:rFonts w:ascii="Arial" w:hAnsi="Arial" w:cs="Arial"/>
          <w:b/>
          <w:sz w:val="24"/>
          <w:szCs w:val="24"/>
        </w:rPr>
        <w:t>09449</w:t>
      </w:r>
    </w:p>
    <w:p w14:paraId="51A1EBF3" w14:textId="1F0A46BE" w:rsidR="007B4F00" w:rsidRDefault="007328F8" w:rsidP="007328F8">
      <w:pPr>
        <w:jc w:val="both"/>
        <w:rPr>
          <w:rFonts w:ascii="Arial" w:hAnsi="Arial" w:cs="Arial"/>
          <w:b/>
          <w:sz w:val="24"/>
          <w:szCs w:val="24"/>
        </w:rPr>
      </w:pPr>
      <w:r>
        <w:rPr>
          <w:rFonts w:ascii="Arial" w:hAnsi="Arial" w:cs="Arial"/>
          <w:b/>
          <w:sz w:val="24"/>
          <w:szCs w:val="24"/>
        </w:rPr>
        <w:t>Gothenburg, Sweden, 20</w:t>
      </w:r>
      <w:r>
        <w:rPr>
          <w:rFonts w:ascii="Arial" w:hAnsi="Arial" w:cs="Arial"/>
          <w:b/>
          <w:sz w:val="24"/>
          <w:szCs w:val="24"/>
          <w:vertAlign w:val="superscript"/>
        </w:rPr>
        <w:t>th</w:t>
      </w:r>
      <w:r>
        <w:rPr>
          <w:rFonts w:ascii="Arial" w:hAnsi="Arial" w:cs="Arial"/>
          <w:b/>
          <w:sz w:val="24"/>
          <w:szCs w:val="24"/>
        </w:rPr>
        <w:t xml:space="preserve"> – 24</w:t>
      </w:r>
      <w:r>
        <w:rPr>
          <w:rFonts w:ascii="Arial" w:hAnsi="Arial" w:cs="Arial"/>
          <w:b/>
          <w:sz w:val="24"/>
          <w:szCs w:val="24"/>
          <w:vertAlign w:val="superscript"/>
        </w:rPr>
        <w:t>th</w:t>
      </w:r>
      <w:r>
        <w:rPr>
          <w:rFonts w:ascii="Arial" w:hAnsi="Arial" w:cs="Arial"/>
          <w:b/>
          <w:sz w:val="24"/>
          <w:szCs w:val="24"/>
        </w:rPr>
        <w:t xml:space="preserve"> August 2018</w:t>
      </w:r>
    </w:p>
    <w:p w14:paraId="6848A5D0" w14:textId="77777777" w:rsidR="007328F8" w:rsidRPr="007328F8" w:rsidRDefault="007328F8" w:rsidP="007328F8">
      <w:pPr>
        <w:spacing w:after="0"/>
        <w:jc w:val="both"/>
        <w:rPr>
          <w:rFonts w:ascii="Arial" w:hAnsi="Arial" w:cs="Arial"/>
          <w:b/>
          <w:sz w:val="24"/>
          <w:szCs w:val="24"/>
        </w:rPr>
      </w:pPr>
    </w:p>
    <w:p w14:paraId="4BE5B493" w14:textId="77777777" w:rsidR="007B4F00" w:rsidRPr="000A64D8" w:rsidRDefault="007B4F00" w:rsidP="007B4F0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7.2.4.1.4</w:t>
      </w:r>
    </w:p>
    <w:p w14:paraId="464D4970" w14:textId="77777777" w:rsidR="007B4F00" w:rsidRPr="000A64D8" w:rsidRDefault="007B4F00" w:rsidP="007B4F0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E0725F5" w14:textId="3C9AE335" w:rsidR="007B4F00" w:rsidRPr="000A64D8" w:rsidRDefault="007B4F00" w:rsidP="007B4F0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7489C">
        <w:rPr>
          <w:rFonts w:ascii="Arial" w:hAnsi="Arial"/>
          <w:sz w:val="22"/>
        </w:rPr>
        <w:t>Initial Perspectives o</w:t>
      </w:r>
      <w:r>
        <w:rPr>
          <w:rFonts w:ascii="Arial" w:hAnsi="Arial"/>
          <w:sz w:val="22"/>
        </w:rPr>
        <w:t xml:space="preserve">n Resource Allocation </w:t>
      </w:r>
    </w:p>
    <w:p w14:paraId="1347DA6F" w14:textId="77777777" w:rsidR="007B4F00" w:rsidRDefault="007B4F00" w:rsidP="007B4F0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4693912A" w14:textId="77777777" w:rsidR="007B4F00" w:rsidRPr="00183CB7" w:rsidRDefault="007B4F00" w:rsidP="007B4F00">
      <w:pPr>
        <w:pStyle w:val="Heading1"/>
      </w:pPr>
      <w:r w:rsidRPr="00183CB7">
        <w:t>Introduction</w:t>
      </w:r>
    </w:p>
    <w:p w14:paraId="2634E4FB" w14:textId="77777777" w:rsidR="007B4F00" w:rsidRDefault="007B4F00" w:rsidP="007B4F00">
      <w:r w:rsidRPr="00313DCE">
        <w:t xml:space="preserve">LTE V2X was introduced in Rel-14 to support service goals identified by SA1 </w:t>
      </w:r>
      <w:r>
        <w:t>[1]</w:t>
      </w:r>
      <w:r w:rsidRPr="00313DCE">
        <w:t xml:space="preserve">. In LTE Rel-15, V2X was enhanced to support new features including carrier aggregation, latency reduction, etc. V2X specified in </w:t>
      </w:r>
      <w:r>
        <w:t xml:space="preserve">LTE </w:t>
      </w:r>
      <w:r w:rsidRPr="00313DCE">
        <w:t>Rel-14 and Rel-15 well fulfills the basic safety requirements for vehicular communications.</w:t>
      </w:r>
    </w:p>
    <w:p w14:paraId="6F12D12F" w14:textId="49A4C428" w:rsidR="007B4F00" w:rsidRPr="007328F8" w:rsidRDefault="007B4F00" w:rsidP="007B4F00">
      <w:r w:rsidRPr="00313DCE">
        <w:t xml:space="preserve">SA1 has completed the study of new use cases to enhance the 3GPP V2X communications to support advanced </w:t>
      </w:r>
      <w:r>
        <w:t xml:space="preserve">service </w:t>
      </w:r>
      <w:r w:rsidRPr="00313DCE">
        <w:t>requirements [</w:t>
      </w:r>
      <w:r>
        <w:t>2</w:t>
      </w:r>
      <w:r w:rsidRPr="00313DCE">
        <w:t xml:space="preserve">]. The new use cases can be categorized into four groups: vehicles platooning, extended sensors, advanced driving and remote driving. </w:t>
      </w:r>
      <w:r>
        <w:t>T</w:t>
      </w:r>
      <w:r w:rsidRPr="00313DCE">
        <w:t>hese advance V2X services not only require new technical solutions, for example</w:t>
      </w:r>
      <w:r w:rsidR="00536092">
        <w:t>,</w:t>
      </w:r>
      <w:r w:rsidRPr="00313DCE">
        <w:t xml:space="preserve"> to support </w:t>
      </w:r>
      <w:r>
        <w:t xml:space="preserve">sidelink </w:t>
      </w:r>
      <w:r w:rsidRPr="00313DCE">
        <w:t xml:space="preserve">unicast, but also have higher requirements in terms of communication performance, e.g., lower latency, higher reliability, etc. </w:t>
      </w:r>
      <w:r>
        <w:t xml:space="preserve">NR V2X lower layer design needs to be enhanced with these new features and requirements taken into consideration. </w:t>
      </w:r>
      <w:r w:rsidR="007328F8">
        <w:t>To</w:t>
      </w:r>
      <w:r>
        <w:t xml:space="preserve"> fulfill these requirements, several technical aspects have been identified for study in the new NR V2X SI [3]. </w:t>
      </w:r>
      <w:r w:rsidRPr="00313DCE">
        <w:t xml:space="preserve">In this </w:t>
      </w:r>
      <w:r>
        <w:t>paper</w:t>
      </w:r>
      <w:r w:rsidRPr="00313DCE">
        <w:t xml:space="preserve">, we </w:t>
      </w:r>
      <w:r>
        <w:t>discuss</w:t>
      </w:r>
      <w:r w:rsidRPr="00313DCE">
        <w:t xml:space="preserve"> the potential enhancements </w:t>
      </w:r>
      <w:r w:rsidR="00536092">
        <w:t>to</w:t>
      </w:r>
      <w:r w:rsidRPr="00313DCE">
        <w:t xml:space="preserve"> resource allocation </w:t>
      </w:r>
      <w:r w:rsidR="00536092">
        <w:t>for</w:t>
      </w:r>
      <w:r w:rsidRPr="00313DCE">
        <w:t xml:space="preserve"> NR V2X design.</w:t>
      </w:r>
      <w:bookmarkStart w:id="2" w:name="_GoBack"/>
      <w:bookmarkEnd w:id="2"/>
    </w:p>
    <w:p w14:paraId="3FEFE518" w14:textId="3672270F" w:rsidR="007B4F00" w:rsidRDefault="00B449C2" w:rsidP="007B4F00">
      <w:pPr>
        <w:pStyle w:val="Heading1"/>
      </w:pPr>
      <w:r>
        <w:t xml:space="preserve">NR </w:t>
      </w:r>
      <w:r w:rsidR="007B4F00">
        <w:t>V2X Resource Allocation</w:t>
      </w:r>
    </w:p>
    <w:p w14:paraId="5CB6CD63" w14:textId="2114D727" w:rsidR="002155FD" w:rsidRDefault="007B4F00" w:rsidP="007B4F00">
      <w:pPr>
        <w:rPr>
          <w:lang w:val="en-GB"/>
        </w:rPr>
      </w:pPr>
      <w:r>
        <w:rPr>
          <w:lang w:val="en-GB"/>
        </w:rPr>
        <w:t xml:space="preserve">LTE V2X supports both centralized and </w:t>
      </w:r>
      <w:r w:rsidR="003F2991">
        <w:rPr>
          <w:lang w:val="en-GB"/>
        </w:rPr>
        <w:t xml:space="preserve">autonomous </w:t>
      </w:r>
      <w:r>
        <w:rPr>
          <w:lang w:val="en-GB"/>
        </w:rPr>
        <w:t>resource allocation, or Mode 3 and Mode 4. In Mode 3, eNB allocates resources for sidelink transmission</w:t>
      </w:r>
      <w:r w:rsidR="009427F2">
        <w:rPr>
          <w:lang w:val="en-GB"/>
        </w:rPr>
        <w:t>s</w:t>
      </w:r>
      <w:r>
        <w:rPr>
          <w:lang w:val="en-GB"/>
        </w:rPr>
        <w:t>, so collision</w:t>
      </w:r>
      <w:r w:rsidR="00167247">
        <w:rPr>
          <w:lang w:val="en-GB"/>
        </w:rPr>
        <w:t>s</w:t>
      </w:r>
      <w:r>
        <w:rPr>
          <w:lang w:val="en-GB"/>
        </w:rPr>
        <w:t xml:space="preserve"> can be avoided. While for Mode 4, a sensing-based resource selection mechanism has been introduced</w:t>
      </w:r>
      <w:r w:rsidR="00167247" w:rsidRPr="00167247">
        <w:rPr>
          <w:lang w:val="en-GB"/>
        </w:rPr>
        <w:t xml:space="preserve"> </w:t>
      </w:r>
      <w:r w:rsidR="00167247">
        <w:rPr>
          <w:lang w:val="en-GB"/>
        </w:rPr>
        <w:t>to alleviate collisions between V2</w:t>
      </w:r>
      <w:r w:rsidR="003F67F4">
        <w:rPr>
          <w:lang w:val="en-GB"/>
        </w:rPr>
        <w:t>X</w:t>
      </w:r>
      <w:r w:rsidR="00167247">
        <w:rPr>
          <w:lang w:val="en-GB"/>
        </w:rPr>
        <w:t xml:space="preserve"> transmissions</w:t>
      </w:r>
      <w:r>
        <w:rPr>
          <w:lang w:val="en-GB"/>
        </w:rPr>
        <w:t xml:space="preserve">. </w:t>
      </w:r>
      <w:r w:rsidR="002155FD">
        <w:rPr>
          <w:lang w:val="en-GB"/>
        </w:rPr>
        <w:t xml:space="preserve">For NR V2X it is natural that there </w:t>
      </w:r>
      <w:r w:rsidR="009427F2">
        <w:rPr>
          <w:lang w:val="en-GB"/>
        </w:rPr>
        <w:t>are</w:t>
      </w:r>
      <w:r w:rsidR="002155FD">
        <w:rPr>
          <w:lang w:val="en-GB"/>
        </w:rPr>
        <w:t xml:space="preserve"> scheduled and autonomous resource allocation</w:t>
      </w:r>
      <w:r w:rsidR="009427F2">
        <w:rPr>
          <w:lang w:val="en-GB"/>
        </w:rPr>
        <w:t>s to fulfil the advanced V2X service requirements in various scenarios</w:t>
      </w:r>
      <w:r w:rsidR="002155FD">
        <w:rPr>
          <w:lang w:val="en-GB"/>
        </w:rPr>
        <w:t>. The autonomous resource selection should be such that it allows operation independent of network.</w:t>
      </w:r>
    </w:p>
    <w:p w14:paraId="02090D8D" w14:textId="08E87B1A" w:rsidR="009427F2" w:rsidRPr="00D436FA" w:rsidRDefault="009427F2" w:rsidP="009427F2">
      <w:pPr>
        <w:rPr>
          <w:b/>
          <w:i/>
          <w:lang w:val="en-GB"/>
        </w:rPr>
      </w:pPr>
      <w:r>
        <w:rPr>
          <w:b/>
          <w:u w:val="single"/>
          <w:lang w:eastAsia="ko-KR"/>
        </w:rPr>
        <w:t>Proposal 1</w:t>
      </w:r>
      <w:r w:rsidRPr="00AE7BBF">
        <w:rPr>
          <w:b/>
          <w:u w:val="single"/>
          <w:lang w:eastAsia="ko-KR"/>
        </w:rPr>
        <w:t>:</w:t>
      </w:r>
      <w:r w:rsidRPr="003F2991">
        <w:rPr>
          <w:i/>
          <w:lang w:val="en-GB"/>
        </w:rPr>
        <w:t xml:space="preserve">  </w:t>
      </w:r>
      <w:r w:rsidRPr="00D436FA">
        <w:rPr>
          <w:b/>
          <w:i/>
          <w:lang w:val="en-GB"/>
        </w:rPr>
        <w:t>For NR V2X, like LTE V2X both scheduled and autonomous resource allocation</w:t>
      </w:r>
      <w:r>
        <w:rPr>
          <w:b/>
          <w:i/>
          <w:lang w:val="en-GB"/>
        </w:rPr>
        <w:t>s</w:t>
      </w:r>
      <w:r w:rsidRPr="00D436FA">
        <w:rPr>
          <w:b/>
          <w:i/>
          <w:lang w:val="en-GB"/>
        </w:rPr>
        <w:t xml:space="preserve"> need to be defined. Like LTE V2X, the NR V2X autonomous resource allocation should be able to operate independent of network.</w:t>
      </w:r>
    </w:p>
    <w:p w14:paraId="7134AEA5" w14:textId="378EAD8A" w:rsidR="007B4F00" w:rsidRDefault="009427F2" w:rsidP="007B4F00">
      <w:pPr>
        <w:rPr>
          <w:lang w:val="en-GB"/>
        </w:rPr>
      </w:pPr>
      <w:r>
        <w:rPr>
          <w:lang w:val="en-GB"/>
        </w:rPr>
        <w:t>In LTE V2X autonomous resource allocation</w:t>
      </w:r>
      <w:r w:rsidR="007B4F00">
        <w:rPr>
          <w:lang w:val="en-GB"/>
        </w:rPr>
        <w:t xml:space="preserve">, a UE has packet arriving decodes PSCCH as well as measures the received signal power; the resources associated to either higher packet priority or higher received signal power are ruled out first; the UE then selects resources with lower received signal power in the remaining resources for transmission. When PC5 transmission is dominated by periodical/semi-periodical traffic arrivals, this sensing-based approach </w:t>
      </w:r>
      <w:r w:rsidR="00167247">
        <w:rPr>
          <w:lang w:val="en-GB"/>
        </w:rPr>
        <w:t xml:space="preserve">effectively reduces collisions </w:t>
      </w:r>
      <w:r w:rsidR="00937932">
        <w:rPr>
          <w:lang w:val="en-GB"/>
        </w:rPr>
        <w:t xml:space="preserve">thanks </w:t>
      </w:r>
      <w:r w:rsidR="00167247">
        <w:rPr>
          <w:lang w:val="en-GB"/>
        </w:rPr>
        <w:t>to the predict</w:t>
      </w:r>
      <w:r w:rsidR="000C5058">
        <w:rPr>
          <w:lang w:val="en-GB"/>
        </w:rPr>
        <w:t>able</w:t>
      </w:r>
      <w:r w:rsidR="00167247">
        <w:rPr>
          <w:lang w:val="en-GB"/>
        </w:rPr>
        <w:t xml:space="preserve"> interference pattern</w:t>
      </w:r>
      <w:r w:rsidR="00937932">
        <w:rPr>
          <w:lang w:val="en-GB"/>
        </w:rPr>
        <w:t>s</w:t>
      </w:r>
      <w:r w:rsidR="007B4F00">
        <w:rPr>
          <w:lang w:val="en-GB"/>
        </w:rPr>
        <w:t xml:space="preserve">. </w:t>
      </w:r>
    </w:p>
    <w:p w14:paraId="0D1CE37C" w14:textId="29D4A18E" w:rsidR="007B4F00" w:rsidRDefault="007B4F00" w:rsidP="007B4F00">
      <w:pPr>
        <w:rPr>
          <w:lang w:val="en-GB"/>
        </w:rPr>
      </w:pPr>
      <w:r>
        <w:rPr>
          <w:lang w:val="en-GB"/>
        </w:rPr>
        <w:t xml:space="preserve">For </w:t>
      </w:r>
      <w:r w:rsidR="005C0782">
        <w:rPr>
          <w:lang w:val="en-GB"/>
        </w:rPr>
        <w:t xml:space="preserve">NR </w:t>
      </w:r>
      <w:r>
        <w:rPr>
          <w:lang w:val="en-GB"/>
        </w:rPr>
        <w:t xml:space="preserve">advanced V2X applications, however, more messages will be transmitted in a triggered manner. For example, information sharing in platooning/automated driving, collective perception of environment (CPE), etc. [2] Such burst transmissions will definitely lead to a less predictable interference pattern, which makes the </w:t>
      </w:r>
      <w:r w:rsidR="00D436FA">
        <w:rPr>
          <w:lang w:val="en-GB"/>
        </w:rPr>
        <w:t>long-term</w:t>
      </w:r>
      <w:r w:rsidR="00826F81">
        <w:rPr>
          <w:lang w:val="en-GB"/>
        </w:rPr>
        <w:t xml:space="preserve"> </w:t>
      </w:r>
      <w:r>
        <w:rPr>
          <w:lang w:val="en-GB"/>
        </w:rPr>
        <w:t>sensing</w:t>
      </w:r>
      <w:r w:rsidR="00826F81">
        <w:rPr>
          <w:lang w:val="en-GB"/>
        </w:rPr>
        <w:t xml:space="preserve"> along with semi-persistent resource </w:t>
      </w:r>
      <w:r w:rsidR="009427F2">
        <w:rPr>
          <w:lang w:val="en-GB"/>
        </w:rPr>
        <w:t>allocation-</w:t>
      </w:r>
      <w:r>
        <w:rPr>
          <w:lang w:val="en-GB"/>
        </w:rPr>
        <w:t xml:space="preserve">based approach </w:t>
      </w:r>
      <w:r w:rsidR="00826F81">
        <w:rPr>
          <w:lang w:val="en-GB"/>
        </w:rPr>
        <w:t>a bad fit</w:t>
      </w:r>
      <w:r>
        <w:rPr>
          <w:lang w:val="en-GB"/>
        </w:rPr>
        <w:t xml:space="preserve">. </w:t>
      </w:r>
      <w:r w:rsidR="00167247">
        <w:rPr>
          <w:lang w:val="en-GB"/>
        </w:rPr>
        <w:t xml:space="preserve">In other words, </w:t>
      </w:r>
      <w:r w:rsidR="00167247">
        <w:rPr>
          <w:iCs/>
          <w:kern w:val="24"/>
        </w:rPr>
        <w:t>more flexible resource allocation mechanisms are necessary to support arbitrary traffic patterns on NR sidelink.</w:t>
      </w:r>
      <w:r w:rsidR="00167247">
        <w:rPr>
          <w:lang w:val="en-GB"/>
        </w:rPr>
        <w:t xml:space="preserve"> Furthermore, </w:t>
      </w:r>
      <w:r>
        <w:rPr>
          <w:lang w:val="en-GB"/>
        </w:rPr>
        <w:t xml:space="preserve">according to [2], </w:t>
      </w:r>
      <w:r w:rsidR="00167247">
        <w:rPr>
          <w:lang w:val="en-GB"/>
        </w:rPr>
        <w:t>NR</w:t>
      </w:r>
      <w:r>
        <w:rPr>
          <w:lang w:val="en-GB"/>
        </w:rPr>
        <w:t xml:space="preserve"> advanced V2X services require </w:t>
      </w:r>
      <w:r w:rsidR="00167247">
        <w:rPr>
          <w:lang w:val="en-GB"/>
        </w:rPr>
        <w:t>very high</w:t>
      </w:r>
      <w:r>
        <w:rPr>
          <w:lang w:val="en-GB"/>
        </w:rPr>
        <w:t xml:space="preserve"> reliability. For example, cooperative collision avoidance (</w:t>
      </w:r>
      <w:proofErr w:type="spellStart"/>
      <w:r>
        <w:rPr>
          <w:lang w:val="en-GB"/>
        </w:rPr>
        <w:t>CoCA</w:t>
      </w:r>
      <w:proofErr w:type="spellEnd"/>
      <w:r>
        <w:rPr>
          <w:lang w:val="en-GB"/>
        </w:rPr>
        <w:t xml:space="preserve">) of automated vehicles requires 99.99% reliability; </w:t>
      </w:r>
      <w:r w:rsidR="009427F2">
        <w:rPr>
          <w:lang w:val="en-GB"/>
        </w:rPr>
        <w:t xml:space="preserve">the </w:t>
      </w:r>
      <w:r w:rsidR="00347936">
        <w:rPr>
          <w:lang w:val="en-GB"/>
        </w:rPr>
        <w:t xml:space="preserve">reliability </w:t>
      </w:r>
      <w:r w:rsidR="009427F2">
        <w:rPr>
          <w:lang w:val="en-GB"/>
        </w:rPr>
        <w:t xml:space="preserve">requirements for </w:t>
      </w:r>
      <w:r>
        <w:rPr>
          <w:lang w:val="en-GB"/>
        </w:rPr>
        <w:t xml:space="preserve">some other services, e.g., remote driving, CPE, emergency trajectory alignment, etc., </w:t>
      </w:r>
      <w:r w:rsidR="00347936">
        <w:rPr>
          <w:lang w:val="en-GB"/>
        </w:rPr>
        <w:t xml:space="preserve">are </w:t>
      </w:r>
      <w:r>
        <w:rPr>
          <w:lang w:val="en-GB"/>
        </w:rPr>
        <w:t xml:space="preserve">even higher (99.999%). Such reliability requires the probability of collisions to be very small. It is unlikely that the </w:t>
      </w:r>
      <w:r w:rsidR="00944661">
        <w:rPr>
          <w:lang w:val="en-GB"/>
        </w:rPr>
        <w:t>sensing-based</w:t>
      </w:r>
      <w:r w:rsidR="003F67F4">
        <w:rPr>
          <w:lang w:val="en-GB"/>
        </w:rPr>
        <w:t xml:space="preserve"> </w:t>
      </w:r>
      <w:r w:rsidR="00826F81">
        <w:rPr>
          <w:lang w:val="en-GB"/>
        </w:rPr>
        <w:t xml:space="preserve">resource allocation </w:t>
      </w:r>
      <w:r w:rsidR="003F67F4">
        <w:rPr>
          <w:lang w:val="en-GB"/>
        </w:rPr>
        <w:t xml:space="preserve">used in LTE-V2X </w:t>
      </w:r>
      <w:r>
        <w:rPr>
          <w:lang w:val="en-GB"/>
        </w:rPr>
        <w:t xml:space="preserve">can meet these </w:t>
      </w:r>
      <w:r w:rsidR="003F67F4">
        <w:rPr>
          <w:lang w:val="en-GB"/>
        </w:rPr>
        <w:t>very high reliabilit</w:t>
      </w:r>
      <w:r w:rsidR="00D436FA">
        <w:rPr>
          <w:lang w:val="en-GB"/>
        </w:rPr>
        <w:t>ies</w:t>
      </w:r>
      <w:r w:rsidR="003F67F4">
        <w:rPr>
          <w:lang w:val="en-GB"/>
        </w:rPr>
        <w:t xml:space="preserve"> </w:t>
      </w:r>
      <w:r>
        <w:rPr>
          <w:lang w:val="en-GB"/>
        </w:rPr>
        <w:t>with arbitrary traffic patterns.</w:t>
      </w:r>
    </w:p>
    <w:p w14:paraId="284FC31F" w14:textId="7E71E261" w:rsidR="007B4F00" w:rsidRDefault="007B4F00" w:rsidP="007B4F00">
      <w:pPr>
        <w:rPr>
          <w:lang w:val="en-GB"/>
        </w:rPr>
      </w:pPr>
      <w:r>
        <w:rPr>
          <w:lang w:val="en-GB"/>
        </w:rPr>
        <w:t xml:space="preserve">Based on the above </w:t>
      </w:r>
      <w:r w:rsidR="00B3263D">
        <w:rPr>
          <w:lang w:val="en-GB"/>
        </w:rPr>
        <w:t>observations</w:t>
      </w:r>
      <w:r>
        <w:rPr>
          <w:lang w:val="en-GB"/>
        </w:rPr>
        <w:t xml:space="preserve">, we have the following </w:t>
      </w:r>
      <w:r w:rsidR="00B3263D">
        <w:rPr>
          <w:lang w:val="en-GB"/>
        </w:rPr>
        <w:t>proposal</w:t>
      </w:r>
      <w:r>
        <w:rPr>
          <w:lang w:val="en-GB"/>
        </w:rPr>
        <w:t>:</w:t>
      </w:r>
    </w:p>
    <w:p w14:paraId="16FD4326" w14:textId="42F6190C" w:rsidR="007B4F00" w:rsidRDefault="00B3263D" w:rsidP="007B4F00">
      <w:pPr>
        <w:rPr>
          <w:lang w:eastAsia="ko-KR"/>
        </w:rPr>
      </w:pPr>
      <w:r>
        <w:rPr>
          <w:b/>
          <w:u w:val="single"/>
          <w:lang w:eastAsia="ko-KR"/>
        </w:rPr>
        <w:lastRenderedPageBreak/>
        <w:t>Proposal 2</w:t>
      </w:r>
      <w:r w:rsidR="007B4F00" w:rsidRPr="00AE7BBF">
        <w:rPr>
          <w:b/>
          <w:u w:val="single"/>
          <w:lang w:eastAsia="ko-KR"/>
        </w:rPr>
        <w:t>:</w:t>
      </w:r>
      <w:r w:rsidR="007B4F00" w:rsidRPr="00AE7BBF">
        <w:rPr>
          <w:lang w:eastAsia="ko-KR"/>
        </w:rPr>
        <w:t xml:space="preserve"> </w:t>
      </w:r>
      <w:r w:rsidR="007B4F00" w:rsidRPr="00237C1C">
        <w:rPr>
          <w:b/>
          <w:i/>
          <w:lang w:eastAsia="ko-KR"/>
        </w:rPr>
        <w:t xml:space="preserve">NR V2X </w:t>
      </w:r>
      <w:r w:rsidR="003F2991">
        <w:rPr>
          <w:b/>
          <w:i/>
          <w:lang w:eastAsia="ko-KR"/>
        </w:rPr>
        <w:t xml:space="preserve">autonomous </w:t>
      </w:r>
      <w:r w:rsidR="007B4F00" w:rsidRPr="00237C1C">
        <w:rPr>
          <w:b/>
          <w:i/>
          <w:lang w:eastAsia="ko-KR"/>
        </w:rPr>
        <w:t xml:space="preserve">resource allocation should </w:t>
      </w:r>
      <w:r w:rsidR="00826F81">
        <w:rPr>
          <w:b/>
          <w:i/>
          <w:lang w:eastAsia="ko-KR"/>
        </w:rPr>
        <w:t>be able to support</w:t>
      </w:r>
      <w:r w:rsidR="00826F81" w:rsidRPr="00237C1C">
        <w:rPr>
          <w:b/>
          <w:i/>
          <w:lang w:eastAsia="ko-KR"/>
        </w:rPr>
        <w:t xml:space="preserve"> </w:t>
      </w:r>
      <w:r w:rsidR="007B4F00" w:rsidRPr="00237C1C">
        <w:rPr>
          <w:b/>
          <w:i/>
          <w:lang w:eastAsia="ko-KR"/>
        </w:rPr>
        <w:t>arbitrary traffic patterns</w:t>
      </w:r>
      <w:r w:rsidR="00826F81">
        <w:rPr>
          <w:b/>
          <w:i/>
          <w:lang w:eastAsia="ko-KR"/>
        </w:rPr>
        <w:t xml:space="preserve"> and target </w:t>
      </w:r>
      <w:r w:rsidR="003F67F4">
        <w:rPr>
          <w:b/>
          <w:i/>
          <w:lang w:eastAsia="ko-KR"/>
        </w:rPr>
        <w:t xml:space="preserve">very high reliability </w:t>
      </w:r>
      <w:r w:rsidR="00826F81">
        <w:rPr>
          <w:b/>
          <w:i/>
          <w:lang w:eastAsia="ko-KR"/>
        </w:rPr>
        <w:t>service requirements</w:t>
      </w:r>
      <w:r w:rsidR="007B4F00" w:rsidRPr="00237C1C">
        <w:rPr>
          <w:b/>
          <w:i/>
          <w:lang w:eastAsia="ko-KR"/>
        </w:rPr>
        <w:t>.</w:t>
      </w:r>
    </w:p>
    <w:p w14:paraId="0D05B5D7" w14:textId="5B6244D1" w:rsidR="007B4F00" w:rsidRDefault="00340755" w:rsidP="007B4F00">
      <w:pPr>
        <w:rPr>
          <w:lang w:val="en-GB"/>
        </w:rPr>
      </w:pPr>
      <w:r>
        <w:rPr>
          <w:lang w:val="en-GB"/>
        </w:rPr>
        <w:t>Next,</w:t>
      </w:r>
      <w:r w:rsidR="007B4F00">
        <w:rPr>
          <w:lang w:val="en-GB"/>
        </w:rPr>
        <w:t xml:space="preserve"> we provide some preliminary thoughts on </w:t>
      </w:r>
      <w:r w:rsidR="003F2991">
        <w:rPr>
          <w:lang w:val="en-GB"/>
        </w:rPr>
        <w:t>autonomous</w:t>
      </w:r>
      <w:r w:rsidR="007B4F00">
        <w:rPr>
          <w:lang w:val="en-GB"/>
        </w:rPr>
        <w:t xml:space="preserve"> resource allocation</w:t>
      </w:r>
      <w:r w:rsidR="00B3263D">
        <w:rPr>
          <w:lang w:val="en-GB"/>
        </w:rPr>
        <w:t xml:space="preserve"> for NR V2X</w:t>
      </w:r>
      <w:r w:rsidR="007B4F00">
        <w:rPr>
          <w:lang w:val="en-GB"/>
        </w:rPr>
        <w:t>.</w:t>
      </w:r>
    </w:p>
    <w:p w14:paraId="2F1DB2F4" w14:textId="77777777" w:rsidR="007B4F00" w:rsidRDefault="007B4F00" w:rsidP="007B4F00">
      <w:pPr>
        <w:pStyle w:val="Heading2"/>
        <w:tabs>
          <w:tab w:val="clear" w:pos="360"/>
        </w:tabs>
      </w:pPr>
      <w:r>
        <w:t>Listen-before-Talk (LBT)</w:t>
      </w:r>
    </w:p>
    <w:p w14:paraId="2166F6CF" w14:textId="28319FBD" w:rsidR="007B4F00" w:rsidRDefault="007B4F00" w:rsidP="007B4F00">
      <w:pPr>
        <w:rPr>
          <w:lang w:val="en-GB"/>
        </w:rPr>
      </w:pPr>
      <w:r>
        <w:rPr>
          <w:lang w:val="en-GB"/>
        </w:rPr>
        <w:t xml:space="preserve">LBT has been proved an effective mechanism ensuring channel sharing while avoiding collisions. Note that, sensing in LTE V2X is also an LBT approach, but it functions in a more </w:t>
      </w:r>
      <w:r w:rsidR="002F1060">
        <w:rPr>
          <w:lang w:val="en-GB"/>
        </w:rPr>
        <w:t>conservative</w:t>
      </w:r>
      <w:r>
        <w:rPr>
          <w:lang w:val="en-GB"/>
        </w:rPr>
        <w:t xml:space="preserve"> manner (decode PSCCH and measure energy) and works only for semi-persistent transmissions. For NR V2X, we can consider introducing a more proactive LBT mechanism</w:t>
      </w:r>
      <w:r w:rsidR="00E72F5E">
        <w:rPr>
          <w:lang w:val="en-GB"/>
        </w:rPr>
        <w:t xml:space="preserve"> that can allow contention for </w:t>
      </w:r>
      <w:r w:rsidR="00F37C90">
        <w:rPr>
          <w:lang w:val="en-GB"/>
        </w:rPr>
        <w:t xml:space="preserve">potentially </w:t>
      </w:r>
      <w:r w:rsidR="00E72F5E">
        <w:rPr>
          <w:lang w:val="en-GB"/>
        </w:rPr>
        <w:t xml:space="preserve">every </w:t>
      </w:r>
      <w:r w:rsidR="000F369D">
        <w:rPr>
          <w:lang w:val="en-GB"/>
        </w:rPr>
        <w:t>slot.</w:t>
      </w:r>
    </w:p>
    <w:p w14:paraId="06173793" w14:textId="06AD4C69" w:rsidR="007B4F00" w:rsidRDefault="007B4F00" w:rsidP="007B4F00">
      <w:pPr>
        <w:rPr>
          <w:lang w:val="en-GB"/>
        </w:rPr>
      </w:pPr>
      <w:r>
        <w:rPr>
          <w:lang w:val="en-GB"/>
        </w:rPr>
        <w:t xml:space="preserve">For example, </w:t>
      </w:r>
      <w:r w:rsidR="00E4767C">
        <w:rPr>
          <w:lang w:val="en-GB"/>
        </w:rPr>
        <w:t>dedicated LBT signals can be introduced to indicate the resource reservation. M</w:t>
      </w:r>
      <w:r>
        <w:rPr>
          <w:lang w:val="en-GB"/>
        </w:rPr>
        <w:t>ore specific</w:t>
      </w:r>
      <w:r w:rsidR="00E4767C">
        <w:rPr>
          <w:lang w:val="en-GB"/>
        </w:rPr>
        <w:t>ally</w:t>
      </w:r>
      <w:r>
        <w:rPr>
          <w:lang w:val="en-GB"/>
        </w:rPr>
        <w:t>, a UE has traffic arriving transmits LBT signal to indicate the occupation of specific resource</w:t>
      </w:r>
      <w:r w:rsidR="00E4767C">
        <w:rPr>
          <w:lang w:val="en-GB"/>
        </w:rPr>
        <w:t xml:space="preserve"> in upcoming slots</w:t>
      </w:r>
      <w:r>
        <w:rPr>
          <w:lang w:val="en-GB"/>
        </w:rPr>
        <w:t xml:space="preserve">, </w:t>
      </w:r>
      <w:r w:rsidR="00665324">
        <w:rPr>
          <w:lang w:val="en-GB"/>
        </w:rPr>
        <w:t>if</w:t>
      </w:r>
      <w:r>
        <w:rPr>
          <w:lang w:val="en-GB"/>
        </w:rPr>
        <w:t xml:space="preserve"> there is no other LBT signals indicating the reservation of that resource. This means that before transmitting, the UE first monitors LBT signals from other UEs to ensure that </w:t>
      </w:r>
      <w:r w:rsidR="00E4767C">
        <w:rPr>
          <w:lang w:val="en-GB"/>
        </w:rPr>
        <w:t xml:space="preserve">the intended </w:t>
      </w:r>
      <w:r>
        <w:rPr>
          <w:lang w:val="en-GB"/>
        </w:rPr>
        <w:t>resources will not be occupied.</w:t>
      </w:r>
    </w:p>
    <w:p w14:paraId="72CC5DFE" w14:textId="2E1E3D50" w:rsidR="007B4F00" w:rsidRDefault="007B4F00" w:rsidP="007B4F00">
      <w:pPr>
        <w:rPr>
          <w:lang w:val="en-GB"/>
        </w:rPr>
      </w:pPr>
      <w:r>
        <w:rPr>
          <w:lang w:val="en-GB"/>
        </w:rPr>
        <w:t>LBT-based approach is flexible enough to support arbitrary traffic arrivals. But the design details and performance need to be further studied. Note that to enable LBT, certain amount of resources needs to be reserved/allocated for LBT signal</w:t>
      </w:r>
      <w:r w:rsidR="00665324">
        <w:rPr>
          <w:lang w:val="en-GB"/>
        </w:rPr>
        <w:t>s</w:t>
      </w:r>
      <w:r>
        <w:rPr>
          <w:lang w:val="en-GB"/>
        </w:rPr>
        <w:t xml:space="preserve">, and LBT signal is also subject to half-duplex constraint, i.e., LBT signal collision may happen when more than one UE are transmitting LBT signal at the same time. The half-duplex issue should be </w:t>
      </w:r>
      <w:r w:rsidR="00665324">
        <w:rPr>
          <w:lang w:val="en-GB"/>
        </w:rPr>
        <w:t>considered as well</w:t>
      </w:r>
      <w:r>
        <w:rPr>
          <w:lang w:val="en-GB"/>
        </w:rPr>
        <w:t xml:space="preserve"> when studying LBT </w:t>
      </w:r>
      <w:r w:rsidR="001030BA">
        <w:rPr>
          <w:lang w:val="en-GB"/>
        </w:rPr>
        <w:t>mechanisms</w:t>
      </w:r>
      <w:r>
        <w:rPr>
          <w:lang w:val="en-GB"/>
        </w:rPr>
        <w:t xml:space="preserve"> for NR V2X.</w:t>
      </w:r>
      <w:r w:rsidR="00D80DAD">
        <w:rPr>
          <w:lang w:val="en-GB"/>
        </w:rPr>
        <w:t xml:space="preserve"> </w:t>
      </w:r>
    </w:p>
    <w:p w14:paraId="253EBFED" w14:textId="3CD51CEC" w:rsidR="007B4F00" w:rsidRDefault="007B4F00" w:rsidP="007B4F00">
      <w:pPr>
        <w:rPr>
          <w:lang w:val="en-GB"/>
        </w:rPr>
      </w:pPr>
      <w:r w:rsidRPr="00AE7BBF">
        <w:rPr>
          <w:b/>
          <w:u w:val="single"/>
          <w:lang w:eastAsia="ko-KR"/>
        </w:rPr>
        <w:t xml:space="preserve">Proposal </w:t>
      </w:r>
      <w:r w:rsidR="00B3263D">
        <w:rPr>
          <w:b/>
          <w:u w:val="single"/>
          <w:lang w:eastAsia="ko-KR"/>
        </w:rPr>
        <w:t>3</w:t>
      </w:r>
      <w:r w:rsidRPr="00AE7BBF">
        <w:rPr>
          <w:b/>
          <w:u w:val="single"/>
          <w:lang w:eastAsia="ko-KR"/>
        </w:rPr>
        <w:t>:</w:t>
      </w:r>
      <w:r w:rsidRPr="00AE7BBF">
        <w:rPr>
          <w:lang w:eastAsia="ko-KR"/>
        </w:rPr>
        <w:t xml:space="preserve"> </w:t>
      </w:r>
      <w:r>
        <w:rPr>
          <w:b/>
          <w:i/>
          <w:lang w:eastAsia="ko-KR"/>
        </w:rPr>
        <w:t xml:space="preserve">Study the performance of </w:t>
      </w:r>
      <w:r w:rsidR="008E4155">
        <w:rPr>
          <w:b/>
          <w:i/>
          <w:lang w:eastAsia="ko-KR"/>
        </w:rPr>
        <w:t xml:space="preserve">autonomous </w:t>
      </w:r>
      <w:r>
        <w:rPr>
          <w:b/>
          <w:i/>
          <w:lang w:eastAsia="ko-KR"/>
        </w:rPr>
        <w:t>resource allocation based on LBT signals</w:t>
      </w:r>
      <w:r w:rsidR="008E4155">
        <w:rPr>
          <w:b/>
          <w:i/>
          <w:lang w:eastAsia="ko-KR"/>
        </w:rPr>
        <w:t xml:space="preserve"> on potentially every </w:t>
      </w:r>
      <w:r w:rsidR="000F369D">
        <w:rPr>
          <w:b/>
          <w:i/>
          <w:lang w:eastAsia="ko-KR"/>
        </w:rPr>
        <w:t>slot</w:t>
      </w:r>
      <w:r w:rsidRPr="00237C1C">
        <w:rPr>
          <w:b/>
          <w:i/>
          <w:lang w:eastAsia="ko-KR"/>
        </w:rPr>
        <w:t>.</w:t>
      </w:r>
    </w:p>
    <w:p w14:paraId="7355BB3D" w14:textId="77777777" w:rsidR="007B4F00" w:rsidRDefault="007B4F00" w:rsidP="007B4F00">
      <w:pPr>
        <w:pStyle w:val="Heading2"/>
        <w:tabs>
          <w:tab w:val="clear" w:pos="360"/>
        </w:tabs>
      </w:pPr>
      <w:r>
        <w:t>Handshake-based Sidelink Transmission</w:t>
      </w:r>
    </w:p>
    <w:p w14:paraId="3AFD12B0" w14:textId="249E7FA2" w:rsidR="007B4F00" w:rsidRDefault="00347936" w:rsidP="007B4F00">
      <w:pPr>
        <w:rPr>
          <w:lang w:val="en-GB"/>
        </w:rPr>
      </w:pPr>
      <w:r>
        <w:rPr>
          <w:lang w:val="en-GB"/>
        </w:rPr>
        <w:t xml:space="preserve">Due to the half-duplex constraint, </w:t>
      </w:r>
      <w:r w:rsidR="009647FA">
        <w:rPr>
          <w:lang w:val="en-GB"/>
        </w:rPr>
        <w:t xml:space="preserve">enabling </w:t>
      </w:r>
      <w:r>
        <w:rPr>
          <w:lang w:val="en-GB"/>
        </w:rPr>
        <w:t xml:space="preserve">LBT only at transmitter side may not be able to meet very high reliability requirements. </w:t>
      </w:r>
      <w:r w:rsidR="007B4F00">
        <w:rPr>
          <w:lang w:val="en-GB"/>
        </w:rPr>
        <w:t xml:space="preserve">A further enhancement to </w:t>
      </w:r>
      <w:r w:rsidR="00DD0736">
        <w:rPr>
          <w:lang w:val="en-GB"/>
        </w:rPr>
        <w:t xml:space="preserve">autonomous </w:t>
      </w:r>
      <w:r w:rsidR="007B4F00">
        <w:rPr>
          <w:lang w:val="en-GB"/>
        </w:rPr>
        <w:t xml:space="preserve">resource allocation is to introduce a handshake mechanism. One example here is the Request-to-Send (RTS)/Clear-to-Send (CTS) </w:t>
      </w:r>
      <w:r w:rsidR="003F30E2">
        <w:rPr>
          <w:lang w:val="en-GB"/>
        </w:rPr>
        <w:t>approach</w:t>
      </w:r>
      <w:r w:rsidR="000C7065">
        <w:rPr>
          <w:lang w:val="en-GB"/>
        </w:rPr>
        <w:t>:</w:t>
      </w:r>
      <w:r w:rsidR="007B4F00">
        <w:rPr>
          <w:lang w:val="en-GB"/>
        </w:rPr>
        <w:t xml:space="preserve"> </w:t>
      </w:r>
      <w:r w:rsidR="000C7065">
        <w:rPr>
          <w:lang w:val="en-GB"/>
        </w:rPr>
        <w:t>a</w:t>
      </w:r>
      <w:r w:rsidR="007B4F00">
        <w:rPr>
          <w:lang w:val="en-GB"/>
        </w:rPr>
        <w:t xml:space="preserve"> transmitter has packets coming transmits RTS signal first; the channel is available if it successfully decodes CTS </w:t>
      </w:r>
      <w:r w:rsidR="008F2E8C">
        <w:rPr>
          <w:lang w:val="en-GB"/>
        </w:rPr>
        <w:t xml:space="preserve">signal </w:t>
      </w:r>
      <w:r w:rsidR="007B4F00">
        <w:rPr>
          <w:lang w:val="en-GB"/>
        </w:rPr>
        <w:t xml:space="preserve">from receiver. An example is shown in Fig. </w:t>
      </w:r>
      <w:r w:rsidR="00D82FD4">
        <w:rPr>
          <w:lang w:val="en-GB"/>
        </w:rPr>
        <w:t>1</w:t>
      </w:r>
      <w:r w:rsidR="007B4F00">
        <w:rPr>
          <w:lang w:val="en-GB"/>
        </w:rPr>
        <w:t>. RTS/CTS well addresses the hidden node problem, and thus further reduces collisions.</w:t>
      </w:r>
    </w:p>
    <w:p w14:paraId="19C2C9C6" w14:textId="77777777" w:rsidR="007B4F00" w:rsidRDefault="007B4F00" w:rsidP="007B4F00">
      <w:pPr>
        <w:jc w:val="center"/>
        <w:rPr>
          <w:lang w:val="en-GB"/>
        </w:rPr>
      </w:pPr>
      <w:r>
        <w:rPr>
          <w:noProof/>
          <w:lang w:val="en-GB"/>
        </w:rPr>
        <w:drawing>
          <wp:inline distT="0" distB="0" distL="0" distR="0" wp14:anchorId="19A81AB1" wp14:editId="6114C660">
            <wp:extent cx="2088172" cy="21996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2383" cy="2204075"/>
                    </a:xfrm>
                    <a:prstGeom prst="rect">
                      <a:avLst/>
                    </a:prstGeom>
                    <a:noFill/>
                    <a:ln>
                      <a:noFill/>
                    </a:ln>
                  </pic:spPr>
                </pic:pic>
              </a:graphicData>
            </a:graphic>
          </wp:inline>
        </w:drawing>
      </w:r>
    </w:p>
    <w:p w14:paraId="60C3709E" w14:textId="063D5CEC" w:rsidR="007B4F00" w:rsidRPr="00213C3D" w:rsidRDefault="007B4F00" w:rsidP="007B4F00">
      <w:pPr>
        <w:jc w:val="center"/>
        <w:rPr>
          <w:sz w:val="18"/>
          <w:szCs w:val="18"/>
          <w:lang w:val="en-GB"/>
        </w:rPr>
      </w:pPr>
      <w:r w:rsidRPr="00213C3D">
        <w:rPr>
          <w:sz w:val="18"/>
          <w:szCs w:val="18"/>
          <w:lang w:val="en-GB"/>
        </w:rPr>
        <w:t xml:space="preserve">Fig. </w:t>
      </w:r>
      <w:r w:rsidR="00D82FD4">
        <w:rPr>
          <w:sz w:val="18"/>
          <w:szCs w:val="18"/>
          <w:lang w:val="en-GB"/>
        </w:rPr>
        <w:t>1</w:t>
      </w:r>
      <w:r w:rsidRPr="00213C3D">
        <w:rPr>
          <w:sz w:val="18"/>
          <w:szCs w:val="18"/>
          <w:lang w:val="en-GB"/>
        </w:rPr>
        <w:t xml:space="preserve">. RTS/CTS mechanism </w:t>
      </w:r>
    </w:p>
    <w:p w14:paraId="44C4465F" w14:textId="64A93E6B" w:rsidR="007B4F00" w:rsidRDefault="007B4F00" w:rsidP="007B4F00">
      <w:pPr>
        <w:rPr>
          <w:lang w:val="en-GB"/>
        </w:rPr>
      </w:pPr>
      <w:r>
        <w:rPr>
          <w:lang w:val="en-GB"/>
        </w:rPr>
        <w:t>A similar approach can be considered for NR V2X to improve reliability. For example, a UE with packet arriving transmits a request signal; other UEs that receive the request signal transmit response signal. The UE transmits data packet only when it receives the corresponding response signal. Priority can also be incorporated in the request-response mechanism, e.g., a specific request signal may associate to a certain priority class. Details need to be studied further. What should be noted is, request-response based resource allocation may be especially helpful to improve reliability for unicast and groupcast transmissions.</w:t>
      </w:r>
      <w:r w:rsidR="00B21FB4">
        <w:rPr>
          <w:lang w:val="en-GB"/>
        </w:rPr>
        <w:t xml:space="preserve"> However</w:t>
      </w:r>
      <w:r w:rsidR="00F351A3">
        <w:rPr>
          <w:lang w:val="en-GB"/>
        </w:rPr>
        <w:t>,</w:t>
      </w:r>
      <w:r w:rsidR="00B21FB4">
        <w:rPr>
          <w:lang w:val="en-GB"/>
        </w:rPr>
        <w:t xml:space="preserve"> </w:t>
      </w:r>
      <w:r w:rsidR="00F351A3">
        <w:rPr>
          <w:lang w:val="en-GB"/>
        </w:rPr>
        <w:t xml:space="preserve">one issue that needs to be studied is </w:t>
      </w:r>
      <w:r w:rsidR="000C7065">
        <w:rPr>
          <w:lang w:val="en-GB"/>
        </w:rPr>
        <w:t xml:space="preserve">the </w:t>
      </w:r>
      <w:r w:rsidR="00F351A3">
        <w:rPr>
          <w:lang w:val="en-GB"/>
        </w:rPr>
        <w:t>overhead associated with.</w:t>
      </w:r>
      <w:r w:rsidR="00B21FB4">
        <w:rPr>
          <w:lang w:val="en-GB"/>
        </w:rPr>
        <w:t xml:space="preserve"> </w:t>
      </w:r>
    </w:p>
    <w:p w14:paraId="38CC96B5" w14:textId="0AD9EAA1" w:rsidR="007B4F00" w:rsidRDefault="007B4F00" w:rsidP="007B4F00">
      <w:pPr>
        <w:rPr>
          <w:lang w:val="en-GB"/>
        </w:rPr>
      </w:pPr>
      <w:r w:rsidRPr="00AE7BBF">
        <w:rPr>
          <w:b/>
          <w:u w:val="single"/>
          <w:lang w:eastAsia="ko-KR"/>
        </w:rPr>
        <w:lastRenderedPageBreak/>
        <w:t xml:space="preserve">Proposal </w:t>
      </w:r>
      <w:r w:rsidR="00B3263D">
        <w:rPr>
          <w:b/>
          <w:u w:val="single"/>
          <w:lang w:eastAsia="ko-KR"/>
        </w:rPr>
        <w:t>3</w:t>
      </w:r>
      <w:r w:rsidRPr="00AE7BBF">
        <w:rPr>
          <w:b/>
          <w:u w:val="single"/>
          <w:lang w:eastAsia="ko-KR"/>
        </w:rPr>
        <w:t>:</w:t>
      </w:r>
      <w:r w:rsidRPr="00AE7BBF">
        <w:rPr>
          <w:lang w:eastAsia="ko-KR"/>
        </w:rPr>
        <w:t xml:space="preserve"> </w:t>
      </w:r>
      <w:r>
        <w:rPr>
          <w:b/>
          <w:i/>
          <w:lang w:eastAsia="ko-KR"/>
        </w:rPr>
        <w:t xml:space="preserve">Study the </w:t>
      </w:r>
      <w:r w:rsidR="00665324">
        <w:rPr>
          <w:b/>
          <w:i/>
          <w:lang w:eastAsia="ko-KR"/>
        </w:rPr>
        <w:t>request/</w:t>
      </w:r>
      <w:r>
        <w:rPr>
          <w:b/>
          <w:i/>
          <w:lang w:eastAsia="ko-KR"/>
        </w:rPr>
        <w:t xml:space="preserve">response type handshake mechanisms to further improve reliability for unicast/groupcast </w:t>
      </w:r>
      <w:r w:rsidR="00665324">
        <w:rPr>
          <w:b/>
          <w:i/>
          <w:lang w:eastAsia="ko-KR"/>
        </w:rPr>
        <w:t>transmissions</w:t>
      </w:r>
      <w:r>
        <w:rPr>
          <w:b/>
          <w:i/>
          <w:lang w:eastAsia="ko-KR"/>
        </w:rPr>
        <w:t xml:space="preserve">. </w:t>
      </w:r>
    </w:p>
    <w:p w14:paraId="1BBE82AF" w14:textId="77777777" w:rsidR="007B4F00" w:rsidRDefault="007B4F00" w:rsidP="007B4F00">
      <w:pPr>
        <w:pStyle w:val="Heading2"/>
        <w:tabs>
          <w:tab w:val="clear" w:pos="360"/>
        </w:tabs>
      </w:pPr>
      <w:r>
        <w:t>Resource Allocation by UE-type RSU</w:t>
      </w:r>
    </w:p>
    <w:p w14:paraId="76A840BF" w14:textId="358A219B" w:rsidR="007B4F00" w:rsidRDefault="007B4F00" w:rsidP="007B4F00">
      <w:pPr>
        <w:rPr>
          <w:lang w:val="en-GB"/>
        </w:rPr>
      </w:pPr>
      <w:r>
        <w:rPr>
          <w:lang w:val="en-GB"/>
        </w:rPr>
        <w:t xml:space="preserve">NR V2X resource allocation may be able to take advantage of the presence of UE-type RSUs. For example, an RSU may coordinate the transmissions of UEs in its vicinity to reduce or avoid collisions. Since a UE-type RSU may be less capable than an eNB/gNB-type RSU, such coordination may not as powerful (and thus, complex) as scheduling by eNB/gNB (Mode 3), which means resource allocation by UE-type RSU may have simplified functionality compared with eNB scheduling. Nevertheless, such simplification may show some other benefits. For example, smaller latency since RACH (or establishment of connection between UE and UE-type RSU) and handover (between UE-type RSUs) can be simplified; signalling overhead may also be reduced due to the simplification. </w:t>
      </w:r>
    </w:p>
    <w:p w14:paraId="2FC8E309" w14:textId="17EF3198" w:rsidR="007B4F00" w:rsidRDefault="007B4F00" w:rsidP="007B4F00">
      <w:pPr>
        <w:rPr>
          <w:lang w:eastAsia="ko-KR"/>
        </w:rPr>
      </w:pPr>
      <w:r w:rsidRPr="00AE7BBF">
        <w:rPr>
          <w:b/>
          <w:u w:val="single"/>
          <w:lang w:eastAsia="ko-KR"/>
        </w:rPr>
        <w:t xml:space="preserve">Proposal </w:t>
      </w:r>
      <w:r w:rsidR="00B3263D">
        <w:rPr>
          <w:b/>
          <w:u w:val="single"/>
          <w:lang w:eastAsia="ko-KR"/>
        </w:rPr>
        <w:t>5</w:t>
      </w:r>
      <w:r w:rsidRPr="00AE7BBF">
        <w:rPr>
          <w:b/>
          <w:u w:val="single"/>
          <w:lang w:eastAsia="ko-KR"/>
        </w:rPr>
        <w:t>:</w:t>
      </w:r>
      <w:r w:rsidRPr="00AE7BBF">
        <w:rPr>
          <w:lang w:eastAsia="ko-KR"/>
        </w:rPr>
        <w:t xml:space="preserve"> </w:t>
      </w:r>
      <w:r>
        <w:rPr>
          <w:b/>
          <w:i/>
          <w:lang w:eastAsia="ko-KR"/>
        </w:rPr>
        <w:t xml:space="preserve">Study the feasibility to enable UE-type RSU scheduling for </w:t>
      </w:r>
      <w:r w:rsidR="000C7065">
        <w:rPr>
          <w:b/>
          <w:i/>
          <w:lang w:eastAsia="ko-KR"/>
        </w:rPr>
        <w:t xml:space="preserve">NR </w:t>
      </w:r>
      <w:r>
        <w:rPr>
          <w:b/>
          <w:i/>
          <w:lang w:eastAsia="ko-KR"/>
        </w:rPr>
        <w:t>sidelink transmissions</w:t>
      </w:r>
      <w:r w:rsidRPr="00237C1C">
        <w:rPr>
          <w:b/>
          <w:i/>
          <w:lang w:eastAsia="ko-KR"/>
        </w:rPr>
        <w:t>.</w:t>
      </w:r>
    </w:p>
    <w:p w14:paraId="48BAAFA7" w14:textId="77777777" w:rsidR="007B4F00" w:rsidRDefault="007B4F00" w:rsidP="007B4F00">
      <w:pPr>
        <w:pStyle w:val="NormalWeb"/>
        <w:spacing w:before="0" w:beforeAutospacing="0" w:after="60" w:afterAutospacing="0" w:line="216" w:lineRule="auto"/>
        <w:rPr>
          <w:b/>
        </w:rPr>
      </w:pPr>
    </w:p>
    <w:p w14:paraId="3CF17C46" w14:textId="77777777" w:rsidR="007B4F00" w:rsidRDefault="007B4F00" w:rsidP="007B4F00">
      <w:pPr>
        <w:pStyle w:val="Heading1"/>
        <w:rPr>
          <w:lang w:eastAsia="zh-CN"/>
        </w:rPr>
      </w:pPr>
      <w:r>
        <w:rPr>
          <w:lang w:eastAsia="zh-CN"/>
        </w:rPr>
        <w:t>Conclusions</w:t>
      </w:r>
    </w:p>
    <w:p w14:paraId="173964C5" w14:textId="74AE3E77" w:rsidR="007B4F00" w:rsidRDefault="007B4F00" w:rsidP="007B4F00">
      <w:pPr>
        <w:pStyle w:val="NormalWeb"/>
        <w:spacing w:before="0" w:beforeAutospacing="0" w:after="60" w:afterAutospacing="0" w:line="216" w:lineRule="auto"/>
        <w:rPr>
          <w:iCs/>
          <w:kern w:val="24"/>
          <w:sz w:val="20"/>
          <w:szCs w:val="20"/>
        </w:rPr>
      </w:pPr>
      <w:r>
        <w:rPr>
          <w:iCs/>
          <w:kern w:val="24"/>
          <w:sz w:val="20"/>
          <w:szCs w:val="20"/>
        </w:rPr>
        <w:t>In this paper, we discussed the potential enhancements to sidelink resource allocation to meet the advanced V2X service requirements and have the following proposals.</w:t>
      </w:r>
    </w:p>
    <w:p w14:paraId="69A7EF77" w14:textId="77777777" w:rsidR="00D82FD4" w:rsidRPr="00D436FA" w:rsidRDefault="00D82FD4" w:rsidP="00D82FD4">
      <w:pPr>
        <w:rPr>
          <w:b/>
          <w:i/>
          <w:lang w:val="en-GB"/>
        </w:rPr>
      </w:pPr>
      <w:r>
        <w:rPr>
          <w:b/>
          <w:u w:val="single"/>
          <w:lang w:eastAsia="ko-KR"/>
        </w:rPr>
        <w:t>Proposal 1</w:t>
      </w:r>
      <w:r w:rsidRPr="00AE7BBF">
        <w:rPr>
          <w:b/>
          <w:u w:val="single"/>
          <w:lang w:eastAsia="ko-KR"/>
        </w:rPr>
        <w:t>:</w:t>
      </w:r>
      <w:r w:rsidRPr="003F2991">
        <w:rPr>
          <w:i/>
          <w:lang w:val="en-GB"/>
        </w:rPr>
        <w:t xml:space="preserve">  </w:t>
      </w:r>
      <w:r w:rsidRPr="00D436FA">
        <w:rPr>
          <w:b/>
          <w:i/>
          <w:lang w:val="en-GB"/>
        </w:rPr>
        <w:t>For NR V2X, like LTE V2X both scheduled and autonomous resource allocation need to be defined. Like LTE V2X, the NR V2X autonomous resource allocation should be able to operate independent of network.</w:t>
      </w:r>
    </w:p>
    <w:p w14:paraId="7EF5AF6D" w14:textId="77777777" w:rsidR="000C7065" w:rsidRDefault="000C7065" w:rsidP="000C7065">
      <w:pPr>
        <w:rPr>
          <w:lang w:eastAsia="ko-KR"/>
        </w:rPr>
      </w:pPr>
      <w:r>
        <w:rPr>
          <w:b/>
          <w:u w:val="single"/>
          <w:lang w:eastAsia="ko-KR"/>
        </w:rPr>
        <w:t>Proposal 2</w:t>
      </w:r>
      <w:r w:rsidRPr="00AE7BBF">
        <w:rPr>
          <w:b/>
          <w:u w:val="single"/>
          <w:lang w:eastAsia="ko-KR"/>
        </w:rPr>
        <w:t>:</w:t>
      </w:r>
      <w:r w:rsidRPr="00AE7BBF">
        <w:rPr>
          <w:lang w:eastAsia="ko-KR"/>
        </w:rPr>
        <w:t xml:space="preserve"> </w:t>
      </w:r>
      <w:r w:rsidRPr="00237C1C">
        <w:rPr>
          <w:b/>
          <w:i/>
          <w:lang w:eastAsia="ko-KR"/>
        </w:rPr>
        <w:t xml:space="preserve">NR V2X </w:t>
      </w:r>
      <w:r>
        <w:rPr>
          <w:b/>
          <w:i/>
          <w:lang w:eastAsia="ko-KR"/>
        </w:rPr>
        <w:t xml:space="preserve">autonomous </w:t>
      </w:r>
      <w:r w:rsidRPr="00237C1C">
        <w:rPr>
          <w:b/>
          <w:i/>
          <w:lang w:eastAsia="ko-KR"/>
        </w:rPr>
        <w:t xml:space="preserve">resource allocation should </w:t>
      </w:r>
      <w:r>
        <w:rPr>
          <w:b/>
          <w:i/>
          <w:lang w:eastAsia="ko-KR"/>
        </w:rPr>
        <w:t>be able to support</w:t>
      </w:r>
      <w:r w:rsidRPr="00237C1C">
        <w:rPr>
          <w:b/>
          <w:i/>
          <w:lang w:eastAsia="ko-KR"/>
        </w:rPr>
        <w:t xml:space="preserve"> arbitrary traffic patterns</w:t>
      </w:r>
      <w:r>
        <w:rPr>
          <w:b/>
          <w:i/>
          <w:lang w:eastAsia="ko-KR"/>
        </w:rPr>
        <w:t xml:space="preserve"> and target very high reliability service requirements</w:t>
      </w:r>
      <w:r w:rsidRPr="00237C1C">
        <w:rPr>
          <w:b/>
          <w:i/>
          <w:lang w:eastAsia="ko-KR"/>
        </w:rPr>
        <w:t>.</w:t>
      </w:r>
    </w:p>
    <w:p w14:paraId="73B7021A" w14:textId="4C25D533" w:rsidR="000C7065" w:rsidRDefault="000C7065" w:rsidP="000C7065">
      <w:pPr>
        <w:rPr>
          <w:lang w:val="en-GB"/>
        </w:rPr>
      </w:pPr>
      <w:r w:rsidRPr="00AE7BBF">
        <w:rPr>
          <w:b/>
          <w:u w:val="single"/>
          <w:lang w:eastAsia="ko-KR"/>
        </w:rPr>
        <w:t xml:space="preserve">Proposal </w:t>
      </w:r>
      <w:r>
        <w:rPr>
          <w:b/>
          <w:u w:val="single"/>
          <w:lang w:eastAsia="ko-KR"/>
        </w:rPr>
        <w:t>3</w:t>
      </w:r>
      <w:r w:rsidRPr="00AE7BBF">
        <w:rPr>
          <w:b/>
          <w:u w:val="single"/>
          <w:lang w:eastAsia="ko-KR"/>
        </w:rPr>
        <w:t>:</w:t>
      </w:r>
      <w:r w:rsidRPr="00AE7BBF">
        <w:rPr>
          <w:lang w:eastAsia="ko-KR"/>
        </w:rPr>
        <w:t xml:space="preserve"> </w:t>
      </w:r>
      <w:r>
        <w:rPr>
          <w:b/>
          <w:i/>
          <w:lang w:eastAsia="ko-KR"/>
        </w:rPr>
        <w:t>Study the performance of autonomous resource allocation based on LBT signals on potentially every slot</w:t>
      </w:r>
      <w:r w:rsidRPr="00237C1C">
        <w:rPr>
          <w:b/>
          <w:i/>
          <w:lang w:eastAsia="ko-KR"/>
        </w:rPr>
        <w:t>.</w:t>
      </w:r>
    </w:p>
    <w:p w14:paraId="6FAF5800" w14:textId="2694D93B" w:rsidR="007B4F00" w:rsidRDefault="007B4F00" w:rsidP="007B4F00">
      <w:pPr>
        <w:rPr>
          <w:lang w:val="en-GB"/>
        </w:rPr>
      </w:pPr>
      <w:r w:rsidRPr="00AE7BBF">
        <w:rPr>
          <w:b/>
          <w:u w:val="single"/>
          <w:lang w:eastAsia="ko-KR"/>
        </w:rPr>
        <w:t xml:space="preserve">Proposal </w:t>
      </w:r>
      <w:r w:rsidR="00B3263D">
        <w:rPr>
          <w:b/>
          <w:u w:val="single"/>
          <w:lang w:eastAsia="ko-KR"/>
        </w:rPr>
        <w:t>4</w:t>
      </w:r>
      <w:r w:rsidRPr="00AE7BBF">
        <w:rPr>
          <w:b/>
          <w:u w:val="single"/>
          <w:lang w:eastAsia="ko-KR"/>
        </w:rPr>
        <w:t>:</w:t>
      </w:r>
      <w:r w:rsidRPr="00AE7BBF">
        <w:rPr>
          <w:lang w:eastAsia="ko-KR"/>
        </w:rPr>
        <w:t xml:space="preserve"> </w:t>
      </w:r>
      <w:r>
        <w:rPr>
          <w:b/>
          <w:i/>
          <w:lang w:eastAsia="ko-KR"/>
        </w:rPr>
        <w:t xml:space="preserve">Study the </w:t>
      </w:r>
      <w:r w:rsidR="006F23CE">
        <w:rPr>
          <w:b/>
          <w:i/>
          <w:lang w:eastAsia="ko-KR"/>
        </w:rPr>
        <w:t>request/</w:t>
      </w:r>
      <w:r>
        <w:rPr>
          <w:b/>
          <w:i/>
          <w:lang w:eastAsia="ko-KR"/>
        </w:rPr>
        <w:t xml:space="preserve">response type handshake mechanisms to further improve reliability for unicast/groupcast </w:t>
      </w:r>
      <w:r w:rsidR="006F23CE">
        <w:rPr>
          <w:b/>
          <w:i/>
          <w:lang w:eastAsia="ko-KR"/>
        </w:rPr>
        <w:t>transmissions</w:t>
      </w:r>
      <w:r>
        <w:rPr>
          <w:b/>
          <w:i/>
          <w:lang w:eastAsia="ko-KR"/>
        </w:rPr>
        <w:t xml:space="preserve">. </w:t>
      </w:r>
    </w:p>
    <w:p w14:paraId="34CFF069" w14:textId="23CA6517" w:rsidR="007B4F00" w:rsidRDefault="007B4F00" w:rsidP="007B4F00">
      <w:pPr>
        <w:rPr>
          <w:lang w:eastAsia="ko-KR"/>
        </w:rPr>
      </w:pPr>
      <w:r w:rsidRPr="00AE7BBF">
        <w:rPr>
          <w:b/>
          <w:u w:val="single"/>
          <w:lang w:eastAsia="ko-KR"/>
        </w:rPr>
        <w:t xml:space="preserve">Proposal </w:t>
      </w:r>
      <w:r w:rsidR="00B3263D">
        <w:rPr>
          <w:b/>
          <w:u w:val="single"/>
          <w:lang w:eastAsia="ko-KR"/>
        </w:rPr>
        <w:t>5</w:t>
      </w:r>
      <w:r w:rsidRPr="00AE7BBF">
        <w:rPr>
          <w:b/>
          <w:u w:val="single"/>
          <w:lang w:eastAsia="ko-KR"/>
        </w:rPr>
        <w:t>:</w:t>
      </w:r>
      <w:r w:rsidRPr="00AE7BBF">
        <w:rPr>
          <w:lang w:eastAsia="ko-KR"/>
        </w:rPr>
        <w:t xml:space="preserve"> </w:t>
      </w:r>
      <w:r>
        <w:rPr>
          <w:b/>
          <w:i/>
          <w:lang w:eastAsia="ko-KR"/>
        </w:rPr>
        <w:t xml:space="preserve">Study the feasibility to enable UE-type RSU scheduling for </w:t>
      </w:r>
      <w:r w:rsidR="000C7065">
        <w:rPr>
          <w:b/>
          <w:i/>
          <w:lang w:eastAsia="ko-KR"/>
        </w:rPr>
        <w:t xml:space="preserve">NR </w:t>
      </w:r>
      <w:r>
        <w:rPr>
          <w:b/>
          <w:i/>
          <w:lang w:eastAsia="ko-KR"/>
        </w:rPr>
        <w:t>sidelink transmissions</w:t>
      </w:r>
      <w:r w:rsidRPr="00237C1C">
        <w:rPr>
          <w:b/>
          <w:i/>
          <w:lang w:eastAsia="ko-KR"/>
        </w:rPr>
        <w:t>.</w:t>
      </w:r>
    </w:p>
    <w:p w14:paraId="2846C217" w14:textId="77777777" w:rsidR="007B4F00" w:rsidRPr="004A0013" w:rsidRDefault="007B4F00" w:rsidP="007B4F00">
      <w:pPr>
        <w:pStyle w:val="NormalWeb"/>
        <w:spacing w:before="0" w:beforeAutospacing="0" w:after="60" w:afterAutospacing="0" w:line="216" w:lineRule="auto"/>
        <w:rPr>
          <w:iCs/>
          <w:kern w:val="24"/>
          <w:sz w:val="20"/>
          <w:szCs w:val="20"/>
        </w:rPr>
      </w:pPr>
    </w:p>
    <w:p w14:paraId="3D90ACF2" w14:textId="77777777" w:rsidR="007B4F00" w:rsidRPr="000A64D8" w:rsidRDefault="007B4F00" w:rsidP="007B4F00">
      <w:pPr>
        <w:pStyle w:val="Heading1"/>
        <w:rPr>
          <w:lang w:val="en-US"/>
        </w:rPr>
      </w:pPr>
      <w:r w:rsidRPr="000A64D8">
        <w:rPr>
          <w:lang w:val="en-US"/>
        </w:rPr>
        <w:t>References</w:t>
      </w:r>
    </w:p>
    <w:p w14:paraId="7247896A" w14:textId="77777777" w:rsidR="007B4F00" w:rsidRPr="00E02024" w:rsidRDefault="007B4F00" w:rsidP="007B4F00">
      <w:pPr>
        <w:numPr>
          <w:ilvl w:val="0"/>
          <w:numId w:val="1"/>
        </w:numPr>
        <w:spacing w:before="100" w:beforeAutospacing="1" w:after="100" w:afterAutospacing="1"/>
        <w:ind w:left="562" w:hanging="562"/>
        <w:rPr>
          <w:szCs w:val="22"/>
        </w:rPr>
      </w:pPr>
      <w:r w:rsidRPr="00E02024">
        <w:rPr>
          <w:szCs w:val="22"/>
        </w:rPr>
        <w:t>3GPP TR 22.885, Study on LTE support for Vehicle to Everything (V2X) services (Release 14).</w:t>
      </w:r>
    </w:p>
    <w:p w14:paraId="3D6FAEFB" w14:textId="77777777" w:rsidR="007B4F00" w:rsidRPr="00E02024" w:rsidRDefault="007B4F00" w:rsidP="007B4F00">
      <w:pPr>
        <w:numPr>
          <w:ilvl w:val="0"/>
          <w:numId w:val="1"/>
        </w:numPr>
        <w:spacing w:before="100" w:beforeAutospacing="1" w:after="100" w:afterAutospacing="1"/>
        <w:ind w:left="562" w:hanging="562"/>
        <w:rPr>
          <w:szCs w:val="22"/>
        </w:rPr>
      </w:pPr>
      <w:r>
        <w:rPr>
          <w:szCs w:val="22"/>
        </w:rPr>
        <w:t xml:space="preserve">3GPP TR 22.886,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 xml:space="preserve"> (Release 16).</w:t>
      </w:r>
    </w:p>
    <w:p w14:paraId="00989640" w14:textId="77777777" w:rsidR="007B4F00" w:rsidRDefault="007B4F00" w:rsidP="007B4F00">
      <w:pPr>
        <w:numPr>
          <w:ilvl w:val="0"/>
          <w:numId w:val="1"/>
        </w:numPr>
        <w:spacing w:before="100" w:beforeAutospacing="1" w:after="100" w:afterAutospacing="1"/>
        <w:ind w:left="562" w:hanging="562"/>
        <w:rPr>
          <w:szCs w:val="22"/>
        </w:rPr>
      </w:pPr>
      <w:r>
        <w:rPr>
          <w:szCs w:val="22"/>
        </w:rPr>
        <w:t>RP-181480, New SID Proposal: Study on NR V2X.</w:t>
      </w:r>
    </w:p>
    <w:p w14:paraId="1DA6C1B4" w14:textId="77777777" w:rsidR="00AA7766" w:rsidRDefault="00C53531"/>
    <w:sectPr w:rsidR="00AA7766" w:rsidSect="007B4F00">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91D15" w14:textId="77777777" w:rsidR="00C53531" w:rsidRDefault="00C53531">
      <w:pPr>
        <w:spacing w:after="0"/>
      </w:pPr>
      <w:r>
        <w:separator/>
      </w:r>
    </w:p>
  </w:endnote>
  <w:endnote w:type="continuationSeparator" w:id="0">
    <w:p w14:paraId="0F834A04" w14:textId="77777777" w:rsidR="00C53531" w:rsidRDefault="00C535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4678" w14:textId="77777777" w:rsidR="003406B1" w:rsidRDefault="007B4F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BC4527" w14:textId="77777777" w:rsidR="003406B1" w:rsidRDefault="00C535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F582" w14:textId="77777777" w:rsidR="003406B1" w:rsidRDefault="007B4F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845E4" w14:textId="77777777" w:rsidR="00C53531" w:rsidRDefault="00C53531">
      <w:pPr>
        <w:spacing w:after="0"/>
      </w:pPr>
      <w:r>
        <w:separator/>
      </w:r>
    </w:p>
  </w:footnote>
  <w:footnote w:type="continuationSeparator" w:id="0">
    <w:p w14:paraId="4176BED2" w14:textId="77777777" w:rsidR="00C53531" w:rsidRDefault="00C535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B350D" w14:textId="77777777" w:rsidR="003406B1" w:rsidRDefault="007B4F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086"/>
    <w:rsid w:val="0003337F"/>
    <w:rsid w:val="000466B5"/>
    <w:rsid w:val="00067E6C"/>
    <w:rsid w:val="000C5058"/>
    <w:rsid w:val="000C7065"/>
    <w:rsid w:val="000F369D"/>
    <w:rsid w:val="000F4A64"/>
    <w:rsid w:val="001030BA"/>
    <w:rsid w:val="00115975"/>
    <w:rsid w:val="00160950"/>
    <w:rsid w:val="00167247"/>
    <w:rsid w:val="001C7A2A"/>
    <w:rsid w:val="0020033B"/>
    <w:rsid w:val="002155FD"/>
    <w:rsid w:val="002F1060"/>
    <w:rsid w:val="00315551"/>
    <w:rsid w:val="00325289"/>
    <w:rsid w:val="00340755"/>
    <w:rsid w:val="00347936"/>
    <w:rsid w:val="003F2991"/>
    <w:rsid w:val="003F30E2"/>
    <w:rsid w:val="003F67F4"/>
    <w:rsid w:val="00454C36"/>
    <w:rsid w:val="00536092"/>
    <w:rsid w:val="00586499"/>
    <w:rsid w:val="005C0782"/>
    <w:rsid w:val="005C7EC4"/>
    <w:rsid w:val="00614086"/>
    <w:rsid w:val="00665324"/>
    <w:rsid w:val="006F23CE"/>
    <w:rsid w:val="007328F8"/>
    <w:rsid w:val="0077489C"/>
    <w:rsid w:val="007B4F00"/>
    <w:rsid w:val="007E7958"/>
    <w:rsid w:val="00826F81"/>
    <w:rsid w:val="008E4155"/>
    <w:rsid w:val="008F2E8C"/>
    <w:rsid w:val="00937932"/>
    <w:rsid w:val="009427F2"/>
    <w:rsid w:val="00944661"/>
    <w:rsid w:val="009647FA"/>
    <w:rsid w:val="00990B52"/>
    <w:rsid w:val="009B5459"/>
    <w:rsid w:val="00A53140"/>
    <w:rsid w:val="00A733FF"/>
    <w:rsid w:val="00B21FB4"/>
    <w:rsid w:val="00B3263D"/>
    <w:rsid w:val="00B37CD9"/>
    <w:rsid w:val="00B449C2"/>
    <w:rsid w:val="00B617E2"/>
    <w:rsid w:val="00BB31E5"/>
    <w:rsid w:val="00C53531"/>
    <w:rsid w:val="00C715A8"/>
    <w:rsid w:val="00D436FA"/>
    <w:rsid w:val="00D80DAD"/>
    <w:rsid w:val="00D82FD4"/>
    <w:rsid w:val="00DD0736"/>
    <w:rsid w:val="00E4767C"/>
    <w:rsid w:val="00E72F5E"/>
    <w:rsid w:val="00F16572"/>
    <w:rsid w:val="00F351A3"/>
    <w:rsid w:val="00F37C90"/>
    <w:rsid w:val="00FD6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BCF18"/>
  <w15:chartTrackingRefBased/>
  <w15:docId w15:val="{31A2440F-4122-4E25-8F40-DE2E36D4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4F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7B4F0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7B4F00"/>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7B4F00"/>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7B4F00"/>
    <w:pPr>
      <w:numPr>
        <w:ilvl w:val="3"/>
      </w:numPr>
      <w:tabs>
        <w:tab w:val="num" w:pos="360"/>
      </w:tabs>
      <w:outlineLvl w:val="3"/>
    </w:pPr>
    <w:rPr>
      <w:sz w:val="24"/>
    </w:rPr>
  </w:style>
  <w:style w:type="paragraph" w:styleId="Heading5">
    <w:name w:val="heading 5"/>
    <w:basedOn w:val="Heading4"/>
    <w:next w:val="Normal"/>
    <w:link w:val="Heading5Char"/>
    <w:qFormat/>
    <w:rsid w:val="007B4F00"/>
    <w:pPr>
      <w:numPr>
        <w:ilvl w:val="4"/>
      </w:numPr>
      <w:tabs>
        <w:tab w:val="num" w:pos="360"/>
      </w:tabs>
      <w:outlineLvl w:val="4"/>
    </w:pPr>
    <w:rPr>
      <w:sz w:val="22"/>
    </w:rPr>
  </w:style>
  <w:style w:type="paragraph" w:styleId="Heading6">
    <w:name w:val="heading 6"/>
    <w:basedOn w:val="Normal"/>
    <w:next w:val="Normal"/>
    <w:link w:val="Heading6Char"/>
    <w:qFormat/>
    <w:rsid w:val="007B4F00"/>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7B4F00"/>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7B4F00"/>
    <w:pPr>
      <w:numPr>
        <w:ilvl w:val="7"/>
      </w:numPr>
      <w:tabs>
        <w:tab w:val="num" w:pos="360"/>
      </w:tabs>
      <w:outlineLvl w:val="7"/>
    </w:pPr>
  </w:style>
  <w:style w:type="paragraph" w:styleId="Heading9">
    <w:name w:val="heading 9"/>
    <w:basedOn w:val="Heading8"/>
    <w:next w:val="Normal"/>
    <w:link w:val="Heading9Char"/>
    <w:qFormat/>
    <w:rsid w:val="007B4F0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B4F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7B4F00"/>
    <w:rPr>
      <w:rFonts w:ascii="Arial" w:eastAsia="SimSun" w:hAnsi="Arial" w:cs="Times New Roman"/>
      <w:sz w:val="32"/>
      <w:szCs w:val="20"/>
      <w:lang w:val="en-GB"/>
    </w:rPr>
  </w:style>
  <w:style w:type="character" w:customStyle="1" w:styleId="Heading3Char">
    <w:name w:val="Heading 3 Char"/>
    <w:basedOn w:val="DefaultParagraphFont"/>
    <w:link w:val="Heading3"/>
    <w:rsid w:val="007B4F00"/>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7B4F00"/>
    <w:rPr>
      <w:rFonts w:ascii="Arial" w:eastAsia="SimSun" w:hAnsi="Arial" w:cs="Times New Roman"/>
      <w:sz w:val="24"/>
      <w:szCs w:val="20"/>
      <w:lang w:val="en-GB"/>
    </w:rPr>
  </w:style>
  <w:style w:type="character" w:customStyle="1" w:styleId="Heading5Char">
    <w:name w:val="Heading 5 Char"/>
    <w:basedOn w:val="DefaultParagraphFont"/>
    <w:link w:val="Heading5"/>
    <w:rsid w:val="007B4F00"/>
    <w:rPr>
      <w:rFonts w:ascii="Arial" w:eastAsia="SimSun" w:hAnsi="Arial" w:cs="Times New Roman"/>
      <w:szCs w:val="20"/>
      <w:lang w:val="en-GB"/>
    </w:rPr>
  </w:style>
  <w:style w:type="character" w:customStyle="1" w:styleId="Heading6Char">
    <w:name w:val="Heading 6 Char"/>
    <w:basedOn w:val="DefaultParagraphFont"/>
    <w:link w:val="Heading6"/>
    <w:rsid w:val="007B4F00"/>
    <w:rPr>
      <w:rFonts w:ascii="Arial" w:eastAsia="SimSun" w:hAnsi="Arial" w:cs="Times New Roman"/>
      <w:sz w:val="20"/>
      <w:szCs w:val="20"/>
      <w:lang w:val="en-GB"/>
    </w:rPr>
  </w:style>
  <w:style w:type="character" w:customStyle="1" w:styleId="Heading7Char">
    <w:name w:val="Heading 7 Char"/>
    <w:basedOn w:val="DefaultParagraphFont"/>
    <w:link w:val="Heading7"/>
    <w:rsid w:val="007B4F00"/>
    <w:rPr>
      <w:rFonts w:ascii="Arial" w:eastAsia="SimSun" w:hAnsi="Arial" w:cs="Times New Roman"/>
      <w:sz w:val="20"/>
      <w:szCs w:val="20"/>
      <w:lang w:val="en-GB"/>
    </w:rPr>
  </w:style>
  <w:style w:type="character" w:customStyle="1" w:styleId="Heading8Char">
    <w:name w:val="Heading 8 Char"/>
    <w:basedOn w:val="DefaultParagraphFont"/>
    <w:link w:val="Heading8"/>
    <w:rsid w:val="007B4F00"/>
    <w:rPr>
      <w:rFonts w:ascii="Arial" w:eastAsia="SimSun" w:hAnsi="Arial" w:cs="Times New Roman"/>
      <w:sz w:val="36"/>
      <w:szCs w:val="20"/>
      <w:lang w:val="en-GB"/>
    </w:rPr>
  </w:style>
  <w:style w:type="character" w:customStyle="1" w:styleId="Heading9Char">
    <w:name w:val="Heading 9 Char"/>
    <w:basedOn w:val="DefaultParagraphFont"/>
    <w:link w:val="Heading9"/>
    <w:rsid w:val="007B4F00"/>
    <w:rPr>
      <w:rFonts w:ascii="Arial" w:eastAsia="SimSun" w:hAnsi="Arial" w:cs="Times New Roman"/>
      <w:sz w:val="36"/>
      <w:szCs w:val="20"/>
      <w:lang w:val="en-GB"/>
    </w:rPr>
  </w:style>
  <w:style w:type="paragraph" w:styleId="Footer">
    <w:name w:val="footer"/>
    <w:basedOn w:val="Header"/>
    <w:link w:val="FooterChar"/>
    <w:rsid w:val="007B4F0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7B4F00"/>
    <w:rPr>
      <w:rFonts w:ascii="Arial" w:eastAsia="SimSun" w:hAnsi="Arial" w:cs="Times New Roman"/>
      <w:b/>
      <w:i/>
      <w:noProof/>
      <w:sz w:val="18"/>
      <w:szCs w:val="20"/>
    </w:rPr>
  </w:style>
  <w:style w:type="character" w:styleId="PageNumber">
    <w:name w:val="page number"/>
    <w:basedOn w:val="DefaultParagraphFont"/>
    <w:rsid w:val="007B4F00"/>
  </w:style>
  <w:style w:type="character" w:customStyle="1" w:styleId="Heading1Char1">
    <w:name w:val="Heading 1 Char1"/>
    <w:link w:val="Heading1"/>
    <w:rsid w:val="007B4F00"/>
    <w:rPr>
      <w:rFonts w:ascii="Arial" w:eastAsia="SimSun" w:hAnsi="Arial" w:cs="Times New Roman"/>
      <w:sz w:val="36"/>
      <w:szCs w:val="20"/>
      <w:lang w:val="en-GB"/>
    </w:rPr>
  </w:style>
  <w:style w:type="paragraph" w:styleId="NormalWeb">
    <w:name w:val="Normal (Web)"/>
    <w:basedOn w:val="Normal"/>
    <w:uiPriority w:val="99"/>
    <w:unhideWhenUsed/>
    <w:rsid w:val="007B4F00"/>
    <w:pPr>
      <w:overflowPunct/>
      <w:autoSpaceDE/>
      <w:autoSpaceDN/>
      <w:adjustRightInd/>
      <w:spacing w:before="100" w:beforeAutospacing="1" w:after="100" w:afterAutospacing="1"/>
      <w:textAlignment w:val="auto"/>
    </w:pPr>
    <w:rPr>
      <w:sz w:val="24"/>
      <w:szCs w:val="24"/>
    </w:rPr>
  </w:style>
  <w:style w:type="paragraph" w:styleId="Header">
    <w:name w:val="header"/>
    <w:basedOn w:val="Normal"/>
    <w:link w:val="HeaderChar"/>
    <w:uiPriority w:val="99"/>
    <w:semiHidden/>
    <w:unhideWhenUsed/>
    <w:rsid w:val="007B4F00"/>
    <w:pPr>
      <w:tabs>
        <w:tab w:val="center" w:pos="4680"/>
        <w:tab w:val="right" w:pos="9360"/>
      </w:tabs>
      <w:spacing w:after="0"/>
    </w:pPr>
  </w:style>
  <w:style w:type="character" w:customStyle="1" w:styleId="HeaderChar">
    <w:name w:val="Header Char"/>
    <w:basedOn w:val="DefaultParagraphFont"/>
    <w:link w:val="Header"/>
    <w:uiPriority w:val="99"/>
    <w:semiHidden/>
    <w:rsid w:val="007B4F00"/>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3F29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99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03337F"/>
    <w:rPr>
      <w:sz w:val="16"/>
      <w:szCs w:val="16"/>
    </w:rPr>
  </w:style>
  <w:style w:type="paragraph" w:styleId="CommentText">
    <w:name w:val="annotation text"/>
    <w:basedOn w:val="Normal"/>
    <w:link w:val="CommentTextChar"/>
    <w:uiPriority w:val="99"/>
    <w:semiHidden/>
    <w:unhideWhenUsed/>
    <w:rsid w:val="0003337F"/>
  </w:style>
  <w:style w:type="character" w:customStyle="1" w:styleId="CommentTextChar">
    <w:name w:val="Comment Text Char"/>
    <w:basedOn w:val="DefaultParagraphFont"/>
    <w:link w:val="CommentText"/>
    <w:uiPriority w:val="99"/>
    <w:semiHidden/>
    <w:rsid w:val="000333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3337F"/>
    <w:rPr>
      <w:b/>
      <w:bCs/>
    </w:rPr>
  </w:style>
  <w:style w:type="character" w:customStyle="1" w:styleId="CommentSubjectChar">
    <w:name w:val="Comment Subject Char"/>
    <w:basedOn w:val="CommentTextChar"/>
    <w:link w:val="CommentSubject"/>
    <w:uiPriority w:val="99"/>
    <w:semiHidden/>
    <w:rsid w:val="0003337F"/>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SRVZ567275SS-1352137377-1222</_dlc_DocId>
    <_dlc_DocIdUrl xmlns="932dab1a-f806-440a-b546-5f112cb4e652">
      <Url>https://projects.qualcomm.com/sites/libra/_layouts/15/DocIdRedir.aspx?ID=SRVZ567275SS-1352137377-1222</Url>
      <Description>SRVZ567275SS-1352137377-1222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F6552-8ED8-4B69-8BE7-E5805684D94D}">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FC05D950-7C76-4613-9A21-EE655411ED35}">
  <ds:schemaRefs>
    <ds:schemaRef ds:uri="http://schemas.microsoft.com/sharepoint/v3/contenttype/forms"/>
  </ds:schemaRefs>
</ds:datastoreItem>
</file>

<file path=customXml/itemProps3.xml><?xml version="1.0" encoding="utf-8"?>
<ds:datastoreItem xmlns:ds="http://schemas.openxmlformats.org/officeDocument/2006/customXml" ds:itemID="{09098502-5855-4B9A-9EF8-CD6B254751F7}">
  <ds:schemaRefs>
    <ds:schemaRef ds:uri="http://schemas.microsoft.com/sharepoint/events"/>
  </ds:schemaRefs>
</ds:datastoreItem>
</file>

<file path=customXml/itemProps4.xml><?xml version="1.0" encoding="utf-8"?>
<ds:datastoreItem xmlns:ds="http://schemas.openxmlformats.org/officeDocument/2006/customXml" ds:itemID="{0EFC46A7-C56D-451B-8A67-F1AB9E7FA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3</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Arjun Bharadwaj</cp:lastModifiedBy>
  <cp:revision>41</cp:revision>
  <dcterms:created xsi:type="dcterms:W3CDTF">2018-08-08T20:39:00Z</dcterms:created>
  <dcterms:modified xsi:type="dcterms:W3CDTF">2018-08-10T21:35:00Z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f658bc8a-9812-4fe0-a7a7-a2d523425969</vt:lpwstr>
  </property>
</Properties>
</file>