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FBBF0" w14:textId="47FE003A" w:rsidR="00550913" w:rsidRPr="00FC2746" w:rsidRDefault="00550913" w:rsidP="00550913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r w:rsidRPr="00FC2746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FC2746">
        <w:rPr>
          <w:rFonts w:eastAsia="Times New Roman"/>
          <w:b/>
          <w:bCs/>
          <w:sz w:val="24"/>
          <w:szCs w:val="24"/>
        </w:rPr>
        <w:t xml:space="preserve">SG-RAN </w:t>
      </w:r>
      <w:r>
        <w:rPr>
          <w:rFonts w:eastAsia="Times New Roman"/>
          <w:b/>
          <w:sz w:val="24"/>
          <w:szCs w:val="24"/>
        </w:rPr>
        <w:t>WG1 Meeting 94</w:t>
      </w:r>
      <w:r>
        <w:rPr>
          <w:rFonts w:eastAsia="Times New Roman"/>
          <w:b/>
          <w:bCs/>
          <w:sz w:val="24"/>
          <w:szCs w:val="24"/>
        </w:rPr>
        <w:tab/>
      </w:r>
      <w:bookmarkStart w:id="1" w:name="_GoBack"/>
      <w:bookmarkEnd w:id="1"/>
      <w:r>
        <w:rPr>
          <w:rFonts w:eastAsia="Times New Roman"/>
          <w:b/>
          <w:bCs/>
          <w:sz w:val="24"/>
          <w:szCs w:val="24"/>
        </w:rPr>
        <w:t>R1-180</w:t>
      </w:r>
      <w:r w:rsidR="005B1B64">
        <w:rPr>
          <w:rFonts w:eastAsia="Times New Roman"/>
          <w:b/>
          <w:bCs/>
          <w:sz w:val="24"/>
          <w:szCs w:val="24"/>
        </w:rPr>
        <w:t>9420</w:t>
      </w:r>
    </w:p>
    <w:p w14:paraId="1519D203" w14:textId="5AA0B74C" w:rsidR="00550913" w:rsidRPr="00FC2746" w:rsidRDefault="00550913" w:rsidP="00550913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>
        <w:rPr>
          <w:b/>
          <w:sz w:val="24"/>
          <w:szCs w:val="24"/>
          <w:lang w:eastAsia="zh-CN"/>
        </w:rPr>
        <w:t>Gothenburg, Sweden 20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August –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August </w:t>
      </w:r>
      <w:r w:rsidRPr="00FC2746">
        <w:rPr>
          <w:b/>
          <w:sz w:val="24"/>
          <w:szCs w:val="24"/>
          <w:lang w:eastAsia="zh-CN"/>
        </w:rPr>
        <w:t>2018</w:t>
      </w:r>
    </w:p>
    <w:p w14:paraId="1A9A7F2E" w14:textId="77777777" w:rsidR="00550913" w:rsidRPr="00FC2746" w:rsidRDefault="00550913" w:rsidP="00550913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p w14:paraId="340DC321" w14:textId="77777777" w:rsidR="00550913" w:rsidRPr="00FC2746" w:rsidRDefault="00550913" w:rsidP="00550913">
      <w:pPr>
        <w:pStyle w:val="Footer"/>
        <w:jc w:val="both"/>
        <w:rPr>
          <w:rFonts w:ascii="Times New Roman" w:hAnsi="Times New Roman"/>
          <w:noProof w:val="0"/>
        </w:rPr>
      </w:pPr>
    </w:p>
    <w:p w14:paraId="0F03A467" w14:textId="5EEF4D65" w:rsidR="00550913" w:rsidRPr="00FC2746" w:rsidRDefault="00550913" w:rsidP="00550913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>Agenda item:</w:t>
      </w:r>
      <w:r w:rsidRPr="00FC2746">
        <w:rPr>
          <w:sz w:val="24"/>
        </w:rPr>
        <w:tab/>
      </w:r>
      <w:bookmarkStart w:id="2" w:name="Source"/>
      <w:bookmarkEnd w:id="2"/>
      <w:r w:rsidRPr="00FC2746">
        <w:rPr>
          <w:sz w:val="24"/>
        </w:rPr>
        <w:t>7.1.</w:t>
      </w:r>
      <w:r>
        <w:rPr>
          <w:sz w:val="24"/>
        </w:rPr>
        <w:t>1.4</w:t>
      </w:r>
    </w:p>
    <w:p w14:paraId="19C6CDF9" w14:textId="77777777" w:rsidR="00550913" w:rsidRPr="00FC2746" w:rsidRDefault="00550913" w:rsidP="00550913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 xml:space="preserve">Source: </w:t>
      </w:r>
      <w:r w:rsidRPr="00FC2746">
        <w:rPr>
          <w:b/>
          <w:sz w:val="24"/>
        </w:rPr>
        <w:tab/>
      </w:r>
      <w:r w:rsidRPr="00FC2746">
        <w:rPr>
          <w:sz w:val="24"/>
        </w:rPr>
        <w:t>Qualcomm Incorporated</w:t>
      </w:r>
    </w:p>
    <w:p w14:paraId="7AD89907" w14:textId="64126EA8" w:rsidR="00550913" w:rsidRPr="00FC2746" w:rsidRDefault="00550913" w:rsidP="00550913">
      <w:pPr>
        <w:ind w:left="1988" w:hanging="1988"/>
        <w:rPr>
          <w:sz w:val="24"/>
          <w:szCs w:val="24"/>
        </w:rPr>
      </w:pPr>
      <w:r w:rsidRPr="00FC2746">
        <w:rPr>
          <w:b/>
          <w:sz w:val="24"/>
        </w:rPr>
        <w:t>Title:</w:t>
      </w:r>
      <w:r w:rsidRPr="00FC2746">
        <w:rPr>
          <w:sz w:val="24"/>
        </w:rPr>
        <w:t xml:space="preserve"> </w:t>
      </w:r>
      <w:r w:rsidRPr="00FC2746">
        <w:rPr>
          <w:sz w:val="22"/>
        </w:rPr>
        <w:tab/>
      </w:r>
      <w:r>
        <w:rPr>
          <w:sz w:val="24"/>
        </w:rPr>
        <w:t>Maintenance for TA</w:t>
      </w:r>
    </w:p>
    <w:p w14:paraId="62739DFF" w14:textId="77777777" w:rsidR="00550913" w:rsidRPr="00FC2746" w:rsidRDefault="00550913" w:rsidP="00550913">
      <w:pPr>
        <w:ind w:left="1988" w:hanging="1988"/>
        <w:jc w:val="both"/>
        <w:rPr>
          <w:sz w:val="24"/>
        </w:rPr>
      </w:pPr>
      <w:r w:rsidRPr="00FC2746">
        <w:rPr>
          <w:b/>
          <w:sz w:val="24"/>
        </w:rPr>
        <w:t>Document for:</w:t>
      </w:r>
      <w:r w:rsidRPr="00FC2746">
        <w:rPr>
          <w:sz w:val="24"/>
        </w:rPr>
        <w:tab/>
      </w:r>
      <w:bookmarkStart w:id="3" w:name="DocumentFor"/>
      <w:bookmarkEnd w:id="3"/>
      <w:r w:rsidRPr="00FC2746">
        <w:rPr>
          <w:sz w:val="24"/>
        </w:rPr>
        <w:t>Discussion/Decision</w:t>
      </w:r>
    </w:p>
    <w:p w14:paraId="0881349A" w14:textId="77777777" w:rsidR="00550913" w:rsidRPr="00FC2746" w:rsidRDefault="00550913" w:rsidP="0055091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SimSun" w:hAnsi="Times New Roman"/>
          <w:sz w:val="36"/>
          <w:lang w:eastAsia="ja-JP"/>
        </w:rPr>
      </w:pPr>
      <w:r w:rsidRPr="00FC2746">
        <w:rPr>
          <w:rFonts w:ascii="Times New Roman" w:eastAsia="SimSun" w:hAnsi="Times New Roman"/>
          <w:sz w:val="36"/>
          <w:lang w:eastAsia="ja-JP"/>
        </w:rPr>
        <w:t>Introduction</w:t>
      </w:r>
    </w:p>
    <w:p w14:paraId="4A5E068C" w14:textId="04ECD855" w:rsidR="004412CC" w:rsidRDefault="00550913">
      <w:r>
        <w:t>This article proposes to confirm the previous working assumption on TA granularity.</w:t>
      </w:r>
    </w:p>
    <w:p w14:paraId="0D33EBF4" w14:textId="55C36E08" w:rsidR="00550913" w:rsidRDefault="00550913" w:rsidP="00550913">
      <w:pPr>
        <w:pStyle w:val="Heading1"/>
        <w:numPr>
          <w:ilvl w:val="0"/>
          <w:numId w:val="1"/>
        </w:numPr>
      </w:pPr>
      <w:r>
        <w:t>TA granularity with different numerologies among multiple UL BWPs</w:t>
      </w:r>
    </w:p>
    <w:p w14:paraId="3BA7380F" w14:textId="670C76DE" w:rsidR="008D171E" w:rsidRDefault="008D171E" w:rsidP="00550913">
      <w:r>
        <w:t xml:space="preserve">RAN1 made the following working assumption in </w:t>
      </w:r>
      <w:r w:rsidR="0010366C">
        <w:t xml:space="preserve">RAN </w:t>
      </w:r>
      <w:r>
        <w:t>92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171E" w:rsidRPr="00CC1587" w14:paraId="557CD9B5" w14:textId="77777777" w:rsidTr="00F37214">
        <w:tc>
          <w:tcPr>
            <w:tcW w:w="9350" w:type="dxa"/>
          </w:tcPr>
          <w:p w14:paraId="440C11C6" w14:textId="77777777" w:rsidR="008D171E" w:rsidRPr="00133E6B" w:rsidRDefault="008D171E" w:rsidP="008D171E">
            <w:r w:rsidRPr="00133E6B">
              <w:rPr>
                <w:highlight w:val="darkYellow"/>
              </w:rPr>
              <w:t>Working assumption</w:t>
            </w:r>
            <w:r w:rsidRPr="00133E6B">
              <w:t>:</w:t>
            </w:r>
          </w:p>
          <w:p w14:paraId="1E12A5A9" w14:textId="77777777" w:rsidR="008D171E" w:rsidRPr="00133E6B" w:rsidRDefault="008D171E" w:rsidP="008D171E">
            <w:pPr>
              <w:numPr>
                <w:ilvl w:val="0"/>
                <w:numId w:val="2"/>
              </w:numPr>
              <w:spacing w:after="0"/>
            </w:pPr>
            <w:r w:rsidRPr="00133E6B">
              <w:t>For the timing advance in MAC-CE in the case with multiple configured UL BWPs in the TAG, the granularity depends on the maximum SCS of all the activated UL BWPs including SUL within the TAG.</w:t>
            </w:r>
          </w:p>
          <w:p w14:paraId="4C69F7DF" w14:textId="77777777" w:rsidR="008D171E" w:rsidRPr="00133E6B" w:rsidRDefault="008D171E" w:rsidP="008D171E">
            <w:pPr>
              <w:numPr>
                <w:ilvl w:val="1"/>
                <w:numId w:val="2"/>
              </w:numPr>
              <w:spacing w:after="0"/>
              <w:rPr>
                <w:color w:val="000000"/>
              </w:rPr>
            </w:pPr>
            <w:r w:rsidRPr="00133E6B">
              <w:rPr>
                <w:color w:val="000000"/>
              </w:rPr>
              <w:t xml:space="preserve">When the TA is adjusted based on the timing advance in MAC-CE in higher SCS, the TA in lower SCS </w:t>
            </w:r>
            <w:r w:rsidRPr="00133E6B">
              <w:t xml:space="preserve">may be rounded </w:t>
            </w:r>
            <w:proofErr w:type="gramStart"/>
            <w:r w:rsidRPr="00133E6B">
              <w:t>in order to</w:t>
            </w:r>
            <w:proofErr w:type="gramEnd"/>
            <w:r w:rsidRPr="00133E6B">
              <w:t xml:space="preserve"> align with lower SCS TA granularity</w:t>
            </w:r>
            <w:r w:rsidRPr="00133E6B">
              <w:rPr>
                <w:color w:val="000000"/>
              </w:rPr>
              <w:t xml:space="preserve"> </w:t>
            </w:r>
          </w:p>
          <w:p w14:paraId="1856F7B0" w14:textId="77777777" w:rsidR="008D171E" w:rsidRPr="00133E6B" w:rsidRDefault="008D171E" w:rsidP="008D171E">
            <w:pPr>
              <w:numPr>
                <w:ilvl w:val="2"/>
                <w:numId w:val="2"/>
              </w:numPr>
              <w:spacing w:after="0"/>
              <w:rPr>
                <w:color w:val="000000"/>
              </w:rPr>
            </w:pPr>
            <w:r w:rsidRPr="00133E6B">
              <w:rPr>
                <w:color w:val="000000"/>
              </w:rPr>
              <w:t>This may result in different timing across UL carriers within the same TAG</w:t>
            </w:r>
          </w:p>
          <w:p w14:paraId="5B68CDF6" w14:textId="77777777" w:rsidR="008D171E" w:rsidRPr="00133E6B" w:rsidRDefault="008D171E" w:rsidP="008D171E">
            <w:pPr>
              <w:numPr>
                <w:ilvl w:val="1"/>
                <w:numId w:val="2"/>
              </w:numPr>
              <w:spacing w:after="0"/>
            </w:pPr>
            <w:r w:rsidRPr="00133E6B">
              <w:t>This revises the past agreement of SUL of the granularity of the smaller subcarrier spacing between UL and SUL.</w:t>
            </w:r>
          </w:p>
          <w:p w14:paraId="28A4CDEE" w14:textId="1CC5CD45" w:rsidR="008D171E" w:rsidRPr="00E22589" w:rsidRDefault="008D171E" w:rsidP="00F37214">
            <w:pPr>
              <w:spacing w:after="0"/>
            </w:pPr>
          </w:p>
        </w:tc>
      </w:tr>
    </w:tbl>
    <w:p w14:paraId="31B8E213" w14:textId="77777777" w:rsidR="008D171E" w:rsidRDefault="008D171E" w:rsidP="008D171E">
      <w:r>
        <w:t xml:space="preserve"> </w:t>
      </w:r>
    </w:p>
    <w:p w14:paraId="4B867F92" w14:textId="6FE7A373" w:rsidR="00550913" w:rsidRDefault="00550913" w:rsidP="00550913">
      <w:r>
        <w:t>During the last meeting [</w:t>
      </w:r>
      <w:r w:rsidR="0010366C">
        <w:t>2</w:t>
      </w:r>
      <w:r>
        <w:t>], RAN1 updated the previous working assumption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0913" w:rsidRPr="00CC1587" w14:paraId="7E8A4AE5" w14:textId="77777777" w:rsidTr="00F37214">
        <w:tc>
          <w:tcPr>
            <w:tcW w:w="9350" w:type="dxa"/>
          </w:tcPr>
          <w:p w14:paraId="5358538E" w14:textId="38993927" w:rsidR="00550913" w:rsidRPr="00E22589" w:rsidRDefault="00550913" w:rsidP="00550913">
            <w:pPr>
              <w:spacing w:after="0"/>
            </w:pPr>
            <w:r w:rsidRPr="00B916EC">
              <w:rPr>
                <w:rFonts w:hint="eastAsia"/>
              </w:rPr>
              <w:t>In other cases,</w:t>
            </w:r>
            <w:r w:rsidRPr="00B916EC">
              <w:t xml:space="preserve"> a</w:t>
            </w:r>
            <w:r w:rsidRPr="00B916EC">
              <w:rPr>
                <w:rFonts w:hint="eastAsia"/>
              </w:rPr>
              <w:t xml:space="preserve"> timing advance command </w:t>
            </w:r>
            <w:r w:rsidRPr="00B916EC">
              <w:t>[11, TS 38.321]</w:t>
            </w:r>
            <w:r w:rsidRPr="00B916EC">
              <w:rPr>
                <w:rFonts w:hint="eastAsia"/>
              </w:rPr>
              <w:t xml:space="preserve">, </w:t>
            </w:r>
            <w:r w:rsidRPr="00B916EC">
              <w:rPr>
                <w:position w:val="-10"/>
              </w:rPr>
              <w:object w:dxaOrig="260" w:dyaOrig="300" w14:anchorId="2EE83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75pt" o:ole="">
                  <v:imagedata r:id="rId10" o:title=""/>
                </v:shape>
                <o:OLEObject Type="Embed" ProgID="Equation.3" ShapeID="_x0000_i1025" DrawAspect="Content" ObjectID="_1595451141" r:id="rId11"/>
              </w:object>
            </w:r>
            <w:r w:rsidRPr="00B916EC">
              <w:rPr>
                <w:rFonts w:hint="eastAsia"/>
              </w:rPr>
              <w:t xml:space="preserve">, </w:t>
            </w:r>
            <w:r w:rsidRPr="00B916EC">
              <w:t>for a TAG</w:t>
            </w:r>
            <w:r w:rsidRPr="00B916EC">
              <w:rPr>
                <w:rFonts w:hint="eastAsia"/>
              </w:rPr>
              <w:t xml:space="preserve"> indicates </w:t>
            </w:r>
            <w:r w:rsidRPr="00B916EC">
              <w:rPr>
                <w:rFonts w:eastAsia="MS Mincho" w:hint="eastAsia"/>
              </w:rPr>
              <w:t>adjustment of</w:t>
            </w:r>
            <w:r w:rsidRPr="00B916EC">
              <w:rPr>
                <w:rFonts w:hint="eastAsia"/>
              </w:rPr>
              <w:t xml:space="preserve"> the current</w:t>
            </w:r>
            <w:r w:rsidRPr="00B916EC">
              <w:rPr>
                <w:rFonts w:eastAsia="MS Mincho" w:hint="eastAsia"/>
              </w:rPr>
              <w:t xml:space="preserve"> </w:t>
            </w:r>
            <w:r w:rsidRPr="00B916EC">
              <w:rPr>
                <w:position w:val="-10"/>
              </w:rPr>
              <w:object w:dxaOrig="400" w:dyaOrig="300" w14:anchorId="1E498547">
                <v:shape id="_x0000_i1026" type="#_x0000_t75" style="width:20.25pt;height:15.75pt" o:ole="">
                  <v:imagedata r:id="rId12" o:title=""/>
                </v:shape>
                <o:OLEObject Type="Embed" ProgID="Equation.3" ShapeID="_x0000_i1026" DrawAspect="Content" ObjectID="_1595451142" r:id="rId13"/>
              </w:object>
            </w:r>
            <w:r w:rsidRPr="00B916EC">
              <w:rPr>
                <w:rFonts w:hint="eastAsia"/>
                <w:i/>
              </w:rPr>
              <w:t xml:space="preserve"> </w:t>
            </w:r>
            <w:r w:rsidRPr="00B916EC">
              <w:rPr>
                <w:rFonts w:hint="eastAsia"/>
              </w:rPr>
              <w:t xml:space="preserve">value, </w:t>
            </w:r>
            <w:r w:rsidRPr="00B916EC">
              <w:rPr>
                <w:position w:val="-12"/>
              </w:rPr>
              <w:object w:dxaOrig="620" w:dyaOrig="320" w14:anchorId="058ABBAE">
                <v:shape id="_x0000_i1027" type="#_x0000_t75" style="width:30pt;height:15.75pt" o:ole="">
                  <v:imagedata r:id="rId14" o:title=""/>
                </v:shape>
                <o:OLEObject Type="Embed" ProgID="Equation.3" ShapeID="_x0000_i1027" DrawAspect="Content" ObjectID="_1595451143" r:id="rId15"/>
              </w:object>
            </w:r>
            <w:r w:rsidRPr="00B916EC">
              <w:rPr>
                <w:rFonts w:hint="eastAsia"/>
              </w:rPr>
              <w:t xml:space="preserve">, to the new </w:t>
            </w:r>
            <w:r w:rsidRPr="00B916EC">
              <w:rPr>
                <w:position w:val="-10"/>
              </w:rPr>
              <w:object w:dxaOrig="400" w:dyaOrig="300" w14:anchorId="364EAF3E">
                <v:shape id="_x0000_i1028" type="#_x0000_t75" style="width:20.25pt;height:15.75pt" o:ole="">
                  <v:imagedata r:id="rId12" o:title=""/>
                </v:shape>
                <o:OLEObject Type="Embed" ProgID="Equation.3" ShapeID="_x0000_i1028" DrawAspect="Content" ObjectID="_1595451144" r:id="rId16"/>
              </w:object>
            </w:r>
            <w:r w:rsidRPr="00B916EC">
              <w:rPr>
                <w:rFonts w:hint="eastAsia"/>
                <w:i/>
              </w:rPr>
              <w:t xml:space="preserve"> </w:t>
            </w:r>
            <w:r w:rsidRPr="00B916EC">
              <w:rPr>
                <w:rFonts w:hint="eastAsia"/>
              </w:rPr>
              <w:t xml:space="preserve">value, </w:t>
            </w:r>
            <w:r w:rsidRPr="00B916EC">
              <w:rPr>
                <w:position w:val="-12"/>
              </w:rPr>
              <w:object w:dxaOrig="660" w:dyaOrig="320" w14:anchorId="03A5BDBC">
                <v:shape id="_x0000_i1029" type="#_x0000_t75" style="width:32.25pt;height:15.75pt" o:ole="">
                  <v:imagedata r:id="rId17" o:title=""/>
                </v:shape>
                <o:OLEObject Type="Embed" ProgID="Equation.3" ShapeID="_x0000_i1029" DrawAspect="Content" ObjectID="_1595451145" r:id="rId18"/>
              </w:object>
            </w:r>
            <w:r w:rsidRPr="00B916EC">
              <w:rPr>
                <w:rFonts w:hint="eastAsia"/>
              </w:rPr>
              <w:t>,</w:t>
            </w:r>
            <w:r w:rsidRPr="00B916EC">
              <w:rPr>
                <w:rFonts w:eastAsia="MS Mincho" w:hint="eastAsia"/>
              </w:rPr>
              <w:t xml:space="preserve"> by</w:t>
            </w:r>
            <w:r w:rsidRPr="00B916EC">
              <w:rPr>
                <w:rFonts w:hint="eastAsia"/>
              </w:rPr>
              <w:t xml:space="preserve"> index values of </w:t>
            </w:r>
            <w:r w:rsidRPr="00B916EC">
              <w:rPr>
                <w:position w:val="-10"/>
              </w:rPr>
              <w:object w:dxaOrig="260" w:dyaOrig="300" w14:anchorId="086C9178">
                <v:shape id="_x0000_i1030" type="#_x0000_t75" style="width:12pt;height:15.75pt" o:ole="">
                  <v:imagedata r:id="rId10" o:title=""/>
                </v:shape>
                <o:OLEObject Type="Embed" ProgID="Equation.3" ShapeID="_x0000_i1030" DrawAspect="Content" ObjectID="_1595451146" r:id="rId19"/>
              </w:object>
            </w:r>
            <w:r w:rsidRPr="00B916EC">
              <w:rPr>
                <w:rFonts w:hint="eastAsia"/>
              </w:rPr>
              <w:t xml:space="preserve"> = 0, 1, 2,..., </w:t>
            </w:r>
            <w:r w:rsidRPr="00B916EC">
              <w:t>63</w:t>
            </w:r>
            <w:r w:rsidRPr="00B916EC">
              <w:rPr>
                <w:rFonts w:hint="eastAsia"/>
              </w:rPr>
              <w:t>, where</w:t>
            </w:r>
            <w:r w:rsidRPr="00B916EC">
              <w:t xml:space="preserve"> for a </w:t>
            </w:r>
            <w:r w:rsidRPr="00B916EC">
              <w:rPr>
                <w:rFonts w:eastAsia="MS Mincho"/>
              </w:rPr>
              <w:t xml:space="preserve">subcarrier spacing of </w:t>
            </w:r>
            <w:r w:rsidRPr="00B916EC">
              <w:rPr>
                <w:position w:val="-6"/>
              </w:rPr>
              <w:object w:dxaOrig="560" w:dyaOrig="300" w14:anchorId="48155699">
                <v:shape id="_x0000_i1031" type="#_x0000_t75" style="width:27.75pt;height:15.75pt" o:ole="">
                  <v:imagedata r:id="rId20" o:title=""/>
                </v:shape>
                <o:OLEObject Type="Embed" ProgID="Equation.3" ShapeID="_x0000_i1031" DrawAspect="Content" ObjectID="_1595451147" r:id="rId21"/>
              </w:object>
            </w:r>
            <w:r w:rsidRPr="00B916EC">
              <w:t xml:space="preserve"> kHz, </w:t>
            </w:r>
            <w:r w:rsidRPr="00B916EC">
              <w:rPr>
                <w:position w:val="-12"/>
              </w:rPr>
              <w:object w:dxaOrig="3200" w:dyaOrig="360" w14:anchorId="75A819A6">
                <v:shape id="_x0000_i1032" type="#_x0000_t75" style="width:156pt;height:18pt" o:ole="">
                  <v:imagedata r:id="rId22" o:title=""/>
                </v:shape>
                <o:OLEObject Type="Embed" ProgID="Equation.3" ShapeID="_x0000_i1032" DrawAspect="Content" ObjectID="_1595451148" r:id="rId23"/>
              </w:object>
            </w:r>
            <w:r w:rsidRPr="00B916EC">
              <w:rPr>
                <w:rFonts w:hint="eastAsia"/>
              </w:rPr>
              <w:t>.</w:t>
            </w:r>
            <w:r w:rsidRPr="00B916EC">
              <w:t xml:space="preserve"> If a UE </w:t>
            </w:r>
            <w:r>
              <w:t>has multiple active UL BWPs in a same TAG, including UL BWPs in</w:t>
            </w:r>
            <w:r w:rsidRPr="00B916EC">
              <w:t xml:space="preserve"> two UL carriers </w:t>
            </w:r>
            <w:r>
              <w:t>of</w:t>
            </w:r>
            <w:r w:rsidRPr="00B916EC">
              <w:t xml:space="preserve"> a serving cell, the timing advance command value is relative to the </w:t>
            </w:r>
            <w:r w:rsidRPr="0036251C">
              <w:rPr>
                <w:color w:val="FF0000"/>
                <w:u w:val="single"/>
              </w:rPr>
              <w:t>largest</w:t>
            </w:r>
            <w:r w:rsidRPr="0036251C">
              <w:rPr>
                <w:strike/>
                <w:color w:val="FF0000"/>
                <w:u w:val="single"/>
              </w:rPr>
              <w:t xml:space="preserve"> larger</w:t>
            </w:r>
            <w:r>
              <w:rPr>
                <w:strike/>
                <w:color w:val="FF0000"/>
              </w:rPr>
              <w:t xml:space="preserve"> </w:t>
            </w:r>
            <w:r w:rsidRPr="00B916EC">
              <w:t>subcarrier spacing</w:t>
            </w:r>
            <w:r>
              <w:t xml:space="preserve"> of the multiple active UL BWPs</w:t>
            </w:r>
            <w:r w:rsidRPr="00B916EC">
              <w:t xml:space="preserve">. </w:t>
            </w:r>
            <w:r>
              <w:t xml:space="preserve">The applicable </w:t>
            </w:r>
            <w:r w:rsidRPr="00B916EC">
              <w:rPr>
                <w:position w:val="-12"/>
              </w:rPr>
              <w:object w:dxaOrig="660" w:dyaOrig="320" w14:anchorId="4CECEEFD">
                <v:shape id="_x0000_i1033" type="#_x0000_t75" style="width:32.25pt;height:15.75pt" o:ole="">
                  <v:imagedata r:id="rId24" o:title=""/>
                </v:shape>
                <o:OLEObject Type="Embed" ProgID="Equation.3" ShapeID="_x0000_i1033" DrawAspect="Content" ObjectID="_1595451149" r:id="rId25"/>
              </w:object>
            </w:r>
            <w:r>
              <w:t xml:space="preserve"> value for an UL BWP with lower subcarrier spacing may be rounded </w:t>
            </w:r>
            <w:r w:rsidRPr="0036251C">
              <w:rPr>
                <w:color w:val="000000"/>
              </w:rPr>
              <w:t>to align with the timing advance granularity for the UL BWP with the lower subcarrier spacing</w:t>
            </w:r>
            <w:r>
              <w:t xml:space="preserve"> </w:t>
            </w:r>
            <w:r w:rsidRPr="0036251C">
              <w:rPr>
                <w:color w:val="FF0000"/>
                <w:u w:val="single"/>
              </w:rPr>
              <w:t>while satisfying the timing advance accuracy requirements in [10, TS38.133]</w:t>
            </w:r>
            <w:r>
              <w:t>.</w:t>
            </w:r>
          </w:p>
        </w:tc>
      </w:tr>
    </w:tbl>
    <w:p w14:paraId="057183B9" w14:textId="77777777" w:rsidR="00550913" w:rsidRDefault="00550913" w:rsidP="00550913">
      <w:r>
        <w:t xml:space="preserve"> </w:t>
      </w:r>
    </w:p>
    <w:p w14:paraId="2526DABB" w14:textId="4266AAB7" w:rsidR="00550913" w:rsidRDefault="00550913" w:rsidP="00550913">
      <w:pPr>
        <w:rPr>
          <w:b/>
        </w:rPr>
      </w:pPr>
      <w:r w:rsidRPr="0010366C">
        <w:rPr>
          <w:b/>
        </w:rPr>
        <w:t>Proposal 1: Confirm the above working assumption.</w:t>
      </w:r>
    </w:p>
    <w:p w14:paraId="77B0070B" w14:textId="77777777" w:rsidR="0010366C" w:rsidRPr="0010366C" w:rsidRDefault="0010366C" w:rsidP="00550913">
      <w:pPr>
        <w:rPr>
          <w:b/>
        </w:rPr>
      </w:pPr>
    </w:p>
    <w:p w14:paraId="2A0DAC72" w14:textId="1A99549C" w:rsidR="0010366C" w:rsidRPr="0010366C" w:rsidRDefault="00550913" w:rsidP="00550913">
      <w:pPr>
        <w:pStyle w:val="Heading1"/>
        <w:numPr>
          <w:ilvl w:val="0"/>
          <w:numId w:val="1"/>
        </w:numPr>
      </w:pPr>
      <w:r>
        <w:lastRenderedPageBreak/>
        <w:t>Conclusion</w:t>
      </w:r>
    </w:p>
    <w:p w14:paraId="7CB81CA3" w14:textId="06815104" w:rsidR="00550913" w:rsidRDefault="00550913" w:rsidP="00550913">
      <w:pPr>
        <w:rPr>
          <w:b/>
        </w:rPr>
      </w:pPr>
      <w:r w:rsidRPr="00550913">
        <w:rPr>
          <w:b/>
        </w:rPr>
        <w:t>Propos</w:t>
      </w:r>
      <w:r w:rsidR="0010366C">
        <w:rPr>
          <w:b/>
        </w:rPr>
        <w:t>a</w:t>
      </w:r>
      <w:r w:rsidRPr="00550913">
        <w:rPr>
          <w:b/>
        </w:rPr>
        <w:t>l 1:</w:t>
      </w:r>
    </w:p>
    <w:p w14:paraId="249B0043" w14:textId="226136D5" w:rsidR="0010366C" w:rsidRPr="00550913" w:rsidRDefault="0010366C" w:rsidP="00550913">
      <w:pPr>
        <w:rPr>
          <w:b/>
        </w:rPr>
      </w:pPr>
      <w:r>
        <w:rPr>
          <w:b/>
        </w:rPr>
        <w:t>Confirm the following working assumption.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0913" w:rsidRPr="00550913" w14:paraId="350B98C5" w14:textId="77777777" w:rsidTr="00F37214">
        <w:tc>
          <w:tcPr>
            <w:tcW w:w="9350" w:type="dxa"/>
          </w:tcPr>
          <w:p w14:paraId="13E78CA7" w14:textId="77777777" w:rsidR="00550913" w:rsidRPr="00550913" w:rsidRDefault="00550913" w:rsidP="00F37214">
            <w:pPr>
              <w:spacing w:after="0"/>
              <w:rPr>
                <w:b/>
              </w:rPr>
            </w:pPr>
            <w:r w:rsidRPr="00550913">
              <w:rPr>
                <w:rFonts w:hint="eastAsia"/>
                <w:b/>
              </w:rPr>
              <w:t>In other cases,</w:t>
            </w:r>
            <w:r w:rsidRPr="00550913">
              <w:rPr>
                <w:b/>
              </w:rPr>
              <w:t xml:space="preserve"> a</w:t>
            </w:r>
            <w:r w:rsidRPr="00550913">
              <w:rPr>
                <w:rFonts w:hint="eastAsia"/>
                <w:b/>
              </w:rPr>
              <w:t xml:space="preserve"> timing advance command </w:t>
            </w:r>
            <w:r w:rsidRPr="00550913">
              <w:rPr>
                <w:b/>
              </w:rPr>
              <w:t>[11, TS 38.321]</w:t>
            </w:r>
            <w:r w:rsidRPr="00550913">
              <w:rPr>
                <w:rFonts w:hint="eastAsia"/>
                <w:b/>
              </w:rPr>
              <w:t xml:space="preserve">, </w:t>
            </w:r>
            <w:r w:rsidRPr="00550913">
              <w:rPr>
                <w:b/>
                <w:position w:val="-10"/>
              </w:rPr>
              <w:object w:dxaOrig="260" w:dyaOrig="300" w14:anchorId="3E2F9A8B">
                <v:shape id="_x0000_i1034" type="#_x0000_t75" style="width:12pt;height:15.75pt" o:ole="">
                  <v:imagedata r:id="rId10" o:title=""/>
                </v:shape>
                <o:OLEObject Type="Embed" ProgID="Equation.3" ShapeID="_x0000_i1034" DrawAspect="Content" ObjectID="_1595451150" r:id="rId26"/>
              </w:object>
            </w:r>
            <w:r w:rsidRPr="00550913">
              <w:rPr>
                <w:rFonts w:hint="eastAsia"/>
                <w:b/>
              </w:rPr>
              <w:t xml:space="preserve">, </w:t>
            </w:r>
            <w:r w:rsidRPr="00550913">
              <w:rPr>
                <w:b/>
              </w:rPr>
              <w:t>for a TAG</w:t>
            </w:r>
            <w:r w:rsidRPr="00550913">
              <w:rPr>
                <w:rFonts w:hint="eastAsia"/>
                <w:b/>
              </w:rPr>
              <w:t xml:space="preserve"> indicates </w:t>
            </w:r>
            <w:r w:rsidRPr="00550913">
              <w:rPr>
                <w:rFonts w:eastAsia="MS Mincho" w:hint="eastAsia"/>
                <w:b/>
              </w:rPr>
              <w:t>adjustment of</w:t>
            </w:r>
            <w:r w:rsidRPr="00550913">
              <w:rPr>
                <w:rFonts w:hint="eastAsia"/>
                <w:b/>
              </w:rPr>
              <w:t xml:space="preserve"> the current</w:t>
            </w:r>
            <w:r w:rsidRPr="00550913">
              <w:rPr>
                <w:rFonts w:eastAsia="MS Mincho" w:hint="eastAsia"/>
                <w:b/>
              </w:rPr>
              <w:t xml:space="preserve"> </w:t>
            </w:r>
            <w:r w:rsidRPr="00550913">
              <w:rPr>
                <w:b/>
                <w:position w:val="-10"/>
              </w:rPr>
              <w:object w:dxaOrig="400" w:dyaOrig="300" w14:anchorId="43488DC1">
                <v:shape id="_x0000_i1035" type="#_x0000_t75" style="width:20.25pt;height:15.75pt" o:ole="">
                  <v:imagedata r:id="rId12" o:title=""/>
                </v:shape>
                <o:OLEObject Type="Embed" ProgID="Equation.3" ShapeID="_x0000_i1035" DrawAspect="Content" ObjectID="_1595451151" r:id="rId27"/>
              </w:object>
            </w:r>
            <w:r w:rsidRPr="00550913">
              <w:rPr>
                <w:rFonts w:hint="eastAsia"/>
                <w:b/>
                <w:i/>
              </w:rPr>
              <w:t xml:space="preserve"> </w:t>
            </w:r>
            <w:r w:rsidRPr="00550913">
              <w:rPr>
                <w:rFonts w:hint="eastAsia"/>
                <w:b/>
              </w:rPr>
              <w:t xml:space="preserve">value, </w:t>
            </w:r>
            <w:r w:rsidRPr="00550913">
              <w:rPr>
                <w:b/>
                <w:position w:val="-12"/>
              </w:rPr>
              <w:object w:dxaOrig="620" w:dyaOrig="320" w14:anchorId="5172F4FC">
                <v:shape id="_x0000_i1036" type="#_x0000_t75" style="width:30pt;height:15.75pt" o:ole="">
                  <v:imagedata r:id="rId14" o:title=""/>
                </v:shape>
                <o:OLEObject Type="Embed" ProgID="Equation.3" ShapeID="_x0000_i1036" DrawAspect="Content" ObjectID="_1595451152" r:id="rId28"/>
              </w:object>
            </w:r>
            <w:r w:rsidRPr="00550913">
              <w:rPr>
                <w:rFonts w:hint="eastAsia"/>
                <w:b/>
              </w:rPr>
              <w:t xml:space="preserve">, to the new </w:t>
            </w:r>
            <w:r w:rsidRPr="00550913">
              <w:rPr>
                <w:b/>
                <w:position w:val="-10"/>
              </w:rPr>
              <w:object w:dxaOrig="400" w:dyaOrig="300" w14:anchorId="422D5983">
                <v:shape id="_x0000_i1037" type="#_x0000_t75" style="width:20.25pt;height:15.75pt" o:ole="">
                  <v:imagedata r:id="rId12" o:title=""/>
                </v:shape>
                <o:OLEObject Type="Embed" ProgID="Equation.3" ShapeID="_x0000_i1037" DrawAspect="Content" ObjectID="_1595451153" r:id="rId29"/>
              </w:object>
            </w:r>
            <w:r w:rsidRPr="00550913">
              <w:rPr>
                <w:rFonts w:hint="eastAsia"/>
                <w:b/>
                <w:i/>
              </w:rPr>
              <w:t xml:space="preserve"> </w:t>
            </w:r>
            <w:r w:rsidRPr="00550913">
              <w:rPr>
                <w:rFonts w:hint="eastAsia"/>
                <w:b/>
              </w:rPr>
              <w:t xml:space="preserve">value, </w:t>
            </w:r>
            <w:r w:rsidRPr="00550913">
              <w:rPr>
                <w:b/>
                <w:position w:val="-12"/>
              </w:rPr>
              <w:object w:dxaOrig="660" w:dyaOrig="320" w14:anchorId="60CFDAFE">
                <v:shape id="_x0000_i1038" type="#_x0000_t75" style="width:32.25pt;height:15.75pt" o:ole="">
                  <v:imagedata r:id="rId17" o:title=""/>
                </v:shape>
                <o:OLEObject Type="Embed" ProgID="Equation.3" ShapeID="_x0000_i1038" DrawAspect="Content" ObjectID="_1595451154" r:id="rId30"/>
              </w:object>
            </w:r>
            <w:r w:rsidRPr="00550913">
              <w:rPr>
                <w:rFonts w:hint="eastAsia"/>
                <w:b/>
              </w:rPr>
              <w:t>,</w:t>
            </w:r>
            <w:r w:rsidRPr="00550913">
              <w:rPr>
                <w:rFonts w:eastAsia="MS Mincho" w:hint="eastAsia"/>
                <w:b/>
              </w:rPr>
              <w:t xml:space="preserve"> by</w:t>
            </w:r>
            <w:r w:rsidRPr="00550913">
              <w:rPr>
                <w:rFonts w:hint="eastAsia"/>
                <w:b/>
              </w:rPr>
              <w:t xml:space="preserve"> index values of </w:t>
            </w:r>
            <w:r w:rsidRPr="00550913">
              <w:rPr>
                <w:b/>
                <w:position w:val="-10"/>
              </w:rPr>
              <w:object w:dxaOrig="260" w:dyaOrig="300" w14:anchorId="21112B66">
                <v:shape id="_x0000_i1039" type="#_x0000_t75" style="width:12pt;height:15.75pt" o:ole="">
                  <v:imagedata r:id="rId10" o:title=""/>
                </v:shape>
                <o:OLEObject Type="Embed" ProgID="Equation.3" ShapeID="_x0000_i1039" DrawAspect="Content" ObjectID="_1595451155" r:id="rId31"/>
              </w:object>
            </w:r>
            <w:r w:rsidRPr="00550913">
              <w:rPr>
                <w:rFonts w:hint="eastAsia"/>
                <w:b/>
              </w:rPr>
              <w:t xml:space="preserve"> = 0, 1, 2,..., </w:t>
            </w:r>
            <w:r w:rsidRPr="00550913">
              <w:rPr>
                <w:b/>
              </w:rPr>
              <w:t>63</w:t>
            </w:r>
            <w:r w:rsidRPr="00550913">
              <w:rPr>
                <w:rFonts w:hint="eastAsia"/>
                <w:b/>
              </w:rPr>
              <w:t>, where</w:t>
            </w:r>
            <w:r w:rsidRPr="00550913">
              <w:rPr>
                <w:b/>
              </w:rPr>
              <w:t xml:space="preserve"> for a </w:t>
            </w:r>
            <w:r w:rsidRPr="00550913">
              <w:rPr>
                <w:rFonts w:eastAsia="MS Mincho"/>
                <w:b/>
              </w:rPr>
              <w:t xml:space="preserve">subcarrier spacing of </w:t>
            </w:r>
            <w:r w:rsidRPr="00550913">
              <w:rPr>
                <w:b/>
                <w:position w:val="-6"/>
              </w:rPr>
              <w:object w:dxaOrig="560" w:dyaOrig="300" w14:anchorId="2ABABBD3">
                <v:shape id="_x0000_i1040" type="#_x0000_t75" style="width:27.75pt;height:15.75pt" o:ole="">
                  <v:imagedata r:id="rId20" o:title=""/>
                </v:shape>
                <o:OLEObject Type="Embed" ProgID="Equation.3" ShapeID="_x0000_i1040" DrawAspect="Content" ObjectID="_1595451156" r:id="rId32"/>
              </w:object>
            </w:r>
            <w:r w:rsidRPr="00550913">
              <w:rPr>
                <w:b/>
              </w:rPr>
              <w:t xml:space="preserve"> kHz, </w:t>
            </w:r>
            <w:r w:rsidRPr="00550913">
              <w:rPr>
                <w:b/>
                <w:position w:val="-12"/>
              </w:rPr>
              <w:object w:dxaOrig="3200" w:dyaOrig="360" w14:anchorId="58C46A56">
                <v:shape id="_x0000_i1041" type="#_x0000_t75" style="width:156pt;height:18pt" o:ole="">
                  <v:imagedata r:id="rId22" o:title=""/>
                </v:shape>
                <o:OLEObject Type="Embed" ProgID="Equation.3" ShapeID="_x0000_i1041" DrawAspect="Content" ObjectID="_1595451157" r:id="rId33"/>
              </w:object>
            </w:r>
            <w:r w:rsidRPr="00550913">
              <w:rPr>
                <w:rFonts w:hint="eastAsia"/>
                <w:b/>
              </w:rPr>
              <w:t>.</w:t>
            </w:r>
            <w:r w:rsidRPr="00550913">
              <w:rPr>
                <w:b/>
              </w:rPr>
              <w:t xml:space="preserve"> If a UE has multiple active UL BWPs in a same TAG, including UL BWPs in two UL carriers of a serving cell, the timing advance command value is relative to the </w:t>
            </w:r>
            <w:r w:rsidRPr="00550913">
              <w:rPr>
                <w:b/>
                <w:color w:val="FF0000"/>
                <w:u w:val="single"/>
              </w:rPr>
              <w:t>largest</w:t>
            </w:r>
            <w:r w:rsidRPr="00550913">
              <w:rPr>
                <w:b/>
                <w:strike/>
                <w:color w:val="FF0000"/>
                <w:u w:val="single"/>
              </w:rPr>
              <w:t xml:space="preserve"> larger</w:t>
            </w:r>
            <w:r w:rsidRPr="00550913">
              <w:rPr>
                <w:b/>
                <w:strike/>
                <w:color w:val="FF0000"/>
              </w:rPr>
              <w:t xml:space="preserve"> </w:t>
            </w:r>
            <w:r w:rsidRPr="00550913">
              <w:rPr>
                <w:b/>
              </w:rPr>
              <w:t xml:space="preserve">subcarrier spacing of the multiple active UL BWPs. The applicable </w:t>
            </w:r>
            <w:r w:rsidRPr="00550913">
              <w:rPr>
                <w:b/>
                <w:position w:val="-12"/>
              </w:rPr>
              <w:object w:dxaOrig="660" w:dyaOrig="320" w14:anchorId="02305989">
                <v:shape id="_x0000_i1042" type="#_x0000_t75" style="width:32.25pt;height:15.75pt" o:ole="">
                  <v:imagedata r:id="rId24" o:title=""/>
                </v:shape>
                <o:OLEObject Type="Embed" ProgID="Equation.3" ShapeID="_x0000_i1042" DrawAspect="Content" ObjectID="_1595451158" r:id="rId34"/>
              </w:object>
            </w:r>
            <w:r w:rsidRPr="00550913">
              <w:rPr>
                <w:b/>
              </w:rPr>
              <w:t xml:space="preserve"> value for an UL BWP with lower subcarrier spacing may be rounded </w:t>
            </w:r>
            <w:r w:rsidRPr="00550913">
              <w:rPr>
                <w:b/>
                <w:color w:val="000000"/>
              </w:rPr>
              <w:t>to align with the timing advance granularity for the UL BWP with the lower subcarrier spacing</w:t>
            </w:r>
            <w:r w:rsidRPr="00550913">
              <w:rPr>
                <w:b/>
              </w:rPr>
              <w:t xml:space="preserve"> </w:t>
            </w:r>
            <w:r w:rsidRPr="00550913">
              <w:rPr>
                <w:b/>
                <w:color w:val="FF0000"/>
                <w:u w:val="single"/>
              </w:rPr>
              <w:t>while satisfying the timing advance accuracy requirements in [10, TS38.133]</w:t>
            </w:r>
            <w:r w:rsidRPr="00550913">
              <w:rPr>
                <w:b/>
              </w:rPr>
              <w:t>.</w:t>
            </w:r>
          </w:p>
        </w:tc>
      </w:tr>
    </w:tbl>
    <w:p w14:paraId="18F08D98" w14:textId="77777777" w:rsidR="00550913" w:rsidRDefault="00550913" w:rsidP="00550913">
      <w:r>
        <w:t xml:space="preserve"> </w:t>
      </w:r>
    </w:p>
    <w:p w14:paraId="26194008" w14:textId="32C4F680" w:rsidR="00550913" w:rsidRDefault="00550913" w:rsidP="00550913"/>
    <w:p w14:paraId="082CDDE6" w14:textId="40A01AD1" w:rsidR="00550913" w:rsidRDefault="00550913" w:rsidP="00550913">
      <w:pPr>
        <w:pStyle w:val="Heading1"/>
        <w:numPr>
          <w:ilvl w:val="0"/>
          <w:numId w:val="1"/>
        </w:numPr>
      </w:pPr>
      <w:r>
        <w:t>References</w:t>
      </w:r>
    </w:p>
    <w:p w14:paraId="3C498890" w14:textId="5312905B" w:rsidR="00550913" w:rsidRDefault="0010366C" w:rsidP="00550913">
      <w:pPr>
        <w:pStyle w:val="ListParagraph"/>
        <w:numPr>
          <w:ilvl w:val="0"/>
          <w:numId w:val="3"/>
        </w:numPr>
      </w:pPr>
      <w:r>
        <w:t>3GPP TSG Chairman’s notes, RAN1 92.</w:t>
      </w:r>
    </w:p>
    <w:p w14:paraId="6C08C524" w14:textId="0A38DC43" w:rsidR="00550913" w:rsidRPr="007D3DAB" w:rsidRDefault="0010366C" w:rsidP="00550913">
      <w:pPr>
        <w:pStyle w:val="ListParagraph"/>
        <w:numPr>
          <w:ilvl w:val="0"/>
          <w:numId w:val="3"/>
        </w:numPr>
      </w:pPr>
      <w:r>
        <w:t xml:space="preserve">3GPP TSG </w:t>
      </w:r>
      <w:r w:rsidR="00550913">
        <w:t>Chairman’s notes, RAN1 93.</w:t>
      </w:r>
    </w:p>
    <w:p w14:paraId="49316CEF" w14:textId="77777777" w:rsidR="00550913" w:rsidRPr="00550913" w:rsidRDefault="00550913" w:rsidP="00550913"/>
    <w:sectPr w:rsidR="00550913" w:rsidRPr="00550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316C2"/>
    <w:multiLevelType w:val="hybridMultilevel"/>
    <w:tmpl w:val="C042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E277BE6"/>
    <w:multiLevelType w:val="hybridMultilevel"/>
    <w:tmpl w:val="1B8C2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913"/>
    <w:rsid w:val="0010366C"/>
    <w:rsid w:val="004412CC"/>
    <w:rsid w:val="00550913"/>
    <w:rsid w:val="005B1B64"/>
    <w:rsid w:val="008D171E"/>
    <w:rsid w:val="00D1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9767F"/>
  <w15:chartTrackingRefBased/>
  <w15:docId w15:val="{2774E986-1E0B-4892-8F00-3A7A7073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091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550913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50913"/>
    <w:rPr>
      <w:rFonts w:ascii="Arial" w:eastAsia="MS Mincho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550913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50913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55091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091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550913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55091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550913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8.bin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image" Target="media/image5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24" Type="http://schemas.openxmlformats.org/officeDocument/2006/relationships/image" Target="media/image7.wmf"/><Relationship Id="rId32" Type="http://schemas.openxmlformats.org/officeDocument/2006/relationships/oleObject" Target="embeddings/oleObject16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2FHT6SDPEKRM-4-36286</_dlc_DocId>
    <_dlc_DocIdUrl xmlns="2f0fb0e4-6f95-4f64-8efb-58e3d90405ce">
      <Url>https://projects.qualcomm.com/sites/SkyBer/_layouts/15/DocIdRedir.aspx?ID=2FHT6SDPEKRM-4-36286</Url>
      <Description>2FHT6SDPEKRM-4-36286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CD75D9-79B3-4240-B6C2-C8A898D5D0C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388619EA-0238-4990-B60F-C43FBBC91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282E7-5CA7-41A8-960A-9C950F0EBC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4.xml><?xml version="1.0" encoding="utf-8"?>
<ds:datastoreItem xmlns:ds="http://schemas.openxmlformats.org/officeDocument/2006/customXml" ds:itemID="{91DD4AB0-D4C8-45B4-A509-38A8C47143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C22987-D90A-48FF-922F-59414F6C6B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2018-08-11T00:33:00Z</dcterms:created>
  <dcterms:modified xsi:type="dcterms:W3CDTF">2018-08-11T00:37:00Z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09910731-8205-435c-87e4-608a53efb133</vt:lpwstr>
  </property>
</Properties>
</file>