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4CBF4945"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180</w:t>
      </w:r>
      <w:r w:rsidR="00D14629">
        <w:rPr>
          <w:rFonts w:ascii="Arial" w:hAnsi="Arial" w:cs="Arial"/>
          <w:b/>
          <w:sz w:val="24"/>
          <w:szCs w:val="24"/>
        </w:rPr>
        <w:t>9028</w:t>
      </w:r>
    </w:p>
    <w:p w14:paraId="7B06AEC4" w14:textId="7919C774" w:rsidR="007F637A" w:rsidRDefault="007F637A" w:rsidP="007F637A">
      <w:pPr>
        <w:tabs>
          <w:tab w:val="right" w:pos="9630"/>
        </w:tabs>
        <w:spacing w:after="0"/>
        <w:jc w:val="both"/>
        <w:rPr>
          <w:rFonts w:ascii="Arial" w:hAnsi="Arial" w:cs="Arial"/>
          <w:b/>
          <w:sz w:val="24"/>
          <w:szCs w:val="24"/>
        </w:rPr>
      </w:pPr>
      <w:r>
        <w:rPr>
          <w:rFonts w:ascii="Arial" w:hAnsi="Arial" w:cs="Arial"/>
          <w:b/>
          <w:sz w:val="24"/>
          <w:szCs w:val="24"/>
        </w:rPr>
        <w:t>2</w:t>
      </w:r>
      <w:r w:rsidR="00AD3FE3">
        <w:rPr>
          <w:rFonts w:ascii="Arial" w:hAnsi="Arial" w:cs="Arial"/>
          <w:b/>
          <w:sz w:val="24"/>
          <w:szCs w:val="24"/>
        </w:rPr>
        <w:t>0</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Pr>
          <w:rFonts w:ascii="Arial" w:hAnsi="Arial" w:cs="Arial"/>
          <w:b/>
          <w:sz w:val="24"/>
          <w:szCs w:val="24"/>
        </w:rPr>
        <w:t>– 2</w:t>
      </w:r>
      <w:r w:rsidR="00AD3FE3">
        <w:rPr>
          <w:rFonts w:ascii="Arial" w:hAnsi="Arial" w:cs="Arial"/>
          <w:b/>
          <w:sz w:val="24"/>
          <w:szCs w:val="24"/>
        </w:rPr>
        <w:t>4</w:t>
      </w:r>
      <w:r w:rsidRPr="00C615E8">
        <w:rPr>
          <w:rFonts w:ascii="Arial" w:hAnsi="Arial" w:cs="Arial"/>
          <w:b/>
          <w:sz w:val="24"/>
          <w:szCs w:val="24"/>
          <w:vertAlign w:val="superscript"/>
        </w:rPr>
        <w:t>th</w:t>
      </w:r>
      <w:r>
        <w:rPr>
          <w:rFonts w:ascii="Arial" w:hAnsi="Arial" w:cs="Arial"/>
          <w:b/>
          <w:sz w:val="24"/>
          <w:szCs w:val="24"/>
        </w:rPr>
        <w:t xml:space="preserve"> </w:t>
      </w:r>
      <w:r w:rsidR="00AD3FE3">
        <w:rPr>
          <w:rFonts w:ascii="Arial" w:hAnsi="Arial" w:cs="Arial"/>
          <w:b/>
          <w:sz w:val="24"/>
          <w:szCs w:val="24"/>
        </w:rPr>
        <w:t>August</w:t>
      </w:r>
      <w:r>
        <w:rPr>
          <w:rFonts w:ascii="Arial" w:hAnsi="Arial" w:cs="Arial"/>
          <w:b/>
          <w:sz w:val="24"/>
          <w:szCs w:val="24"/>
        </w:rPr>
        <w:t xml:space="preserve"> 201</w:t>
      </w:r>
      <w:r w:rsidR="00AD3FE3">
        <w:rPr>
          <w:rFonts w:ascii="Arial" w:hAnsi="Arial" w:cs="Arial"/>
          <w:b/>
          <w:sz w:val="24"/>
          <w:szCs w:val="24"/>
        </w:rPr>
        <w:t>8</w:t>
      </w:r>
    </w:p>
    <w:p w14:paraId="4A6B87B1" w14:textId="4D49FC6D" w:rsidR="007F637A" w:rsidRPr="00FD021C" w:rsidRDefault="00AD3FE3" w:rsidP="007F637A">
      <w:pPr>
        <w:tabs>
          <w:tab w:val="right" w:pos="9630"/>
        </w:tabs>
        <w:spacing w:after="0"/>
        <w:jc w:val="both"/>
        <w:rPr>
          <w:rFonts w:ascii="Arial" w:hAnsi="Arial" w:cs="Arial"/>
          <w:b/>
          <w:sz w:val="24"/>
          <w:szCs w:val="24"/>
        </w:rPr>
      </w:pPr>
      <w:r w:rsidRPr="00AD3FE3">
        <w:rPr>
          <w:rFonts w:ascii="Arial" w:hAnsi="Arial"/>
          <w:b/>
          <w:sz w:val="24"/>
          <w:lang w:eastAsia="zh-CN"/>
        </w:rPr>
        <w:t>Gothenburg</w:t>
      </w:r>
      <w:r w:rsidR="007F637A" w:rsidRPr="00AD3FE3">
        <w:rPr>
          <w:rFonts w:ascii="Arial" w:hAnsi="Arial"/>
          <w:b/>
          <w:sz w:val="24"/>
          <w:lang w:eastAsia="zh-CN"/>
        </w:rPr>
        <w:t xml:space="preserve">, </w:t>
      </w:r>
      <w:r w:rsidRPr="00AD3FE3">
        <w:rPr>
          <w:rFonts w:ascii="Arial" w:hAnsi="Arial"/>
          <w:b/>
          <w:sz w:val="24"/>
          <w:lang w:eastAsia="zh-CN"/>
        </w:rPr>
        <w:t>Sweden</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4456C662"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RAN#80 meeting, a new WID of </w:t>
      </w:r>
      <w:r w:rsidRPr="00FA0631">
        <w:rPr>
          <w:rFonts w:eastAsia="Batang"/>
          <w:i/>
          <w:snapToGrid w:val="0"/>
          <w:kern w:val="2"/>
          <w:sz w:val="22"/>
          <w:szCs w:val="22"/>
          <w:lang w:eastAsia="ko-KR"/>
        </w:rPr>
        <w:t xml:space="preserve">Rel-16 </w:t>
      </w:r>
      <w:r w:rsidR="00900302">
        <w:rPr>
          <w:rFonts w:eastAsia="Batang"/>
          <w:i/>
          <w:snapToGrid w:val="0"/>
          <w:kern w:val="2"/>
          <w:sz w:val="22"/>
          <w:szCs w:val="22"/>
          <w:lang w:eastAsia="ko-KR"/>
        </w:rPr>
        <w:t xml:space="preserve">MTC </w:t>
      </w:r>
      <w:r w:rsidRPr="00FA0631">
        <w:rPr>
          <w:rFonts w:eastAsia="Batang"/>
          <w:i/>
          <w:snapToGrid w:val="0"/>
          <w:kern w:val="2"/>
          <w:sz w:val="22"/>
          <w:szCs w:val="22"/>
          <w:lang w:eastAsia="ko-KR"/>
        </w:rPr>
        <w:t xml:space="preserve">enhancements for </w:t>
      </w:r>
      <w:r w:rsidR="00900302">
        <w:rPr>
          <w:rFonts w:eastAsia="Batang"/>
          <w:i/>
          <w:snapToGrid w:val="0"/>
          <w:kern w:val="2"/>
          <w:sz w:val="22"/>
          <w:szCs w:val="22"/>
          <w:lang w:eastAsia="ko-KR"/>
        </w:rPr>
        <w:t>LTE</w:t>
      </w:r>
      <w:r w:rsidRPr="00FA0631">
        <w:rPr>
          <w:rFonts w:eastAsia="Batang"/>
          <w:snapToGrid w:val="0"/>
          <w:kern w:val="2"/>
          <w:sz w:val="22"/>
          <w:szCs w:val="22"/>
          <w:lang w:eastAsia="ko-KR"/>
        </w:rPr>
        <w:t xml:space="preserve"> [1] was approved</w:t>
      </w:r>
      <w:r w:rsidR="00D04D43">
        <w:rPr>
          <w:rFonts w:eastAsia="Batang"/>
          <w:snapToGrid w:val="0"/>
          <w:kern w:val="2"/>
          <w:sz w:val="22"/>
          <w:szCs w:val="22"/>
          <w:lang w:eastAsia="ko-KR"/>
        </w:rPr>
        <w:t xml:space="preserve"> with the following </w:t>
      </w:r>
      <w:r>
        <w:rPr>
          <w:rFonts w:eastAsia="Batang"/>
          <w:snapToGrid w:val="0"/>
          <w:kern w:val="2"/>
          <w:sz w:val="22"/>
          <w:szCs w:val="22"/>
          <w:lang w:eastAsia="ko-KR"/>
        </w:rPr>
        <w:t>objective</w:t>
      </w:r>
      <w:r w:rsidR="00BA445D">
        <w:rPr>
          <w:rFonts w:eastAsia="Batang"/>
          <w:snapToGrid w:val="0"/>
          <w:kern w:val="2"/>
          <w:sz w:val="22"/>
          <w:szCs w:val="22"/>
          <w:lang w:eastAsia="ko-KR"/>
        </w:rPr>
        <w:t>s</w:t>
      </w:r>
      <w:r>
        <w:rPr>
          <w:rFonts w:eastAsia="Batang"/>
          <w:snapToGrid w:val="0"/>
          <w:kern w:val="2"/>
          <w:sz w:val="22"/>
          <w:szCs w:val="22"/>
          <w:lang w:eastAsia="ko-KR"/>
        </w:rPr>
        <w:t xml:space="preserve">. </w:t>
      </w:r>
    </w:p>
    <w:p w14:paraId="55C5A0E6" w14:textId="77777777" w:rsidR="00FA0631" w:rsidRPr="00BA445D" w:rsidRDefault="00FA0631" w:rsidP="00FA0631">
      <w:pPr>
        <w:spacing w:after="0"/>
        <w:rPr>
          <w:rFonts w:eastAsia="宋体"/>
          <w:b/>
          <w:bCs/>
          <w:u w:val="single"/>
          <w:lang w:eastAsia="en-US"/>
        </w:rPr>
      </w:pPr>
    </w:p>
    <w:p w14:paraId="5F523363"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Improved DL transmission efficiency and/or UE power consumption:</w:t>
      </w:r>
    </w:p>
    <w:p w14:paraId="6F8A469C" w14:textId="77777777" w:rsidR="00D04D43" w:rsidRPr="003619C0" w:rsidRDefault="00D04D43" w:rsidP="00D04D43">
      <w:pPr>
        <w:numPr>
          <w:ilvl w:val="0"/>
          <w:numId w:val="30"/>
        </w:numPr>
        <w:spacing w:after="0"/>
        <w:rPr>
          <w:bCs/>
        </w:rPr>
      </w:pPr>
      <w:r w:rsidRPr="003619C0">
        <w:rPr>
          <w:bCs/>
        </w:rPr>
        <w:t>Specify support for mobile-terminated (MT) early data transmission (EDT) [RAN2</w:t>
      </w:r>
      <w:r>
        <w:rPr>
          <w:bCs/>
        </w:rPr>
        <w:t>, RAN3</w:t>
      </w:r>
      <w:r w:rsidRPr="003619C0">
        <w:rPr>
          <w:bCs/>
        </w:rPr>
        <w:t>]</w:t>
      </w:r>
    </w:p>
    <w:p w14:paraId="26C3D339" w14:textId="77777777" w:rsidR="00D04D43" w:rsidRPr="003619C0" w:rsidRDefault="00D04D43" w:rsidP="00D04D43">
      <w:pPr>
        <w:numPr>
          <w:ilvl w:val="0"/>
          <w:numId w:val="30"/>
        </w:numPr>
        <w:spacing w:after="0"/>
        <w:rPr>
          <w:bCs/>
        </w:rPr>
      </w:pPr>
      <w:bookmarkStart w:id="1" w:name="_Hlk515907705"/>
      <w:r w:rsidRPr="003619C0">
        <w:rPr>
          <w:bCs/>
        </w:rPr>
        <w:t>Specify quality report in MSG3 at least for EDT [RAN1, RAN2]</w:t>
      </w:r>
    </w:p>
    <w:bookmarkEnd w:id="1"/>
    <w:p w14:paraId="418AF19F" w14:textId="77777777" w:rsidR="00D04D43" w:rsidRPr="003619C0" w:rsidRDefault="00D04D43" w:rsidP="00D04D43">
      <w:pPr>
        <w:numPr>
          <w:ilvl w:val="0"/>
          <w:numId w:val="30"/>
        </w:numPr>
        <w:spacing w:after="0"/>
        <w:rPr>
          <w:bCs/>
        </w:rPr>
      </w:pPr>
      <w:r w:rsidRPr="003619C0">
        <w:rPr>
          <w:bCs/>
        </w:rPr>
        <w:t>Specify MPDCCH performance improvement by using CRS at least for connected mode [RAN1, RAN2, RAN4]</w:t>
      </w:r>
    </w:p>
    <w:p w14:paraId="0A643848" w14:textId="77777777" w:rsidR="00D04D43" w:rsidRPr="003619C0" w:rsidRDefault="00D04D43" w:rsidP="00D04D43">
      <w:pPr>
        <w:numPr>
          <w:ilvl w:val="0"/>
          <w:numId w:val="30"/>
        </w:numPr>
        <w:spacing w:after="0"/>
        <w:rPr>
          <w:bCs/>
        </w:rPr>
      </w:pPr>
      <w:r w:rsidRPr="003619C0">
        <w:rPr>
          <w:bCs/>
        </w:rPr>
        <w:t>Specify support for UE-group wake-up signal (WUS) [RAN1, RAN2, RAN4]</w:t>
      </w:r>
    </w:p>
    <w:p w14:paraId="41CFDBA0" w14:textId="77777777" w:rsidR="00D04D43" w:rsidRPr="003619C0" w:rsidRDefault="00D04D43" w:rsidP="00D04D43">
      <w:pPr>
        <w:spacing w:after="0"/>
        <w:rPr>
          <w:bCs/>
        </w:rPr>
      </w:pPr>
    </w:p>
    <w:p w14:paraId="5E296F2D"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Improved UL transmission efficiency and/or UE power consumption:</w:t>
      </w:r>
    </w:p>
    <w:p w14:paraId="769AFA52" w14:textId="616AB5FB" w:rsidR="00D04D43" w:rsidRPr="003619C0" w:rsidRDefault="00D04D43" w:rsidP="00D04D43">
      <w:pPr>
        <w:numPr>
          <w:ilvl w:val="0"/>
          <w:numId w:val="31"/>
        </w:numPr>
        <w:spacing w:after="0"/>
        <w:rPr>
          <w:bCs/>
        </w:rPr>
      </w:pPr>
      <w:bookmarkStart w:id="2" w:name="_Hlk516687799"/>
      <w:r w:rsidRPr="003619C0">
        <w:rPr>
          <w:bCs/>
        </w:rPr>
        <w:t>Specify support for transmission in preconfigured resources in idle and/or connected mode based on SC-FDMA waveform for UEs with a valid timing advance</w:t>
      </w:r>
      <w:r w:rsidR="00D14629">
        <w:rPr>
          <w:bCs/>
        </w:rPr>
        <w:t xml:space="preserve"> </w:t>
      </w:r>
      <w:r w:rsidRPr="003619C0">
        <w:rPr>
          <w:bCs/>
        </w:rPr>
        <w:t>[RAN1, RAN2</w:t>
      </w:r>
      <w:bookmarkStart w:id="3" w:name="_Hlk516765211"/>
      <w:r w:rsidRPr="003619C0">
        <w:rPr>
          <w:bCs/>
        </w:rPr>
        <w:t>, RAN</w:t>
      </w:r>
      <w:bookmarkEnd w:id="3"/>
      <w:r w:rsidRPr="003619C0">
        <w:rPr>
          <w:bCs/>
        </w:rPr>
        <w:t>4]</w:t>
      </w:r>
    </w:p>
    <w:p w14:paraId="328207FD" w14:textId="77777777" w:rsidR="00D04D43" w:rsidRPr="003619C0" w:rsidRDefault="00D04D43" w:rsidP="00D04D43">
      <w:pPr>
        <w:numPr>
          <w:ilvl w:val="1"/>
          <w:numId w:val="31"/>
        </w:numPr>
        <w:spacing w:after="0"/>
        <w:rPr>
          <w:bCs/>
        </w:rPr>
      </w:pPr>
      <w:r w:rsidRPr="003619C0">
        <w:rPr>
          <w:bCs/>
        </w:rPr>
        <w:t>Both shared resources and dedicated resources can be discussed</w:t>
      </w:r>
    </w:p>
    <w:p w14:paraId="4179337A" w14:textId="77777777" w:rsidR="00D04D43" w:rsidRPr="003619C0" w:rsidRDefault="00D04D43" w:rsidP="00D04D43">
      <w:pPr>
        <w:numPr>
          <w:ilvl w:val="1"/>
          <w:numId w:val="31"/>
        </w:numPr>
        <w:spacing w:after="0"/>
        <w:rPr>
          <w:bCs/>
        </w:rPr>
      </w:pPr>
      <w:r w:rsidRPr="003619C0">
        <w:rPr>
          <w:bCs/>
        </w:rPr>
        <w:t>Note: This is limited to orthogonal (multi) access schemes</w:t>
      </w:r>
      <w:bookmarkEnd w:id="2"/>
    </w:p>
    <w:p w14:paraId="61B89C7F" w14:textId="77777777" w:rsidR="00D04D43" w:rsidRPr="003619C0" w:rsidRDefault="00D04D43" w:rsidP="00D04D43">
      <w:pPr>
        <w:spacing w:after="0"/>
        <w:rPr>
          <w:b/>
          <w:bCs/>
        </w:rPr>
      </w:pPr>
    </w:p>
    <w:p w14:paraId="0258916D"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Scheduling enhancement:</w:t>
      </w:r>
    </w:p>
    <w:p w14:paraId="1ACFBB8C" w14:textId="77777777" w:rsidR="00D04D43" w:rsidRPr="003619C0" w:rsidRDefault="00D04D43" w:rsidP="00D04D43">
      <w:pPr>
        <w:numPr>
          <w:ilvl w:val="0"/>
          <w:numId w:val="31"/>
        </w:numPr>
        <w:spacing w:after="0"/>
        <w:rPr>
          <w:bCs/>
        </w:rPr>
      </w:pPr>
      <w:r w:rsidRPr="003619C0">
        <w:rPr>
          <w:bCs/>
        </w:rPr>
        <w:t xml:space="preserve">Specify scheduling multiple DL/UL transport blocks </w:t>
      </w:r>
      <w:bookmarkStart w:id="4" w:name="_Hlk516765510"/>
      <w:r w:rsidRPr="003619C0">
        <w:rPr>
          <w:bCs/>
        </w:rPr>
        <w:t xml:space="preserve">with or without DCI </w:t>
      </w:r>
      <w:bookmarkEnd w:id="4"/>
      <w:r w:rsidRPr="003619C0">
        <w:rPr>
          <w:bCs/>
        </w:rPr>
        <w:t>for SC-PTM and unicast [RAN1, RAN2]</w:t>
      </w:r>
    </w:p>
    <w:p w14:paraId="2E5A9F23" w14:textId="77777777" w:rsidR="00D04D43" w:rsidRPr="003619C0" w:rsidRDefault="00D04D43" w:rsidP="00D04D43">
      <w:pPr>
        <w:numPr>
          <w:ilvl w:val="1"/>
          <w:numId w:val="31"/>
        </w:numPr>
        <w:rPr>
          <w:bCs/>
        </w:rPr>
      </w:pPr>
      <w:r w:rsidRPr="003619C0">
        <w:rPr>
          <w:bCs/>
        </w:rPr>
        <w:t>Enhancement of SPS can be discussed.</w:t>
      </w:r>
    </w:p>
    <w:p w14:paraId="0C58F913"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Extreme coverage for non-BL UEs:</w:t>
      </w:r>
    </w:p>
    <w:p w14:paraId="4C57FF94" w14:textId="55D436D3" w:rsidR="00D04D43" w:rsidRPr="003619C0" w:rsidRDefault="00D04D43" w:rsidP="00D04D43">
      <w:pPr>
        <w:numPr>
          <w:ilvl w:val="0"/>
          <w:numId w:val="32"/>
        </w:numPr>
        <w:spacing w:after="0"/>
        <w:rPr>
          <w:bCs/>
        </w:rPr>
      </w:pPr>
      <w:r w:rsidRPr="003619C0">
        <w:rPr>
          <w:bCs/>
        </w:rPr>
        <w:t>Specify CE mode A and B improvements for non-BL UEs from among the following list</w:t>
      </w:r>
      <w:r w:rsidR="00D14629">
        <w:rPr>
          <w:bCs/>
        </w:rPr>
        <w:t xml:space="preserve"> </w:t>
      </w:r>
      <w:r w:rsidRPr="003619C0">
        <w:rPr>
          <w:bCs/>
        </w:rPr>
        <w:t>[RAN1, RAN2, RAN4]</w:t>
      </w:r>
    </w:p>
    <w:p w14:paraId="66F4BB03" w14:textId="77777777" w:rsidR="00D04D43" w:rsidRPr="003619C0" w:rsidRDefault="00D04D43" w:rsidP="00D04D43">
      <w:pPr>
        <w:numPr>
          <w:ilvl w:val="1"/>
          <w:numId w:val="32"/>
        </w:numPr>
        <w:spacing w:after="0"/>
        <w:rPr>
          <w:bCs/>
        </w:rPr>
      </w:pPr>
      <w:r w:rsidRPr="003619C0">
        <w:rPr>
          <w:bCs/>
        </w:rPr>
        <w:t>Enhancements to idle mode mobility</w:t>
      </w:r>
    </w:p>
    <w:p w14:paraId="55B751A8" w14:textId="77777777" w:rsidR="00D04D43" w:rsidRPr="003619C0" w:rsidRDefault="00D04D43" w:rsidP="00D04D43">
      <w:pPr>
        <w:numPr>
          <w:ilvl w:val="1"/>
          <w:numId w:val="32"/>
        </w:numPr>
        <w:spacing w:after="0"/>
        <w:rPr>
          <w:bCs/>
        </w:rPr>
      </w:pPr>
      <w:r w:rsidRPr="003619C0">
        <w:rPr>
          <w:bCs/>
        </w:rPr>
        <w:t>UE demodulation performance requirements for 2 RX antennas and full duplex FDD</w:t>
      </w:r>
    </w:p>
    <w:p w14:paraId="74C485A0" w14:textId="77777777" w:rsidR="00D04D43" w:rsidRPr="003619C0" w:rsidRDefault="00D04D43" w:rsidP="00D04D43">
      <w:pPr>
        <w:numPr>
          <w:ilvl w:val="1"/>
          <w:numId w:val="32"/>
        </w:numPr>
        <w:spacing w:after="0"/>
        <w:rPr>
          <w:bCs/>
        </w:rPr>
      </w:pPr>
      <w:r w:rsidRPr="003619C0">
        <w:rPr>
          <w:bCs/>
        </w:rPr>
        <w:t>Dual layer DL reception</w:t>
      </w:r>
    </w:p>
    <w:p w14:paraId="32474509" w14:textId="77777777" w:rsidR="00D04D43" w:rsidRPr="00195794" w:rsidRDefault="00D04D43" w:rsidP="00D04D43">
      <w:pPr>
        <w:numPr>
          <w:ilvl w:val="1"/>
          <w:numId w:val="32"/>
        </w:numPr>
        <w:spacing w:after="0"/>
        <w:rPr>
          <w:bCs/>
        </w:rPr>
      </w:pPr>
      <w:r w:rsidRPr="00195794">
        <w:rPr>
          <w:bCs/>
        </w:rPr>
        <w:t>Feedback based on CSI-RS</w:t>
      </w:r>
    </w:p>
    <w:p w14:paraId="7330321F" w14:textId="77777777" w:rsidR="00D04D43" w:rsidRPr="00195794" w:rsidRDefault="00D04D43" w:rsidP="00D04D43">
      <w:pPr>
        <w:numPr>
          <w:ilvl w:val="1"/>
          <w:numId w:val="32"/>
        </w:numPr>
        <w:spacing w:after="0"/>
        <w:rPr>
          <w:bCs/>
        </w:rPr>
      </w:pPr>
      <w:r w:rsidRPr="00195794">
        <w:rPr>
          <w:bCs/>
        </w:rPr>
        <w:t>ETWS/CMAS in connected mode</w:t>
      </w:r>
    </w:p>
    <w:p w14:paraId="1AFFD6E2" w14:textId="77777777" w:rsidR="00D04D43" w:rsidRPr="006B348D" w:rsidRDefault="00D04D43" w:rsidP="00D04D43">
      <w:pPr>
        <w:spacing w:after="0"/>
        <w:rPr>
          <w:bCs/>
          <w:lang w:val="en-US"/>
        </w:rPr>
      </w:pPr>
    </w:p>
    <w:p w14:paraId="63E36D3F"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Stand-alone deployment:</w:t>
      </w:r>
    </w:p>
    <w:p w14:paraId="26E2FF3A" w14:textId="77777777" w:rsidR="00D04D43" w:rsidRPr="003619C0" w:rsidRDefault="00D04D43" w:rsidP="00D04D43">
      <w:pPr>
        <w:numPr>
          <w:ilvl w:val="0"/>
          <w:numId w:val="32"/>
        </w:numPr>
        <w:spacing w:after="0"/>
        <w:rPr>
          <w:bCs/>
        </w:rPr>
      </w:pPr>
      <w:r w:rsidRPr="003619C0">
        <w:rPr>
          <w:bCs/>
        </w:rPr>
        <w:t>Enable the use of LTE control channel region for DL transmission (MPDCCH/PDSCH) to BL/CE UEs [RAN1, RAN2, RAN4]</w:t>
      </w:r>
    </w:p>
    <w:p w14:paraId="6D6618C7" w14:textId="77777777" w:rsidR="00D04D43" w:rsidRPr="003619C0" w:rsidRDefault="00D04D43" w:rsidP="00D04D43">
      <w:pPr>
        <w:numPr>
          <w:ilvl w:val="1"/>
          <w:numId w:val="32"/>
        </w:numPr>
        <w:spacing w:after="0"/>
        <w:rPr>
          <w:bCs/>
        </w:rPr>
      </w:pPr>
      <w:r w:rsidRPr="003619C0">
        <w:rPr>
          <w:bCs/>
        </w:rPr>
        <w:t>This deployment mode should support legacy operation for legacy BL/CE UEs.</w:t>
      </w:r>
    </w:p>
    <w:p w14:paraId="00D179CA" w14:textId="77777777" w:rsidR="00D04D43" w:rsidRPr="003619C0" w:rsidRDefault="00D04D43" w:rsidP="00D04D43">
      <w:pPr>
        <w:spacing w:after="0"/>
        <w:rPr>
          <w:b/>
          <w:bCs/>
        </w:rPr>
      </w:pPr>
    </w:p>
    <w:p w14:paraId="7F39F8A5"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Mobility Enhancement:</w:t>
      </w:r>
    </w:p>
    <w:p w14:paraId="6E04CFF8" w14:textId="77777777" w:rsidR="00D04D43" w:rsidRPr="003619C0" w:rsidRDefault="00D04D43" w:rsidP="00D04D43">
      <w:pPr>
        <w:numPr>
          <w:ilvl w:val="0"/>
          <w:numId w:val="35"/>
        </w:numPr>
        <w:spacing w:after="0"/>
        <w:rPr>
          <w:bCs/>
        </w:rPr>
      </w:pPr>
      <w:r w:rsidRPr="003619C0">
        <w:rPr>
          <w:bCs/>
        </w:rPr>
        <w:t>Consider improving the DL RSRP and, if needed, RSRQ measurement accuracy, through use of RSS [RAN1, RAN4, RAN2]</w:t>
      </w:r>
    </w:p>
    <w:p w14:paraId="49AB5667" w14:textId="77777777" w:rsidR="00D04D43" w:rsidRPr="003619C0" w:rsidRDefault="00D04D43" w:rsidP="00D04D43">
      <w:pPr>
        <w:numPr>
          <w:ilvl w:val="0"/>
          <w:numId w:val="35"/>
        </w:numPr>
        <w:spacing w:after="0"/>
        <w:rPr>
          <w:bCs/>
        </w:rPr>
      </w:pPr>
      <w:r w:rsidRPr="003619C0">
        <w:rPr>
          <w:bCs/>
        </w:rPr>
        <w:lastRenderedPageBreak/>
        <w:t>Specify relaxation of RRM measurements for serving cell for UEs using WUS for at least low mobility UEs [RAN4, RAN2]</w:t>
      </w:r>
    </w:p>
    <w:p w14:paraId="4D1E8A41" w14:textId="77777777" w:rsidR="00D04D43" w:rsidRPr="003619C0" w:rsidRDefault="00D04D43" w:rsidP="00D04D43">
      <w:pPr>
        <w:spacing w:after="0"/>
        <w:rPr>
          <w:b/>
          <w:bCs/>
        </w:rPr>
      </w:pPr>
      <w:bookmarkStart w:id="5" w:name="_Hlk516692042"/>
    </w:p>
    <w:p w14:paraId="27AABB7A" w14:textId="77777777" w:rsidR="00D04D43" w:rsidRPr="00D04D43" w:rsidRDefault="00D04D43" w:rsidP="00D04D43">
      <w:pPr>
        <w:spacing w:after="120"/>
        <w:rPr>
          <w:rFonts w:eastAsia="宋体"/>
          <w:b/>
          <w:bCs/>
          <w:u w:val="single"/>
          <w:lang w:val="en-US" w:eastAsia="en-US"/>
        </w:rPr>
      </w:pPr>
      <w:r w:rsidRPr="00D04D43">
        <w:rPr>
          <w:rFonts w:eastAsia="宋体"/>
          <w:b/>
          <w:bCs/>
          <w:u w:val="single"/>
          <w:lang w:val="en-US" w:eastAsia="en-US"/>
        </w:rPr>
        <w:t>Coexistence with NR</w:t>
      </w:r>
    </w:p>
    <w:p w14:paraId="5BE70552" w14:textId="77777777" w:rsidR="00D04D43" w:rsidRPr="000B60F1" w:rsidRDefault="00D04D43" w:rsidP="00D04D43">
      <w:pPr>
        <w:numPr>
          <w:ilvl w:val="0"/>
          <w:numId w:val="33"/>
        </w:numPr>
        <w:rPr>
          <w:bCs/>
        </w:rPr>
      </w:pPr>
      <w:r w:rsidRPr="000B60F1">
        <w:rPr>
          <w:bCs/>
        </w:rPr>
        <w:t xml:space="preserve">Study NR and LTE </w:t>
      </w:r>
      <w:r w:rsidRPr="00476596">
        <w:rPr>
          <w:bCs/>
        </w:rPr>
        <w:t>specifications to identify possible issues related to</w:t>
      </w:r>
      <w:r w:rsidRPr="00676F96">
        <w:rPr>
          <w:bCs/>
        </w:rPr>
        <w:t xml:space="preserve"> coexistence </w:t>
      </w:r>
      <w:r w:rsidRPr="000B60F1">
        <w:rPr>
          <w:bCs/>
        </w:rPr>
        <w:t>of LTE-MTC with NR [RAN4</w:t>
      </w:r>
      <w:r>
        <w:rPr>
          <w:bCs/>
        </w:rPr>
        <w:t>, RAN1, RAN2</w:t>
      </w:r>
      <w:r w:rsidRPr="000B60F1">
        <w:rPr>
          <w:bCs/>
        </w:rPr>
        <w:t>]</w:t>
      </w:r>
    </w:p>
    <w:p w14:paraId="2262A0BE" w14:textId="2D67ABA7" w:rsidR="00FA0631" w:rsidRDefault="00FA0631" w:rsidP="00FA761F">
      <w:pPr>
        <w:widowControl w:val="0"/>
        <w:wordWrap w:val="0"/>
        <w:spacing w:after="120"/>
        <w:contextualSpacing/>
        <w:jc w:val="both"/>
        <w:rPr>
          <w:rFonts w:eastAsia="Batang"/>
          <w:snapToGrid w:val="0"/>
          <w:kern w:val="2"/>
          <w:sz w:val="22"/>
          <w:szCs w:val="22"/>
          <w:lang w:eastAsia="ko-KR"/>
        </w:rPr>
      </w:pPr>
      <w:bookmarkStart w:id="6" w:name="_Ref178064866"/>
      <w:bookmarkEnd w:id="5"/>
      <w:r w:rsidRPr="00FA0631">
        <w:rPr>
          <w:rFonts w:eastAsia="Batang"/>
          <w:snapToGrid w:val="0"/>
          <w:kern w:val="2"/>
          <w:sz w:val="22"/>
          <w:szCs w:val="22"/>
          <w:lang w:eastAsia="ko-KR"/>
        </w:rPr>
        <w:t xml:space="preserve">In this contribution, we will </w:t>
      </w:r>
      <w:r w:rsidR="00FA761F">
        <w:rPr>
          <w:rFonts w:eastAsia="Batang"/>
          <w:snapToGrid w:val="0"/>
          <w:kern w:val="2"/>
          <w:sz w:val="22"/>
          <w:szCs w:val="22"/>
          <w:lang w:eastAsia="ko-KR"/>
        </w:rPr>
        <w:t xml:space="preserve">discuss the aspects </w:t>
      </w:r>
      <w:r w:rsidR="00D04D43">
        <w:rPr>
          <w:rFonts w:eastAsia="Batang"/>
          <w:snapToGrid w:val="0"/>
          <w:kern w:val="2"/>
          <w:sz w:val="22"/>
          <w:szCs w:val="22"/>
          <w:lang w:eastAsia="ko-KR"/>
        </w:rPr>
        <w:t>of</w:t>
      </w:r>
      <w:r w:rsidRPr="00FA0631">
        <w:rPr>
          <w:rFonts w:eastAsia="Batang"/>
          <w:snapToGrid w:val="0"/>
          <w:kern w:val="2"/>
          <w:sz w:val="22"/>
          <w:szCs w:val="22"/>
          <w:lang w:eastAsia="ko-KR"/>
        </w:rPr>
        <w:t xml:space="preserve"> </w:t>
      </w:r>
      <w:r w:rsidR="00D04D43">
        <w:rPr>
          <w:rFonts w:eastAsia="Batang"/>
          <w:snapToGrid w:val="0"/>
          <w:kern w:val="2"/>
          <w:sz w:val="22"/>
          <w:szCs w:val="22"/>
          <w:lang w:eastAsia="ko-KR"/>
        </w:rPr>
        <w:t xml:space="preserve">extreme coverage improvement </w:t>
      </w:r>
      <w:r w:rsidR="00D04D43" w:rsidRPr="003619C0">
        <w:rPr>
          <w:bCs/>
        </w:rPr>
        <w:t xml:space="preserve">for </w:t>
      </w:r>
      <w:r w:rsidR="00D04D43">
        <w:rPr>
          <w:bCs/>
        </w:rPr>
        <w:t xml:space="preserve">the </w:t>
      </w:r>
      <w:r w:rsidR="00D04D43" w:rsidRPr="003619C0">
        <w:rPr>
          <w:bCs/>
        </w:rPr>
        <w:t>non-BL UEs</w:t>
      </w:r>
      <w:r w:rsidRPr="00FA0631">
        <w:rPr>
          <w:rFonts w:eastAsia="Batang"/>
          <w:snapToGrid w:val="0"/>
          <w:kern w:val="2"/>
          <w:sz w:val="22"/>
          <w:szCs w:val="22"/>
          <w:lang w:eastAsia="ko-KR"/>
        </w:rPr>
        <w:t xml:space="preserve">. </w:t>
      </w:r>
    </w:p>
    <w:p w14:paraId="56AAF8D4" w14:textId="77777777" w:rsidR="00CB61F7" w:rsidRDefault="00CB61F7" w:rsidP="00FA761F">
      <w:pPr>
        <w:widowControl w:val="0"/>
        <w:wordWrap w:val="0"/>
        <w:spacing w:after="120"/>
        <w:contextualSpacing/>
        <w:jc w:val="both"/>
        <w:rPr>
          <w:rFonts w:eastAsia="Batang"/>
          <w:snapToGrid w:val="0"/>
          <w:kern w:val="2"/>
          <w:sz w:val="22"/>
          <w:szCs w:val="22"/>
          <w:lang w:eastAsia="ko-KR"/>
        </w:rPr>
      </w:pPr>
    </w:p>
    <w:p w14:paraId="6085A115" w14:textId="12DA86FC" w:rsidR="004000E8" w:rsidRDefault="00230D18" w:rsidP="00CE0424">
      <w:pPr>
        <w:pStyle w:val="Heading1"/>
      </w:pPr>
      <w:r>
        <w:t>2</w:t>
      </w:r>
      <w:r>
        <w:tab/>
      </w:r>
      <w:bookmarkEnd w:id="6"/>
      <w:r w:rsidR="00FA0631">
        <w:t>Discussion</w:t>
      </w:r>
    </w:p>
    <w:p w14:paraId="69226A60" w14:textId="0B10CF13" w:rsidR="004F24EC" w:rsidRDefault="004F24EC" w:rsidP="004F24EC">
      <w:pPr>
        <w:spacing w:after="120"/>
        <w:rPr>
          <w:bCs/>
        </w:rPr>
      </w:pPr>
      <w:r w:rsidRPr="004F24EC">
        <w:rPr>
          <w:rFonts w:eastAsia="宋体"/>
          <w:b/>
          <w:bCs/>
          <w:u w:val="single"/>
          <w:lang w:val="en-US" w:eastAsia="en-US"/>
        </w:rPr>
        <w:t>Enhancements to idle mode mobility</w:t>
      </w:r>
    </w:p>
    <w:p w14:paraId="1EE4D1BD" w14:textId="77777777" w:rsidR="004F24EC" w:rsidRDefault="004F24EC" w:rsidP="00CA03EB">
      <w:pPr>
        <w:widowControl w:val="0"/>
        <w:wordWrap w:val="0"/>
        <w:spacing w:after="120"/>
        <w:contextualSpacing/>
        <w:jc w:val="both"/>
        <w:rPr>
          <w:rFonts w:eastAsia="Batang"/>
          <w:snapToGrid w:val="0"/>
          <w:kern w:val="2"/>
          <w:sz w:val="22"/>
          <w:szCs w:val="22"/>
          <w:lang w:eastAsia="ko-KR"/>
        </w:rPr>
      </w:pPr>
    </w:p>
    <w:p w14:paraId="235C0BC3" w14:textId="18F21E2B" w:rsidR="00362588" w:rsidRDefault="00D14629"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val="en-US" w:eastAsia="ko-KR"/>
        </w:rPr>
        <w:t>From Rel-13,</w:t>
      </w:r>
      <w:r w:rsidR="00F03F18">
        <w:rPr>
          <w:rFonts w:eastAsia="Batang"/>
          <w:snapToGrid w:val="0"/>
          <w:kern w:val="2"/>
          <w:sz w:val="22"/>
          <w:szCs w:val="22"/>
          <w:lang w:eastAsia="ko-KR"/>
        </w:rPr>
        <w:t xml:space="preserve"> </w:t>
      </w:r>
      <w:proofErr w:type="spellStart"/>
      <w:r w:rsidR="00F03F18">
        <w:rPr>
          <w:rFonts w:eastAsia="Batang"/>
          <w:snapToGrid w:val="0"/>
          <w:kern w:val="2"/>
          <w:sz w:val="22"/>
          <w:szCs w:val="22"/>
          <w:lang w:eastAsia="ko-KR"/>
        </w:rPr>
        <w:t>eMTC</w:t>
      </w:r>
      <w:proofErr w:type="spellEnd"/>
      <w:r w:rsidR="00F03F18">
        <w:rPr>
          <w:rFonts w:eastAsia="Batang"/>
          <w:snapToGrid w:val="0"/>
          <w:kern w:val="2"/>
          <w:sz w:val="22"/>
          <w:szCs w:val="22"/>
          <w:lang w:eastAsia="ko-KR"/>
        </w:rPr>
        <w:t xml:space="preserve"> </w:t>
      </w:r>
      <w:r>
        <w:rPr>
          <w:rFonts w:eastAsia="Batang"/>
          <w:snapToGrid w:val="0"/>
          <w:kern w:val="2"/>
          <w:sz w:val="22"/>
          <w:szCs w:val="22"/>
          <w:lang w:eastAsia="ko-KR"/>
        </w:rPr>
        <w:t>can</w:t>
      </w:r>
      <w:r w:rsidR="00F03F18">
        <w:rPr>
          <w:rFonts w:eastAsia="Batang"/>
          <w:snapToGrid w:val="0"/>
          <w:kern w:val="2"/>
          <w:sz w:val="22"/>
          <w:szCs w:val="22"/>
          <w:lang w:eastAsia="ko-KR"/>
        </w:rPr>
        <w:t xml:space="preserve"> support idle mode inter-RAT cell reselection to EUTRA and GSM/GPRS. The objective </w:t>
      </w:r>
      <w:r>
        <w:rPr>
          <w:rFonts w:eastAsia="Batang"/>
          <w:snapToGrid w:val="0"/>
          <w:kern w:val="2"/>
          <w:sz w:val="22"/>
          <w:szCs w:val="22"/>
          <w:lang w:eastAsia="ko-KR"/>
        </w:rPr>
        <w:t xml:space="preserve">for idle mode mobility enhancements </w:t>
      </w:r>
      <w:r w:rsidR="00F03F18">
        <w:rPr>
          <w:rFonts w:eastAsia="Batang"/>
          <w:snapToGrid w:val="0"/>
          <w:kern w:val="2"/>
          <w:sz w:val="22"/>
          <w:szCs w:val="22"/>
          <w:lang w:eastAsia="ko-KR"/>
        </w:rPr>
        <w:t xml:space="preserve">is not clear. It would be good to have further clarification about the </w:t>
      </w:r>
      <w:r>
        <w:rPr>
          <w:rFonts w:eastAsia="Batang"/>
          <w:snapToGrid w:val="0"/>
          <w:kern w:val="2"/>
          <w:sz w:val="22"/>
          <w:szCs w:val="22"/>
          <w:lang w:eastAsia="ko-KR"/>
        </w:rPr>
        <w:t xml:space="preserve">required </w:t>
      </w:r>
      <w:r w:rsidR="00F03F18">
        <w:rPr>
          <w:rFonts w:eastAsia="Batang"/>
          <w:snapToGrid w:val="0"/>
          <w:kern w:val="2"/>
          <w:sz w:val="22"/>
          <w:szCs w:val="22"/>
          <w:lang w:eastAsia="ko-KR"/>
        </w:rPr>
        <w:t xml:space="preserve">enhancements to idle mode mobility for the non-BL UE. For example, </w:t>
      </w:r>
      <w:r>
        <w:rPr>
          <w:rFonts w:eastAsia="Batang"/>
          <w:snapToGrid w:val="0"/>
          <w:kern w:val="2"/>
          <w:sz w:val="22"/>
          <w:szCs w:val="22"/>
          <w:lang w:eastAsia="ko-KR"/>
        </w:rPr>
        <w:t xml:space="preserve">allowing </w:t>
      </w:r>
      <w:r w:rsidR="00F03F18">
        <w:rPr>
          <w:rFonts w:eastAsia="Batang"/>
          <w:snapToGrid w:val="0"/>
          <w:kern w:val="2"/>
          <w:sz w:val="22"/>
          <w:szCs w:val="22"/>
          <w:lang w:eastAsia="ko-KR"/>
        </w:rPr>
        <w:t>neighbouring cell measurement on the non-anchor carrier, or cell reselection to a NB-IoT cell.</w:t>
      </w:r>
    </w:p>
    <w:p w14:paraId="2659B4C4" w14:textId="2A448E86" w:rsidR="00F03F18" w:rsidRPr="0068319D" w:rsidRDefault="00F03F18" w:rsidP="00F03F18">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The objective of idle mode mobility </w:t>
      </w:r>
      <w:r w:rsidR="00BD4A48">
        <w:rPr>
          <w:sz w:val="22"/>
          <w:szCs w:val="22"/>
        </w:rPr>
        <w:t xml:space="preserve">enhancements </w:t>
      </w:r>
      <w:r>
        <w:rPr>
          <w:sz w:val="22"/>
          <w:szCs w:val="22"/>
        </w:rPr>
        <w:t xml:space="preserve">to the non-BL UE needs to be clarified. </w:t>
      </w:r>
    </w:p>
    <w:p w14:paraId="50173BB0" w14:textId="77777777" w:rsidR="00F03F18" w:rsidRPr="00BD4A48" w:rsidRDefault="00F03F18" w:rsidP="00CA03EB">
      <w:pPr>
        <w:widowControl w:val="0"/>
        <w:wordWrap w:val="0"/>
        <w:spacing w:after="120"/>
        <w:contextualSpacing/>
        <w:jc w:val="both"/>
        <w:rPr>
          <w:rFonts w:eastAsia="Batang"/>
          <w:snapToGrid w:val="0"/>
          <w:kern w:val="2"/>
          <w:sz w:val="22"/>
          <w:szCs w:val="22"/>
          <w:lang w:eastAsia="ko-KR"/>
        </w:rPr>
      </w:pPr>
    </w:p>
    <w:p w14:paraId="6532545F" w14:textId="7E08D844" w:rsidR="00F03F18" w:rsidRDefault="00BD4A48" w:rsidP="00BD4A48">
      <w:pPr>
        <w:spacing w:after="120"/>
        <w:rPr>
          <w:bCs/>
        </w:rPr>
      </w:pPr>
      <w:r w:rsidRPr="00BD4A48">
        <w:rPr>
          <w:rFonts w:eastAsia="宋体"/>
          <w:b/>
          <w:bCs/>
          <w:u w:val="single"/>
          <w:lang w:val="en-US" w:eastAsia="en-US"/>
        </w:rPr>
        <w:t xml:space="preserve">Dual layer </w:t>
      </w:r>
      <w:r>
        <w:rPr>
          <w:rFonts w:eastAsia="宋体"/>
          <w:b/>
          <w:bCs/>
          <w:u w:val="single"/>
          <w:lang w:val="en-US" w:eastAsia="en-US"/>
        </w:rPr>
        <w:t>downlink</w:t>
      </w:r>
      <w:r w:rsidRPr="00BD4A48">
        <w:rPr>
          <w:rFonts w:eastAsia="宋体"/>
          <w:b/>
          <w:bCs/>
          <w:u w:val="single"/>
          <w:lang w:val="en-US" w:eastAsia="en-US"/>
        </w:rPr>
        <w:t xml:space="preserve"> reception</w:t>
      </w:r>
    </w:p>
    <w:p w14:paraId="4FC069DC" w14:textId="77777777" w:rsidR="00BD4A48" w:rsidRDefault="00BD4A48" w:rsidP="00CA03EB">
      <w:pPr>
        <w:widowControl w:val="0"/>
        <w:wordWrap w:val="0"/>
        <w:spacing w:after="120"/>
        <w:contextualSpacing/>
        <w:jc w:val="both"/>
        <w:rPr>
          <w:rFonts w:eastAsia="Batang"/>
          <w:snapToGrid w:val="0"/>
          <w:kern w:val="2"/>
          <w:sz w:val="22"/>
          <w:szCs w:val="22"/>
          <w:lang w:eastAsia="ko-KR"/>
        </w:rPr>
      </w:pPr>
    </w:p>
    <w:p w14:paraId="15FAB23D" w14:textId="5C5F300A" w:rsidR="00BD4A48" w:rsidRDefault="00BD4A4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Single RX antenna is assumed in Rel-13 </w:t>
      </w:r>
      <w:proofErr w:type="spellStart"/>
      <w:r>
        <w:rPr>
          <w:rFonts w:eastAsia="Batang"/>
          <w:snapToGrid w:val="0"/>
          <w:kern w:val="2"/>
          <w:sz w:val="22"/>
          <w:szCs w:val="22"/>
          <w:lang w:eastAsia="ko-KR"/>
        </w:rPr>
        <w:t>eMTC</w:t>
      </w:r>
      <w:proofErr w:type="spellEnd"/>
      <w:r>
        <w:rPr>
          <w:rFonts w:eastAsia="Batang"/>
          <w:snapToGrid w:val="0"/>
          <w:kern w:val="2"/>
          <w:sz w:val="22"/>
          <w:szCs w:val="22"/>
          <w:lang w:eastAsia="ko-KR"/>
        </w:rPr>
        <w:t xml:space="preserve"> and the later releases. For the non-BL UE, it is likely that 2 RX antenna</w:t>
      </w:r>
      <w:r w:rsidR="00185688">
        <w:rPr>
          <w:rFonts w:eastAsia="Batang"/>
          <w:snapToGrid w:val="0"/>
          <w:kern w:val="2"/>
          <w:sz w:val="22"/>
          <w:szCs w:val="22"/>
          <w:lang w:eastAsia="ko-KR"/>
        </w:rPr>
        <w:t>s</w:t>
      </w:r>
      <w:r>
        <w:rPr>
          <w:rFonts w:eastAsia="Batang"/>
          <w:snapToGrid w:val="0"/>
          <w:kern w:val="2"/>
          <w:sz w:val="22"/>
          <w:szCs w:val="22"/>
          <w:lang w:eastAsia="ko-KR"/>
        </w:rPr>
        <w:t xml:space="preserve"> </w:t>
      </w:r>
      <w:r w:rsidR="00185688">
        <w:rPr>
          <w:rFonts w:eastAsia="Batang"/>
          <w:snapToGrid w:val="0"/>
          <w:kern w:val="2"/>
          <w:sz w:val="22"/>
          <w:szCs w:val="22"/>
          <w:lang w:eastAsia="ko-KR"/>
        </w:rPr>
        <w:t>are</w:t>
      </w:r>
      <w:r>
        <w:rPr>
          <w:rFonts w:eastAsia="Batang"/>
          <w:snapToGrid w:val="0"/>
          <w:kern w:val="2"/>
          <w:sz w:val="22"/>
          <w:szCs w:val="22"/>
          <w:lang w:eastAsia="ko-KR"/>
        </w:rPr>
        <w:t xml:space="preserve"> used for improving the performance and thus possible to support dual layer transmission for achieving </w:t>
      </w:r>
      <w:r w:rsidR="00185688">
        <w:rPr>
          <w:rFonts w:eastAsia="Batang"/>
          <w:snapToGrid w:val="0"/>
          <w:kern w:val="2"/>
          <w:sz w:val="22"/>
          <w:szCs w:val="22"/>
          <w:lang w:eastAsia="ko-KR"/>
        </w:rPr>
        <w:t>more throughput</w:t>
      </w:r>
      <w:r>
        <w:rPr>
          <w:rFonts w:eastAsia="Batang"/>
          <w:snapToGrid w:val="0"/>
          <w:kern w:val="2"/>
          <w:sz w:val="22"/>
          <w:szCs w:val="22"/>
          <w:lang w:eastAsia="ko-KR"/>
        </w:rPr>
        <w:t xml:space="preserve">. </w:t>
      </w:r>
      <w:r w:rsidR="00D14629">
        <w:rPr>
          <w:rFonts w:eastAsia="Batang"/>
          <w:snapToGrid w:val="0"/>
          <w:kern w:val="2"/>
          <w:sz w:val="22"/>
          <w:szCs w:val="22"/>
          <w:lang w:eastAsia="ko-KR"/>
        </w:rPr>
        <w:t>In</w:t>
      </w:r>
      <w:r w:rsidR="00185688">
        <w:rPr>
          <w:rFonts w:eastAsia="Batang"/>
          <w:snapToGrid w:val="0"/>
          <w:kern w:val="2"/>
          <w:sz w:val="22"/>
          <w:szCs w:val="22"/>
          <w:lang w:eastAsia="ko-KR"/>
        </w:rPr>
        <w:t xml:space="preserve"> Rel-14 </w:t>
      </w:r>
      <w:r w:rsidR="00D14629">
        <w:rPr>
          <w:rFonts w:eastAsia="Batang"/>
          <w:snapToGrid w:val="0"/>
          <w:kern w:val="2"/>
          <w:sz w:val="22"/>
          <w:szCs w:val="22"/>
          <w:lang w:eastAsia="ko-KR"/>
        </w:rPr>
        <w:t xml:space="preserve">the </w:t>
      </w:r>
      <w:r w:rsidR="00185688">
        <w:rPr>
          <w:rFonts w:eastAsia="Batang"/>
          <w:snapToGrid w:val="0"/>
          <w:kern w:val="2"/>
          <w:sz w:val="22"/>
          <w:szCs w:val="22"/>
          <w:lang w:eastAsia="ko-KR"/>
        </w:rPr>
        <w:t>non-BL UE supports rank 1 transmission with a peak rate of 27.376Mbps for 20MHz PDSCH. To further increase the downlink data rate, spatial multiplexing MIMO shall be used. However, it is noted that the received SNR of the non-BL UE is low</w:t>
      </w:r>
      <w:r w:rsidR="00D14629">
        <w:rPr>
          <w:rFonts w:eastAsia="Batang"/>
          <w:snapToGrid w:val="0"/>
          <w:kern w:val="2"/>
          <w:sz w:val="22"/>
          <w:szCs w:val="22"/>
          <w:lang w:eastAsia="ko-KR"/>
        </w:rPr>
        <w:t>er</w:t>
      </w:r>
      <w:r w:rsidR="00185688">
        <w:rPr>
          <w:rFonts w:eastAsia="Batang"/>
          <w:snapToGrid w:val="0"/>
          <w:kern w:val="2"/>
          <w:sz w:val="22"/>
          <w:szCs w:val="22"/>
          <w:lang w:eastAsia="ko-KR"/>
        </w:rPr>
        <w:t xml:space="preserve"> </w:t>
      </w:r>
      <w:r w:rsidR="00D14629">
        <w:rPr>
          <w:rFonts w:eastAsia="Batang"/>
          <w:snapToGrid w:val="0"/>
          <w:kern w:val="2"/>
          <w:sz w:val="22"/>
          <w:szCs w:val="22"/>
          <w:lang w:eastAsia="ko-KR"/>
        </w:rPr>
        <w:t>as compared to LTE</w:t>
      </w:r>
      <w:r w:rsidR="00185688">
        <w:rPr>
          <w:rFonts w:eastAsia="Batang"/>
          <w:snapToGrid w:val="0"/>
          <w:kern w:val="2"/>
          <w:sz w:val="22"/>
          <w:szCs w:val="22"/>
          <w:lang w:eastAsia="ko-KR"/>
        </w:rPr>
        <w:t xml:space="preserve">. The coverage enhancement mode </w:t>
      </w:r>
      <w:r w:rsidR="00052373">
        <w:rPr>
          <w:rFonts w:eastAsia="Batang"/>
          <w:snapToGrid w:val="0"/>
          <w:kern w:val="2"/>
          <w:sz w:val="22"/>
          <w:szCs w:val="22"/>
          <w:lang w:eastAsia="ko-KR"/>
        </w:rPr>
        <w:t xml:space="preserve">is </w:t>
      </w:r>
      <w:r w:rsidR="00185688">
        <w:rPr>
          <w:rFonts w:eastAsia="Batang"/>
          <w:snapToGrid w:val="0"/>
          <w:kern w:val="2"/>
          <w:sz w:val="22"/>
          <w:szCs w:val="22"/>
          <w:lang w:eastAsia="ko-KR"/>
        </w:rPr>
        <w:t xml:space="preserve">used to increase the received SNR for the non-BL UE. At such low SNR, there is no throughput gain by using dual layer transmission of TM3 compared to TM2. </w:t>
      </w:r>
    </w:p>
    <w:p w14:paraId="59266EE1" w14:textId="77777777" w:rsidR="00BD4A48" w:rsidRPr="00D14629" w:rsidRDefault="00BD4A48" w:rsidP="00CA03EB">
      <w:pPr>
        <w:widowControl w:val="0"/>
        <w:wordWrap w:val="0"/>
        <w:spacing w:after="120"/>
        <w:contextualSpacing/>
        <w:jc w:val="both"/>
        <w:rPr>
          <w:rFonts w:eastAsia="Batang"/>
          <w:snapToGrid w:val="0"/>
          <w:kern w:val="2"/>
          <w:sz w:val="22"/>
          <w:szCs w:val="22"/>
          <w:lang w:eastAsia="ko-KR"/>
        </w:rPr>
      </w:pPr>
    </w:p>
    <w:p w14:paraId="5F0F4EEB" w14:textId="54347129" w:rsidR="00052373" w:rsidRPr="0068319D" w:rsidRDefault="00052373" w:rsidP="00052373">
      <w:pPr>
        <w:pStyle w:val="LGTdoc1"/>
        <w:spacing w:beforeLines="0" w:before="120" w:after="220" w:afterAutospacing="0"/>
        <w:rPr>
          <w:sz w:val="22"/>
          <w:szCs w:val="22"/>
        </w:rPr>
      </w:pPr>
      <w:r>
        <w:rPr>
          <w:sz w:val="22"/>
          <w:szCs w:val="22"/>
          <w:u w:val="single"/>
        </w:rPr>
        <w:t>Proposal 2</w:t>
      </w:r>
      <w:r w:rsidRPr="0068319D">
        <w:rPr>
          <w:sz w:val="22"/>
          <w:szCs w:val="22"/>
          <w:u w:val="single"/>
        </w:rPr>
        <w:t>:</w:t>
      </w:r>
      <w:r w:rsidRPr="0068319D">
        <w:rPr>
          <w:sz w:val="22"/>
          <w:szCs w:val="22"/>
        </w:rPr>
        <w:t xml:space="preserve"> </w:t>
      </w:r>
      <w:r w:rsidR="00D14629">
        <w:rPr>
          <w:sz w:val="22"/>
          <w:szCs w:val="22"/>
        </w:rPr>
        <w:t xml:space="preserve">The support of dual layer downlink transmission shall be justified based on the performance evaluation of </w:t>
      </w:r>
      <w:r>
        <w:rPr>
          <w:sz w:val="22"/>
          <w:szCs w:val="22"/>
        </w:rPr>
        <w:t xml:space="preserve">TM3 over TM2 for PDSCH with repetition. </w:t>
      </w:r>
    </w:p>
    <w:p w14:paraId="3B017D57" w14:textId="77777777" w:rsidR="00052373" w:rsidRDefault="00052373" w:rsidP="00052373">
      <w:pPr>
        <w:spacing w:after="120"/>
        <w:rPr>
          <w:rFonts w:eastAsia="宋体"/>
          <w:b/>
          <w:bCs/>
          <w:u w:val="single"/>
          <w:lang w:val="en-US" w:eastAsia="en-US"/>
        </w:rPr>
      </w:pPr>
    </w:p>
    <w:p w14:paraId="0E8F9219" w14:textId="530A85DD" w:rsidR="00052373" w:rsidRDefault="00052373" w:rsidP="00052373">
      <w:pPr>
        <w:spacing w:after="120"/>
        <w:rPr>
          <w:rFonts w:eastAsia="宋体"/>
          <w:b/>
          <w:bCs/>
          <w:u w:val="single"/>
          <w:lang w:val="en-US" w:eastAsia="en-US"/>
        </w:rPr>
      </w:pPr>
      <w:r>
        <w:rPr>
          <w:rFonts w:eastAsia="宋体"/>
          <w:b/>
          <w:bCs/>
          <w:u w:val="single"/>
          <w:lang w:val="en-US" w:eastAsia="en-US"/>
        </w:rPr>
        <w:t>Feedback based on CSI-RS</w:t>
      </w:r>
    </w:p>
    <w:p w14:paraId="55BE5423" w14:textId="77777777" w:rsidR="00052373" w:rsidRDefault="00052373" w:rsidP="00052373">
      <w:pPr>
        <w:spacing w:after="120"/>
        <w:rPr>
          <w:bCs/>
        </w:rPr>
      </w:pPr>
    </w:p>
    <w:p w14:paraId="77A5CD5F" w14:textId="230C3FF2" w:rsidR="00052373" w:rsidRDefault="00052373"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Currently</w:t>
      </w:r>
      <w:r w:rsidR="000E7FC6">
        <w:rPr>
          <w:rFonts w:eastAsia="Batang"/>
          <w:snapToGrid w:val="0"/>
          <w:kern w:val="2"/>
          <w:sz w:val="22"/>
          <w:szCs w:val="22"/>
          <w:lang w:eastAsia="ko-KR"/>
        </w:rPr>
        <w:t xml:space="preserve"> in </w:t>
      </w:r>
      <w:proofErr w:type="spellStart"/>
      <w:r w:rsidR="000E7FC6">
        <w:rPr>
          <w:rFonts w:eastAsia="Batang"/>
          <w:snapToGrid w:val="0"/>
          <w:kern w:val="2"/>
          <w:sz w:val="22"/>
          <w:szCs w:val="22"/>
          <w:lang w:eastAsia="ko-KR"/>
        </w:rPr>
        <w:t>eMTC</w:t>
      </w:r>
      <w:proofErr w:type="spellEnd"/>
      <w:r>
        <w:rPr>
          <w:rFonts w:eastAsia="Batang"/>
          <w:snapToGrid w:val="0"/>
          <w:kern w:val="2"/>
          <w:sz w:val="22"/>
          <w:szCs w:val="22"/>
          <w:lang w:eastAsia="ko-KR"/>
        </w:rPr>
        <w:t xml:space="preserve">, transmission mode 1, 6 and 9 can be configured for downlink transmission. TM1 and 6 use CRS for PDSCH data demodulation and TM9 is based on UE specific DMRS. For CSI feedback, CRS is used even for TM9. The potential issue for CSI feedback </w:t>
      </w:r>
      <w:r w:rsidR="00D14629">
        <w:rPr>
          <w:rFonts w:eastAsia="Batang"/>
          <w:snapToGrid w:val="0"/>
          <w:kern w:val="2"/>
          <w:sz w:val="22"/>
          <w:szCs w:val="22"/>
          <w:lang w:eastAsia="ko-KR"/>
        </w:rPr>
        <w:t>using</w:t>
      </w:r>
      <w:r w:rsidR="000E7FC6">
        <w:rPr>
          <w:rFonts w:eastAsia="Batang"/>
          <w:snapToGrid w:val="0"/>
          <w:kern w:val="2"/>
          <w:sz w:val="22"/>
          <w:szCs w:val="22"/>
          <w:lang w:eastAsia="ko-KR"/>
        </w:rPr>
        <w:t xml:space="preserve"> CRS </w:t>
      </w:r>
      <w:r>
        <w:rPr>
          <w:rFonts w:eastAsia="Batang"/>
          <w:snapToGrid w:val="0"/>
          <w:kern w:val="2"/>
          <w:sz w:val="22"/>
          <w:szCs w:val="22"/>
          <w:lang w:eastAsia="ko-KR"/>
        </w:rPr>
        <w:t xml:space="preserve">in TM9 is the mis-alignment between antenna ports for CSI measurement and antenna </w:t>
      </w:r>
      <w:r w:rsidR="000E7FC6">
        <w:rPr>
          <w:rFonts w:eastAsia="Batang"/>
          <w:snapToGrid w:val="0"/>
          <w:kern w:val="2"/>
          <w:sz w:val="22"/>
          <w:szCs w:val="22"/>
          <w:lang w:eastAsia="ko-KR"/>
        </w:rPr>
        <w:t>ports for PDSCH transmission since the number of CRS ports is only up to 4 but the number of antenna ports for PDSCH transmission in TM9 can be up to 8. Due to the mis-alignment the reported CQI may underestimate the actual channel quality thus degrading the PDSCH performance. Since CSI-RS is used for CSI feedback for TM9 in LTE, it seems straightforward to use also CSI-RS for the non-BL UE configured with TM9.</w:t>
      </w:r>
    </w:p>
    <w:p w14:paraId="4F6B4E0C" w14:textId="77777777" w:rsidR="000E7FC6" w:rsidRDefault="000E7FC6" w:rsidP="00CA03EB">
      <w:pPr>
        <w:widowControl w:val="0"/>
        <w:wordWrap w:val="0"/>
        <w:spacing w:after="120"/>
        <w:contextualSpacing/>
        <w:jc w:val="both"/>
        <w:rPr>
          <w:rFonts w:eastAsia="Batang"/>
          <w:snapToGrid w:val="0"/>
          <w:kern w:val="2"/>
          <w:sz w:val="22"/>
          <w:szCs w:val="22"/>
          <w:lang w:eastAsia="ko-KR"/>
        </w:rPr>
      </w:pPr>
    </w:p>
    <w:p w14:paraId="6E98E1BF" w14:textId="05522C19" w:rsidR="00052373" w:rsidRDefault="000E7FC6"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To </w:t>
      </w:r>
      <w:r w:rsidR="00D14629">
        <w:rPr>
          <w:rFonts w:eastAsia="Batang"/>
          <w:snapToGrid w:val="0"/>
          <w:kern w:val="2"/>
          <w:sz w:val="22"/>
          <w:szCs w:val="22"/>
          <w:lang w:eastAsia="ko-KR"/>
        </w:rPr>
        <w:t>support</w:t>
      </w:r>
      <w:r>
        <w:rPr>
          <w:rFonts w:eastAsia="Batang" w:hint="eastAsia"/>
          <w:snapToGrid w:val="0"/>
          <w:kern w:val="2"/>
          <w:sz w:val="22"/>
          <w:szCs w:val="22"/>
          <w:lang w:eastAsia="ko-KR"/>
        </w:rPr>
        <w:t xml:space="preserve"> </w:t>
      </w:r>
      <w:r w:rsidR="00D14629">
        <w:rPr>
          <w:rFonts w:eastAsia="Batang"/>
          <w:snapToGrid w:val="0"/>
          <w:kern w:val="2"/>
          <w:sz w:val="22"/>
          <w:szCs w:val="22"/>
          <w:lang w:eastAsia="ko-KR"/>
        </w:rPr>
        <w:t xml:space="preserve">CSI feedback based on </w:t>
      </w:r>
      <w:r>
        <w:rPr>
          <w:rFonts w:eastAsia="Batang" w:hint="eastAsia"/>
          <w:snapToGrid w:val="0"/>
          <w:kern w:val="2"/>
          <w:sz w:val="22"/>
          <w:szCs w:val="22"/>
          <w:lang w:eastAsia="ko-KR"/>
        </w:rPr>
        <w:t xml:space="preserve">CSI-RS </w:t>
      </w:r>
      <w:r w:rsidR="00D14629">
        <w:rPr>
          <w:rFonts w:eastAsia="Batang"/>
          <w:snapToGrid w:val="0"/>
          <w:kern w:val="2"/>
          <w:sz w:val="22"/>
          <w:szCs w:val="22"/>
          <w:lang w:eastAsia="ko-KR"/>
        </w:rPr>
        <w:t>for</w:t>
      </w:r>
      <w:r>
        <w:rPr>
          <w:rFonts w:eastAsia="Batang" w:hint="eastAsia"/>
          <w:snapToGrid w:val="0"/>
          <w:kern w:val="2"/>
          <w:sz w:val="22"/>
          <w:szCs w:val="22"/>
          <w:lang w:eastAsia="ko-KR"/>
        </w:rPr>
        <w:t xml:space="preserve"> the non-BL UE, the following things need to be considered.</w:t>
      </w:r>
      <w:r>
        <w:rPr>
          <w:rFonts w:eastAsia="Batang"/>
          <w:snapToGrid w:val="0"/>
          <w:kern w:val="2"/>
          <w:sz w:val="22"/>
          <w:szCs w:val="22"/>
          <w:lang w:eastAsia="ko-KR"/>
        </w:rPr>
        <w:t xml:space="preserve"> Firstly, the CSI feedback overhead will be increased. Currently, the BL/CE UE or the Rel-14 non-BL UE is required to report CQI and/or PMI where the PMI is either 2 or 4 bits dependent on the number of CRS antenna ports</w:t>
      </w:r>
      <w:r w:rsidR="006874BA">
        <w:rPr>
          <w:rFonts w:eastAsia="Batang"/>
          <w:snapToGrid w:val="0"/>
          <w:kern w:val="2"/>
          <w:sz w:val="22"/>
          <w:szCs w:val="22"/>
          <w:lang w:eastAsia="ko-KR"/>
        </w:rPr>
        <w:t>, and the CQI and PMI are jointly feedback in one report</w:t>
      </w:r>
      <w:r>
        <w:rPr>
          <w:rFonts w:eastAsia="Batang"/>
          <w:snapToGrid w:val="0"/>
          <w:kern w:val="2"/>
          <w:sz w:val="22"/>
          <w:szCs w:val="22"/>
          <w:lang w:eastAsia="ko-KR"/>
        </w:rPr>
        <w:t xml:space="preserve">. When using CSI-RS for CSI feedback, the number of CSI-RS ports can be up to 8 and the PMI payload </w:t>
      </w:r>
      <w:r w:rsidR="00D14629">
        <w:rPr>
          <w:rFonts w:eastAsia="Batang"/>
          <w:snapToGrid w:val="0"/>
          <w:kern w:val="2"/>
          <w:sz w:val="22"/>
          <w:szCs w:val="22"/>
          <w:lang w:eastAsia="ko-KR"/>
        </w:rPr>
        <w:t>is also increased to maximum 8 bits</w:t>
      </w:r>
      <w:r w:rsidR="006874BA">
        <w:rPr>
          <w:rFonts w:eastAsia="Batang"/>
          <w:snapToGrid w:val="0"/>
          <w:kern w:val="2"/>
          <w:sz w:val="22"/>
          <w:szCs w:val="22"/>
          <w:lang w:eastAsia="ko-KR"/>
        </w:rPr>
        <w:t xml:space="preserve">, and the RI feedback may need to be supported also. Therefore, it is not possible to feedback all the CSI including RI, CQI </w:t>
      </w:r>
      <w:r w:rsidR="006874BA">
        <w:rPr>
          <w:rFonts w:eastAsia="Batang"/>
          <w:snapToGrid w:val="0"/>
          <w:kern w:val="2"/>
          <w:sz w:val="22"/>
          <w:szCs w:val="22"/>
          <w:lang w:eastAsia="ko-KR"/>
        </w:rPr>
        <w:lastRenderedPageBreak/>
        <w:t xml:space="preserve">and PMI </w:t>
      </w:r>
      <w:r w:rsidR="00A753AC">
        <w:rPr>
          <w:rFonts w:eastAsia="Batang"/>
          <w:snapToGrid w:val="0"/>
          <w:kern w:val="2"/>
          <w:sz w:val="22"/>
          <w:szCs w:val="22"/>
          <w:lang w:eastAsia="ko-KR"/>
        </w:rPr>
        <w:t>within</w:t>
      </w:r>
      <w:r w:rsidR="006874BA">
        <w:rPr>
          <w:rFonts w:eastAsia="Batang"/>
          <w:snapToGrid w:val="0"/>
          <w:kern w:val="2"/>
          <w:sz w:val="22"/>
          <w:szCs w:val="22"/>
          <w:lang w:eastAsia="ko-KR"/>
        </w:rPr>
        <w:t xml:space="preserve"> one </w:t>
      </w:r>
      <w:r w:rsidR="00A753AC">
        <w:rPr>
          <w:rFonts w:eastAsia="Batang"/>
          <w:snapToGrid w:val="0"/>
          <w:kern w:val="2"/>
          <w:sz w:val="22"/>
          <w:szCs w:val="22"/>
          <w:lang w:eastAsia="ko-KR"/>
        </w:rPr>
        <w:t xml:space="preserve">CSI </w:t>
      </w:r>
      <w:r w:rsidR="006874BA">
        <w:rPr>
          <w:rFonts w:eastAsia="Batang"/>
          <w:snapToGrid w:val="0"/>
          <w:kern w:val="2"/>
          <w:sz w:val="22"/>
          <w:szCs w:val="22"/>
          <w:lang w:eastAsia="ko-KR"/>
        </w:rPr>
        <w:t>report. According to LTE, at least two reports are needed</w:t>
      </w:r>
      <w:r w:rsidR="00D14629">
        <w:rPr>
          <w:rFonts w:eastAsia="Batang"/>
          <w:snapToGrid w:val="0"/>
          <w:kern w:val="2"/>
          <w:sz w:val="22"/>
          <w:szCs w:val="22"/>
          <w:lang w:eastAsia="ko-KR"/>
        </w:rPr>
        <w:t xml:space="preserve"> for PUCCH mode 1-1</w:t>
      </w:r>
      <w:r w:rsidR="006874BA">
        <w:rPr>
          <w:rFonts w:eastAsia="Batang"/>
          <w:snapToGrid w:val="0"/>
          <w:kern w:val="2"/>
          <w:sz w:val="22"/>
          <w:szCs w:val="22"/>
          <w:lang w:eastAsia="ko-KR"/>
        </w:rPr>
        <w:t xml:space="preserve">, one for RI/W1 and the other for W2/CQI. The multiple CSI reports will </w:t>
      </w:r>
      <w:r w:rsidR="00D14629">
        <w:rPr>
          <w:rFonts w:eastAsia="Batang"/>
          <w:snapToGrid w:val="0"/>
          <w:kern w:val="2"/>
          <w:sz w:val="22"/>
          <w:szCs w:val="22"/>
          <w:lang w:eastAsia="ko-KR"/>
        </w:rPr>
        <w:t>result in</w:t>
      </w:r>
      <w:r w:rsidR="006874BA">
        <w:rPr>
          <w:rFonts w:eastAsia="Batang"/>
          <w:snapToGrid w:val="0"/>
          <w:kern w:val="2"/>
          <w:sz w:val="22"/>
          <w:szCs w:val="22"/>
          <w:lang w:eastAsia="ko-KR"/>
        </w:rPr>
        <w:t xml:space="preserve"> error propagation and </w:t>
      </w:r>
      <w:r w:rsidR="00D14629">
        <w:rPr>
          <w:rFonts w:eastAsia="Batang"/>
          <w:snapToGrid w:val="0"/>
          <w:kern w:val="2"/>
          <w:sz w:val="22"/>
          <w:szCs w:val="22"/>
          <w:lang w:eastAsia="ko-KR"/>
        </w:rPr>
        <w:t xml:space="preserve">increase </w:t>
      </w:r>
      <w:r w:rsidR="006874BA">
        <w:rPr>
          <w:rFonts w:eastAsia="Batang"/>
          <w:snapToGrid w:val="0"/>
          <w:kern w:val="2"/>
          <w:sz w:val="22"/>
          <w:szCs w:val="22"/>
          <w:lang w:eastAsia="ko-KR"/>
        </w:rPr>
        <w:t xml:space="preserve">the feedback latency. Considering repetition may also be used for CSI feedback, </w:t>
      </w:r>
      <w:r w:rsidR="00A753AC">
        <w:rPr>
          <w:rFonts w:eastAsia="Batang"/>
          <w:snapToGrid w:val="0"/>
          <w:kern w:val="2"/>
          <w:sz w:val="22"/>
          <w:szCs w:val="22"/>
          <w:lang w:eastAsia="ko-KR"/>
        </w:rPr>
        <w:t>multiple CSI reports are not preferred.</w:t>
      </w:r>
      <w:r w:rsidR="006874BA">
        <w:rPr>
          <w:rFonts w:eastAsia="Batang"/>
          <w:snapToGrid w:val="0"/>
          <w:kern w:val="2"/>
          <w:sz w:val="22"/>
          <w:szCs w:val="22"/>
          <w:lang w:eastAsia="ko-KR"/>
        </w:rPr>
        <w:t xml:space="preserve"> </w:t>
      </w:r>
      <w:r>
        <w:rPr>
          <w:rFonts w:eastAsia="Batang"/>
          <w:snapToGrid w:val="0"/>
          <w:kern w:val="2"/>
          <w:sz w:val="22"/>
          <w:szCs w:val="22"/>
          <w:lang w:eastAsia="ko-KR"/>
        </w:rPr>
        <w:t xml:space="preserve">  </w:t>
      </w:r>
    </w:p>
    <w:p w14:paraId="7BEAD787" w14:textId="7B5B4EAD" w:rsidR="000E7FC6" w:rsidRDefault="000E7FC6" w:rsidP="00CA03EB">
      <w:pPr>
        <w:widowControl w:val="0"/>
        <w:wordWrap w:val="0"/>
        <w:spacing w:after="120"/>
        <w:contextualSpacing/>
        <w:jc w:val="both"/>
        <w:rPr>
          <w:rFonts w:eastAsia="Batang"/>
          <w:snapToGrid w:val="0"/>
          <w:kern w:val="2"/>
          <w:sz w:val="22"/>
          <w:szCs w:val="22"/>
          <w:lang w:eastAsia="ko-KR"/>
        </w:rPr>
      </w:pPr>
    </w:p>
    <w:p w14:paraId="79A985DE" w14:textId="7ABFC1DD" w:rsidR="00A753AC" w:rsidRPr="0068319D" w:rsidRDefault="00A753AC" w:rsidP="00A753AC">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CSI-RS based CSI feedback may increase the feedback overhead and report </w:t>
      </w:r>
      <w:r w:rsidR="00A96290">
        <w:rPr>
          <w:sz w:val="22"/>
          <w:szCs w:val="22"/>
        </w:rPr>
        <w:t xml:space="preserve">the </w:t>
      </w:r>
      <w:r>
        <w:rPr>
          <w:sz w:val="22"/>
          <w:szCs w:val="22"/>
        </w:rPr>
        <w:t xml:space="preserve">CSI </w:t>
      </w:r>
      <w:r w:rsidR="00A96290">
        <w:rPr>
          <w:sz w:val="22"/>
          <w:szCs w:val="22"/>
        </w:rPr>
        <w:t>with</w:t>
      </w:r>
      <w:r>
        <w:rPr>
          <w:sz w:val="22"/>
          <w:szCs w:val="22"/>
        </w:rPr>
        <w:t xml:space="preserve"> multiple reports </w:t>
      </w:r>
    </w:p>
    <w:p w14:paraId="78E62DC4" w14:textId="77777777" w:rsidR="000E7FC6" w:rsidRPr="00A753AC" w:rsidRDefault="000E7FC6" w:rsidP="00CA03EB">
      <w:pPr>
        <w:widowControl w:val="0"/>
        <w:wordWrap w:val="0"/>
        <w:spacing w:after="120"/>
        <w:contextualSpacing/>
        <w:jc w:val="both"/>
        <w:rPr>
          <w:rFonts w:eastAsia="Batang"/>
          <w:snapToGrid w:val="0"/>
          <w:kern w:val="2"/>
          <w:sz w:val="22"/>
          <w:szCs w:val="22"/>
          <w:lang w:eastAsia="ko-KR"/>
        </w:rPr>
      </w:pPr>
    </w:p>
    <w:p w14:paraId="5E037B84" w14:textId="55CE0DF2" w:rsidR="00A753AC" w:rsidRDefault="00A753AC"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Secondly, when CSI-RS is used for CSI measurement, UE may need to measure the CSI-RS in multiple subframes derive </w:t>
      </w:r>
      <w:r w:rsidR="005F50DB">
        <w:rPr>
          <w:rFonts w:eastAsia="Batang"/>
          <w:snapToGrid w:val="0"/>
          <w:kern w:val="2"/>
          <w:sz w:val="22"/>
          <w:szCs w:val="22"/>
          <w:lang w:eastAsia="ko-KR"/>
        </w:rPr>
        <w:t>the CQI</w:t>
      </w:r>
      <w:r>
        <w:rPr>
          <w:rFonts w:eastAsia="Batang"/>
          <w:snapToGrid w:val="0"/>
          <w:kern w:val="2"/>
          <w:sz w:val="22"/>
          <w:szCs w:val="22"/>
          <w:lang w:eastAsia="ko-KR"/>
        </w:rPr>
        <w:t xml:space="preserve">. In Rel-13 </w:t>
      </w:r>
      <w:proofErr w:type="spellStart"/>
      <w:r>
        <w:rPr>
          <w:rFonts w:eastAsia="Batang"/>
          <w:snapToGrid w:val="0"/>
          <w:kern w:val="2"/>
          <w:sz w:val="22"/>
          <w:szCs w:val="22"/>
          <w:lang w:eastAsia="ko-KR"/>
        </w:rPr>
        <w:t>eMTC</w:t>
      </w:r>
      <w:proofErr w:type="spellEnd"/>
      <w:r>
        <w:rPr>
          <w:rFonts w:eastAsia="Batang"/>
          <w:snapToGrid w:val="0"/>
          <w:kern w:val="2"/>
          <w:sz w:val="22"/>
          <w:szCs w:val="22"/>
          <w:lang w:eastAsia="ko-KR"/>
        </w:rPr>
        <w:t xml:space="preserve">, the number of repetition for CSI is higher layer configured with a value up to 32. Different from CRS, the CSI-RS is not transmitted in every downlink subframe. The minimum CSI-RS periodicity is 5ms, which means a measurement duration of 160ms for 32 subframe CSI repetitions. The long measurement duration not only increases </w:t>
      </w:r>
      <w:r w:rsidR="005F50DB">
        <w:rPr>
          <w:rFonts w:eastAsia="Batang"/>
          <w:snapToGrid w:val="0"/>
          <w:kern w:val="2"/>
          <w:sz w:val="22"/>
          <w:szCs w:val="22"/>
          <w:lang w:eastAsia="ko-KR"/>
        </w:rPr>
        <w:t>UE</w:t>
      </w:r>
      <w:r>
        <w:rPr>
          <w:rFonts w:eastAsia="Batang"/>
          <w:snapToGrid w:val="0"/>
          <w:kern w:val="2"/>
          <w:sz w:val="22"/>
          <w:szCs w:val="22"/>
          <w:lang w:eastAsia="ko-KR"/>
        </w:rPr>
        <w:t xml:space="preserve"> power consumption but also increase the CSI feedback latency. </w:t>
      </w:r>
    </w:p>
    <w:p w14:paraId="339E977A" w14:textId="328368CA" w:rsidR="00A753AC" w:rsidRDefault="00A753AC" w:rsidP="00CA03EB">
      <w:pPr>
        <w:widowControl w:val="0"/>
        <w:wordWrap w:val="0"/>
        <w:spacing w:after="120"/>
        <w:contextualSpacing/>
        <w:jc w:val="both"/>
        <w:rPr>
          <w:rFonts w:eastAsia="Batang"/>
          <w:snapToGrid w:val="0"/>
          <w:kern w:val="2"/>
          <w:sz w:val="22"/>
          <w:szCs w:val="22"/>
          <w:lang w:eastAsia="ko-KR"/>
        </w:rPr>
      </w:pPr>
    </w:p>
    <w:p w14:paraId="223AAAD1" w14:textId="15F55B5E" w:rsidR="00A753AC" w:rsidRPr="0068319D" w:rsidRDefault="00A753AC" w:rsidP="00A753AC">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The CSI-RS based CSI feedback </w:t>
      </w:r>
      <w:r w:rsidR="000D4098">
        <w:rPr>
          <w:sz w:val="22"/>
          <w:szCs w:val="22"/>
        </w:rPr>
        <w:t>will</w:t>
      </w:r>
      <w:r>
        <w:rPr>
          <w:sz w:val="22"/>
          <w:szCs w:val="22"/>
        </w:rPr>
        <w:t xml:space="preserve"> increase the measurement duration and feedback latency. </w:t>
      </w:r>
    </w:p>
    <w:p w14:paraId="7657D2B0" w14:textId="49CD101E" w:rsidR="00A753AC" w:rsidRDefault="000D4098"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Aperiodic CSI-RS </w:t>
      </w:r>
      <w:r>
        <w:rPr>
          <w:rFonts w:eastAsia="Batang"/>
          <w:snapToGrid w:val="0"/>
          <w:kern w:val="2"/>
          <w:sz w:val="22"/>
          <w:szCs w:val="22"/>
          <w:lang w:eastAsia="ko-KR"/>
        </w:rPr>
        <w:t xml:space="preserve">can be used for solving the above issues. However, backward compatibility shall be considered when both legacy UE and the </w:t>
      </w:r>
      <w:r w:rsidR="005F50DB">
        <w:rPr>
          <w:rFonts w:eastAsia="Batang"/>
          <w:snapToGrid w:val="0"/>
          <w:kern w:val="2"/>
          <w:sz w:val="22"/>
          <w:szCs w:val="22"/>
          <w:lang w:eastAsia="ko-KR"/>
        </w:rPr>
        <w:t xml:space="preserve">Rel-16 </w:t>
      </w:r>
      <w:r>
        <w:rPr>
          <w:rFonts w:eastAsia="Batang"/>
          <w:snapToGrid w:val="0"/>
          <w:kern w:val="2"/>
          <w:sz w:val="22"/>
          <w:szCs w:val="22"/>
          <w:lang w:eastAsia="ko-KR"/>
        </w:rPr>
        <w:t xml:space="preserve">non-BL UE are receiving in the same subframe. It is noted also that the activation/de-activation of aperiodic CSI-RS </w:t>
      </w:r>
      <w:r w:rsidR="005F50DB">
        <w:rPr>
          <w:rFonts w:eastAsia="Batang"/>
          <w:snapToGrid w:val="0"/>
          <w:kern w:val="2"/>
          <w:sz w:val="22"/>
          <w:szCs w:val="22"/>
          <w:lang w:eastAsia="ko-KR"/>
        </w:rPr>
        <w:t xml:space="preserve">in LTE </w:t>
      </w:r>
      <w:r>
        <w:rPr>
          <w:rFonts w:eastAsia="Batang"/>
          <w:snapToGrid w:val="0"/>
          <w:kern w:val="2"/>
          <w:sz w:val="22"/>
          <w:szCs w:val="22"/>
          <w:lang w:eastAsia="ko-KR"/>
        </w:rPr>
        <w:t xml:space="preserve">is only supported in the UL scheduling grant. This implies that the </w:t>
      </w:r>
      <w:proofErr w:type="spellStart"/>
      <w:r>
        <w:rPr>
          <w:rFonts w:eastAsia="Batang"/>
          <w:snapToGrid w:val="0"/>
          <w:kern w:val="2"/>
          <w:sz w:val="22"/>
          <w:szCs w:val="22"/>
          <w:lang w:eastAsia="ko-KR"/>
        </w:rPr>
        <w:t>eNB</w:t>
      </w:r>
      <w:proofErr w:type="spellEnd"/>
      <w:r>
        <w:rPr>
          <w:rFonts w:eastAsia="Batang"/>
          <w:snapToGrid w:val="0"/>
          <w:kern w:val="2"/>
          <w:sz w:val="22"/>
          <w:szCs w:val="22"/>
          <w:lang w:eastAsia="ko-KR"/>
        </w:rPr>
        <w:t xml:space="preserve"> needs to firstly schedule an uplink PUSCH </w:t>
      </w:r>
      <w:proofErr w:type="gramStart"/>
      <w:r>
        <w:rPr>
          <w:rFonts w:eastAsia="Batang"/>
          <w:snapToGrid w:val="0"/>
          <w:kern w:val="2"/>
          <w:sz w:val="22"/>
          <w:szCs w:val="22"/>
          <w:lang w:eastAsia="ko-KR"/>
        </w:rPr>
        <w:t>in order to</w:t>
      </w:r>
      <w:proofErr w:type="gramEnd"/>
      <w:r>
        <w:rPr>
          <w:rFonts w:eastAsia="Batang"/>
          <w:snapToGrid w:val="0"/>
          <w:kern w:val="2"/>
          <w:sz w:val="22"/>
          <w:szCs w:val="22"/>
          <w:lang w:eastAsia="ko-KR"/>
        </w:rPr>
        <w:t xml:space="preserve"> get </w:t>
      </w:r>
      <w:r w:rsidR="005F50DB">
        <w:rPr>
          <w:rFonts w:eastAsia="Batang"/>
          <w:snapToGrid w:val="0"/>
          <w:kern w:val="2"/>
          <w:sz w:val="22"/>
          <w:szCs w:val="22"/>
          <w:lang w:eastAsia="ko-KR"/>
        </w:rPr>
        <w:t xml:space="preserve">a </w:t>
      </w:r>
      <w:r>
        <w:rPr>
          <w:rFonts w:eastAsia="Batang"/>
          <w:snapToGrid w:val="0"/>
          <w:kern w:val="2"/>
          <w:sz w:val="22"/>
          <w:szCs w:val="22"/>
          <w:lang w:eastAsia="ko-KR"/>
        </w:rPr>
        <w:t>CSI feedback for the associated DL PDSCH transmission. Th</w:t>
      </w:r>
      <w:r w:rsidR="005F50DB">
        <w:rPr>
          <w:rFonts w:eastAsia="Batang"/>
          <w:snapToGrid w:val="0"/>
          <w:kern w:val="2"/>
          <w:sz w:val="22"/>
          <w:szCs w:val="22"/>
          <w:lang w:eastAsia="ko-KR"/>
        </w:rPr>
        <w:t xml:space="preserve">ere </w:t>
      </w:r>
      <w:r>
        <w:rPr>
          <w:rFonts w:eastAsia="Batang"/>
          <w:snapToGrid w:val="0"/>
          <w:kern w:val="2"/>
          <w:sz w:val="22"/>
          <w:szCs w:val="22"/>
          <w:lang w:eastAsia="ko-KR"/>
        </w:rPr>
        <w:t xml:space="preserve">is </w:t>
      </w:r>
      <w:r w:rsidR="005F50DB">
        <w:rPr>
          <w:rFonts w:eastAsia="Batang"/>
          <w:snapToGrid w:val="0"/>
          <w:kern w:val="2"/>
          <w:sz w:val="22"/>
          <w:szCs w:val="22"/>
          <w:lang w:eastAsia="ko-KR"/>
        </w:rPr>
        <w:t xml:space="preserve">no reduction of CSI </w:t>
      </w:r>
      <w:r>
        <w:rPr>
          <w:rFonts w:eastAsia="Batang"/>
          <w:snapToGrid w:val="0"/>
          <w:kern w:val="2"/>
          <w:sz w:val="22"/>
          <w:szCs w:val="22"/>
          <w:lang w:eastAsia="ko-KR"/>
        </w:rPr>
        <w:t>feedback latency</w:t>
      </w:r>
      <w:r w:rsidR="005F50DB">
        <w:rPr>
          <w:rFonts w:eastAsia="Batang"/>
          <w:snapToGrid w:val="0"/>
          <w:kern w:val="2"/>
          <w:sz w:val="22"/>
          <w:szCs w:val="22"/>
          <w:lang w:eastAsia="ko-KR"/>
        </w:rPr>
        <w:t xml:space="preserve"> by using the aperiodic CSI-RS</w:t>
      </w:r>
      <w:r>
        <w:rPr>
          <w:rFonts w:eastAsia="Batang"/>
          <w:snapToGrid w:val="0"/>
          <w:kern w:val="2"/>
          <w:sz w:val="22"/>
          <w:szCs w:val="22"/>
          <w:lang w:eastAsia="ko-KR"/>
        </w:rPr>
        <w:t xml:space="preserve">. </w:t>
      </w:r>
    </w:p>
    <w:p w14:paraId="0F2C439F" w14:textId="39057F24" w:rsidR="000D4098" w:rsidRPr="0068319D" w:rsidRDefault="000D4098" w:rsidP="000D4098">
      <w:pPr>
        <w:pStyle w:val="LGTdoc1"/>
        <w:spacing w:beforeLines="0" w:before="120" w:after="220" w:afterAutospacing="0"/>
        <w:rPr>
          <w:sz w:val="22"/>
          <w:szCs w:val="22"/>
        </w:rPr>
      </w:pPr>
      <w:r>
        <w:rPr>
          <w:sz w:val="22"/>
          <w:szCs w:val="22"/>
          <w:u w:val="single"/>
        </w:rPr>
        <w:t>Proposal 3</w:t>
      </w:r>
      <w:r w:rsidRPr="0068319D">
        <w:rPr>
          <w:sz w:val="22"/>
          <w:szCs w:val="22"/>
          <w:u w:val="single"/>
        </w:rPr>
        <w:t>:</w:t>
      </w:r>
      <w:r w:rsidRPr="0068319D">
        <w:rPr>
          <w:sz w:val="22"/>
          <w:szCs w:val="22"/>
        </w:rPr>
        <w:t xml:space="preserve"> </w:t>
      </w:r>
      <w:r>
        <w:rPr>
          <w:sz w:val="22"/>
          <w:szCs w:val="22"/>
        </w:rPr>
        <w:t xml:space="preserve">The benefits for CSI-RS based CSI feedback needs further study </w:t>
      </w:r>
    </w:p>
    <w:p w14:paraId="1423C5F1" w14:textId="48D0E4E5" w:rsidR="000D4098" w:rsidRDefault="000D4098" w:rsidP="00CA03EB">
      <w:pPr>
        <w:widowControl w:val="0"/>
        <w:wordWrap w:val="0"/>
        <w:spacing w:after="120"/>
        <w:contextualSpacing/>
        <w:jc w:val="both"/>
        <w:rPr>
          <w:rFonts w:eastAsia="Batang"/>
          <w:snapToGrid w:val="0"/>
          <w:kern w:val="2"/>
          <w:sz w:val="22"/>
          <w:szCs w:val="22"/>
          <w:lang w:eastAsia="ko-KR"/>
        </w:rPr>
      </w:pPr>
    </w:p>
    <w:p w14:paraId="10EA057A" w14:textId="597644C0" w:rsidR="000D4098" w:rsidRPr="000D4098" w:rsidRDefault="000D4098" w:rsidP="000D4098">
      <w:pPr>
        <w:spacing w:after="120"/>
        <w:rPr>
          <w:rFonts w:eastAsia="宋体"/>
          <w:b/>
          <w:bCs/>
          <w:u w:val="single"/>
          <w:lang w:val="en-US" w:eastAsia="en-US"/>
        </w:rPr>
      </w:pPr>
      <w:r w:rsidRPr="000D4098">
        <w:rPr>
          <w:rFonts w:eastAsia="宋体"/>
          <w:b/>
          <w:bCs/>
          <w:u w:val="single"/>
          <w:lang w:val="en-US" w:eastAsia="en-US"/>
        </w:rPr>
        <w:t>ETWS/CMAS in connected mode</w:t>
      </w:r>
    </w:p>
    <w:p w14:paraId="29386845" w14:textId="77777777" w:rsidR="000D4098" w:rsidRPr="00A753AC" w:rsidRDefault="000D4098" w:rsidP="00CA03EB">
      <w:pPr>
        <w:widowControl w:val="0"/>
        <w:wordWrap w:val="0"/>
        <w:spacing w:after="120"/>
        <w:contextualSpacing/>
        <w:jc w:val="both"/>
        <w:rPr>
          <w:rFonts w:eastAsia="Batang"/>
          <w:snapToGrid w:val="0"/>
          <w:kern w:val="2"/>
          <w:sz w:val="22"/>
          <w:szCs w:val="22"/>
          <w:lang w:eastAsia="ko-KR"/>
        </w:rPr>
      </w:pPr>
    </w:p>
    <w:p w14:paraId="27786AF3" w14:textId="684B522F" w:rsidR="00B15A58" w:rsidRDefault="00AF671D"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ETWS (earthquake and tsunami warning system) and CMAS (commercial mobile aler</w:t>
      </w:r>
      <w:r w:rsidR="00B15A58">
        <w:rPr>
          <w:rFonts w:eastAsia="Batang"/>
          <w:snapToGrid w:val="0"/>
          <w:kern w:val="2"/>
          <w:sz w:val="22"/>
          <w:szCs w:val="22"/>
          <w:lang w:eastAsia="ko-KR"/>
        </w:rPr>
        <w:t>t</w:t>
      </w:r>
      <w:r>
        <w:rPr>
          <w:rFonts w:eastAsia="Batang"/>
          <w:snapToGrid w:val="0"/>
          <w:kern w:val="2"/>
          <w:sz w:val="22"/>
          <w:szCs w:val="22"/>
          <w:lang w:eastAsia="ko-KR"/>
        </w:rPr>
        <w:t xml:space="preserve"> services) are two types of </w:t>
      </w:r>
      <w:r w:rsidR="00A96290">
        <w:rPr>
          <w:rFonts w:eastAsia="Batang"/>
          <w:snapToGrid w:val="0"/>
          <w:kern w:val="2"/>
          <w:sz w:val="22"/>
          <w:szCs w:val="22"/>
          <w:lang w:eastAsia="ko-KR"/>
        </w:rPr>
        <w:t xml:space="preserve">emergency </w:t>
      </w:r>
      <w:r>
        <w:rPr>
          <w:rFonts w:eastAsia="Batang"/>
          <w:snapToGrid w:val="0"/>
          <w:kern w:val="2"/>
          <w:sz w:val="22"/>
          <w:szCs w:val="22"/>
          <w:lang w:eastAsia="ko-KR"/>
        </w:rPr>
        <w:t>messages.</w:t>
      </w:r>
      <w:r w:rsidR="00B15A58">
        <w:rPr>
          <w:rFonts w:eastAsia="Batang"/>
          <w:snapToGrid w:val="0"/>
          <w:kern w:val="2"/>
          <w:sz w:val="22"/>
          <w:szCs w:val="22"/>
          <w:lang w:eastAsia="ko-KR"/>
        </w:rPr>
        <w:t xml:space="preserve"> Different from other system information change, ETWS/CMAS notification can occur at any time. The paging is used to inform ETWS/CMAS capable UEs in RRC_IDLE about the presence of ETWS/CMAS notification.</w:t>
      </w:r>
    </w:p>
    <w:p w14:paraId="452FC654" w14:textId="77777777" w:rsidR="00B15A58" w:rsidRPr="00B15A58" w:rsidRDefault="00B15A58" w:rsidP="00CA03EB">
      <w:pPr>
        <w:widowControl w:val="0"/>
        <w:wordWrap w:val="0"/>
        <w:spacing w:after="120"/>
        <w:contextualSpacing/>
        <w:jc w:val="both"/>
        <w:rPr>
          <w:rFonts w:eastAsia="Batang"/>
          <w:snapToGrid w:val="0"/>
          <w:kern w:val="2"/>
          <w:sz w:val="22"/>
          <w:szCs w:val="22"/>
          <w:lang w:eastAsia="ko-KR"/>
        </w:rPr>
      </w:pPr>
    </w:p>
    <w:p w14:paraId="69F8780F" w14:textId="7DB1AFA0" w:rsidR="00A46D9B" w:rsidRPr="00AC14AD" w:rsidRDefault="00B15A58"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LTE, the ETWS/CMAS capable UEs </w:t>
      </w:r>
      <w:r>
        <w:rPr>
          <w:rFonts w:eastAsia="Batang"/>
          <w:snapToGrid w:val="0"/>
          <w:kern w:val="2"/>
          <w:sz w:val="22"/>
          <w:szCs w:val="22"/>
          <w:lang w:eastAsia="ko-KR"/>
        </w:rPr>
        <w:t xml:space="preserve">in RRC_CONNECTED shall attempt to read paging at least once every DRX cycle to check whether ETWS/CMAS notification is present or not. If the paging message includes ETWS/CMAS notification, then UE is triggered to re-acquire SIB1 immediately for </w:t>
      </w:r>
      <w:proofErr w:type="spellStart"/>
      <w:r w:rsidRPr="00B15A58">
        <w:rPr>
          <w:rFonts w:eastAsia="Batang"/>
          <w:i/>
          <w:iCs/>
          <w:snapToGrid w:val="0"/>
          <w:kern w:val="2"/>
          <w:sz w:val="22"/>
          <w:szCs w:val="22"/>
          <w:lang w:eastAsia="ko-KR"/>
        </w:rPr>
        <w:t>schedulingInfoList</w:t>
      </w:r>
      <w:proofErr w:type="spellEnd"/>
      <w:r w:rsidRPr="00B15A58">
        <w:rPr>
          <w:rFonts w:eastAsia="Batang"/>
          <w:snapToGrid w:val="0"/>
          <w:kern w:val="2"/>
          <w:sz w:val="22"/>
          <w:szCs w:val="22"/>
          <w:lang w:eastAsia="ko-KR"/>
        </w:rPr>
        <w:t xml:space="preserve"> </w:t>
      </w:r>
      <w:r>
        <w:rPr>
          <w:rFonts w:eastAsia="Batang"/>
          <w:snapToGrid w:val="0"/>
          <w:kern w:val="2"/>
          <w:sz w:val="22"/>
          <w:szCs w:val="22"/>
          <w:lang w:eastAsia="ko-KR"/>
        </w:rPr>
        <w:t>and based on it to acquire the SI message for ETWS/CMAS.</w:t>
      </w:r>
    </w:p>
    <w:p w14:paraId="6E8F5A72" w14:textId="3A7FACB1" w:rsidR="001D3E9B" w:rsidRDefault="001D3E9B" w:rsidP="00CA03EB">
      <w:pPr>
        <w:widowControl w:val="0"/>
        <w:wordWrap w:val="0"/>
        <w:spacing w:after="120"/>
        <w:contextualSpacing/>
        <w:jc w:val="both"/>
        <w:rPr>
          <w:rFonts w:eastAsia="Batang"/>
          <w:snapToGrid w:val="0"/>
          <w:kern w:val="2"/>
          <w:sz w:val="22"/>
          <w:szCs w:val="22"/>
          <w:lang w:eastAsia="ko-KR"/>
        </w:rPr>
      </w:pPr>
    </w:p>
    <w:p w14:paraId="4F10C390" w14:textId="6B83E979" w:rsidR="00B15A58" w:rsidRDefault="00B15A5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Currently in </w:t>
      </w:r>
      <w:proofErr w:type="spellStart"/>
      <w:r>
        <w:rPr>
          <w:rFonts w:eastAsia="Batang"/>
          <w:snapToGrid w:val="0"/>
          <w:kern w:val="2"/>
          <w:sz w:val="22"/>
          <w:szCs w:val="22"/>
          <w:lang w:eastAsia="ko-KR"/>
        </w:rPr>
        <w:t>eMTC</w:t>
      </w:r>
      <w:proofErr w:type="spellEnd"/>
      <w:r>
        <w:rPr>
          <w:rFonts w:eastAsia="Batang"/>
          <w:snapToGrid w:val="0"/>
          <w:kern w:val="2"/>
          <w:sz w:val="22"/>
          <w:szCs w:val="22"/>
          <w:lang w:eastAsia="ko-KR"/>
        </w:rPr>
        <w:t xml:space="preserve">, UE is only required to monitor paging in idle mode since the UE is not required to simultaneously monitor Type1-CSS for paging and MPDCCH UE-specific search space.  </w:t>
      </w:r>
    </w:p>
    <w:p w14:paraId="3EA0AD62" w14:textId="77777777" w:rsidR="00B15A58" w:rsidRDefault="00B15A58" w:rsidP="00CA03EB">
      <w:pPr>
        <w:widowControl w:val="0"/>
        <w:wordWrap w:val="0"/>
        <w:spacing w:after="120"/>
        <w:contextualSpacing/>
        <w:jc w:val="both"/>
        <w:rPr>
          <w:rFonts w:eastAsia="Batang"/>
          <w:snapToGrid w:val="0"/>
          <w:kern w:val="2"/>
          <w:sz w:val="22"/>
          <w:szCs w:val="22"/>
          <w:lang w:eastAsia="ko-KR"/>
        </w:rPr>
      </w:pPr>
    </w:p>
    <w:p w14:paraId="34FBCDF9" w14:textId="5F3B82A2" w:rsidR="00B15A58" w:rsidRDefault="00B15A5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Since the non-BL UE supports a large downlink transmission bandwidth, it may be okay to simultaneously monitor Type1-CSS for paging and MPDCCH UE-specific search space for monitoring ETWS/CMAS in connected mode. </w:t>
      </w:r>
      <w:r w:rsidR="00A96290">
        <w:rPr>
          <w:rFonts w:eastAsia="Batang"/>
          <w:snapToGrid w:val="0"/>
          <w:kern w:val="2"/>
          <w:sz w:val="22"/>
          <w:szCs w:val="22"/>
          <w:lang w:eastAsia="ko-KR"/>
        </w:rPr>
        <w:t xml:space="preserve">However, it needs to be clarified whether the support of ETWS/CMAS in connected mode is also </w:t>
      </w:r>
      <w:r w:rsidR="005F50DB">
        <w:rPr>
          <w:rFonts w:eastAsia="Batang"/>
          <w:snapToGrid w:val="0"/>
          <w:kern w:val="2"/>
          <w:sz w:val="22"/>
          <w:szCs w:val="22"/>
          <w:lang w:eastAsia="ko-KR"/>
        </w:rPr>
        <w:t xml:space="preserve">required </w:t>
      </w:r>
      <w:r w:rsidR="00A96290">
        <w:rPr>
          <w:rFonts w:eastAsia="Batang"/>
          <w:snapToGrid w:val="0"/>
          <w:kern w:val="2"/>
          <w:sz w:val="22"/>
          <w:szCs w:val="22"/>
          <w:lang w:eastAsia="ko-KR"/>
        </w:rPr>
        <w:t>for the BL/CE UE</w:t>
      </w:r>
      <w:r w:rsidR="005F50DB">
        <w:rPr>
          <w:rFonts w:eastAsia="Batang"/>
          <w:snapToGrid w:val="0"/>
          <w:kern w:val="2"/>
          <w:sz w:val="22"/>
          <w:szCs w:val="22"/>
          <w:lang w:eastAsia="ko-KR"/>
        </w:rPr>
        <w:t xml:space="preserve">. According to [2], </w:t>
      </w:r>
      <w:r w:rsidR="00A96290">
        <w:rPr>
          <w:rFonts w:eastAsia="Batang"/>
          <w:snapToGrid w:val="0"/>
          <w:kern w:val="2"/>
          <w:sz w:val="22"/>
          <w:szCs w:val="22"/>
          <w:lang w:eastAsia="ko-KR"/>
        </w:rPr>
        <w:t>since i</w:t>
      </w:r>
      <w:r w:rsidR="00A96290" w:rsidRPr="00A96290">
        <w:rPr>
          <w:rFonts w:eastAsia="Batang"/>
          <w:snapToGrid w:val="0"/>
          <w:kern w:val="2"/>
          <w:sz w:val="22"/>
          <w:szCs w:val="22"/>
          <w:lang w:eastAsia="ko-KR"/>
        </w:rPr>
        <w:t>n January of 2018, FCC mandated that the NA carriers must support device-based geo-targetin</w:t>
      </w:r>
      <w:r w:rsidR="00A96290">
        <w:rPr>
          <w:rFonts w:eastAsia="Batang"/>
          <w:snapToGrid w:val="0"/>
          <w:kern w:val="2"/>
          <w:sz w:val="22"/>
          <w:szCs w:val="22"/>
          <w:lang w:eastAsia="ko-KR"/>
        </w:rPr>
        <w:t xml:space="preserve">g Wireless Emergency Alert </w:t>
      </w:r>
      <w:r w:rsidR="00A96290" w:rsidRPr="00A96290">
        <w:rPr>
          <w:rFonts w:eastAsia="Batang"/>
          <w:snapToGrid w:val="0"/>
          <w:kern w:val="2"/>
          <w:sz w:val="22"/>
          <w:szCs w:val="22"/>
          <w:lang w:eastAsia="ko-KR"/>
        </w:rPr>
        <w:t>by November 30, 2019</w:t>
      </w:r>
      <w:r w:rsidR="00A96290">
        <w:rPr>
          <w:rFonts w:eastAsia="Batang"/>
          <w:snapToGrid w:val="0"/>
          <w:kern w:val="2"/>
          <w:sz w:val="22"/>
          <w:szCs w:val="22"/>
          <w:lang w:eastAsia="ko-KR"/>
        </w:rPr>
        <w:t>. If the BL/CE UE</w:t>
      </w:r>
      <w:r w:rsidR="005F50DB">
        <w:rPr>
          <w:rFonts w:eastAsia="Batang"/>
          <w:snapToGrid w:val="0"/>
          <w:kern w:val="2"/>
          <w:sz w:val="22"/>
          <w:szCs w:val="22"/>
          <w:lang w:eastAsia="ko-KR"/>
        </w:rPr>
        <w:t xml:space="preserve"> is also supported</w:t>
      </w:r>
      <w:r w:rsidR="00A96290">
        <w:rPr>
          <w:rFonts w:eastAsia="Batang"/>
          <w:snapToGrid w:val="0"/>
          <w:kern w:val="2"/>
          <w:sz w:val="22"/>
          <w:szCs w:val="22"/>
          <w:lang w:eastAsia="ko-KR"/>
        </w:rPr>
        <w:t>, then it is not possible to require the UE to monitor Type1-CSS for paging in connected mode.</w:t>
      </w:r>
    </w:p>
    <w:p w14:paraId="48750D25" w14:textId="114F93C2" w:rsidR="00A96290" w:rsidRPr="0068319D" w:rsidRDefault="00A96290" w:rsidP="00A96290">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It shall be clarified whether the support of ETWS/CMAS in connected mode is also required for the BL/CE UE. </w:t>
      </w:r>
    </w:p>
    <w:p w14:paraId="0DE94126" w14:textId="77777777" w:rsidR="00A96290" w:rsidRPr="00A96290" w:rsidRDefault="00A96290" w:rsidP="00CA03EB">
      <w:pPr>
        <w:widowControl w:val="0"/>
        <w:wordWrap w:val="0"/>
        <w:spacing w:after="120"/>
        <w:contextualSpacing/>
        <w:jc w:val="both"/>
        <w:rPr>
          <w:rFonts w:eastAsia="Batang"/>
          <w:snapToGrid w:val="0"/>
          <w:kern w:val="2"/>
          <w:sz w:val="22"/>
          <w:szCs w:val="22"/>
          <w:lang w:eastAsia="ko-KR"/>
        </w:rPr>
      </w:pPr>
    </w:p>
    <w:p w14:paraId="527BA53C" w14:textId="19D4682F" w:rsidR="002037A4" w:rsidRDefault="00697EBC" w:rsidP="002037A4">
      <w:pPr>
        <w:pStyle w:val="Heading1"/>
      </w:pPr>
      <w:r>
        <w:t>3</w:t>
      </w:r>
      <w:r w:rsidR="002037A4">
        <w:tab/>
        <w:t>Summary</w:t>
      </w:r>
    </w:p>
    <w:p w14:paraId="3E18BF19" w14:textId="53D4171F"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aspects </w:t>
      </w:r>
      <w:r w:rsidR="00B15A58">
        <w:rPr>
          <w:rFonts w:eastAsia="Batang"/>
          <w:snapToGrid w:val="0"/>
          <w:kern w:val="2"/>
          <w:sz w:val="22"/>
          <w:szCs w:val="22"/>
          <w:lang w:eastAsia="ko-KR"/>
        </w:rPr>
        <w:t>of</w:t>
      </w:r>
      <w:r w:rsidR="00B15A58" w:rsidRPr="00FA0631">
        <w:rPr>
          <w:rFonts w:eastAsia="Batang"/>
          <w:snapToGrid w:val="0"/>
          <w:kern w:val="2"/>
          <w:sz w:val="22"/>
          <w:szCs w:val="22"/>
          <w:lang w:eastAsia="ko-KR"/>
        </w:rPr>
        <w:t xml:space="preserve"> </w:t>
      </w:r>
      <w:r w:rsidR="00B15A58">
        <w:rPr>
          <w:rFonts w:eastAsia="Batang"/>
          <w:snapToGrid w:val="0"/>
          <w:kern w:val="2"/>
          <w:sz w:val="22"/>
          <w:szCs w:val="22"/>
          <w:lang w:eastAsia="ko-KR"/>
        </w:rPr>
        <w:t xml:space="preserve">extreme coverage improvement </w:t>
      </w:r>
      <w:r w:rsidR="00B15A58" w:rsidRPr="003619C0">
        <w:rPr>
          <w:bCs/>
        </w:rPr>
        <w:t xml:space="preserve">for </w:t>
      </w:r>
      <w:r w:rsidR="00B15A58">
        <w:rPr>
          <w:bCs/>
        </w:rPr>
        <w:t xml:space="preserve">the </w:t>
      </w:r>
      <w:r w:rsidR="00B15A58" w:rsidRPr="003619C0">
        <w:rPr>
          <w:bCs/>
        </w:rPr>
        <w:t xml:space="preserve">non-BL </w:t>
      </w:r>
      <w:r w:rsidR="00697EBC">
        <w:rPr>
          <w:rFonts w:eastAsia="Batang"/>
          <w:snapToGrid w:val="0"/>
          <w:kern w:val="2"/>
          <w:sz w:val="22"/>
          <w:szCs w:val="22"/>
          <w:lang w:eastAsia="ko-KR"/>
        </w:rPr>
        <w:t>UE</w:t>
      </w:r>
      <w:r w:rsidR="00B15A58">
        <w:rPr>
          <w:rFonts w:eastAsia="Batang"/>
          <w:snapToGrid w:val="0"/>
          <w:kern w:val="2"/>
          <w:sz w:val="22"/>
          <w:szCs w:val="22"/>
          <w:lang w:eastAsia="ko-KR"/>
        </w:rPr>
        <w:t>s</w:t>
      </w:r>
      <w:r>
        <w:rPr>
          <w:rFonts w:eastAsia="Batang"/>
          <w:snapToGrid w:val="0"/>
          <w:kern w:val="2"/>
          <w:sz w:val="22"/>
          <w:szCs w:val="22"/>
          <w:lang w:eastAsia="ko-KR"/>
        </w:rPr>
        <w:t xml:space="preserve">. We have the following </w:t>
      </w:r>
      <w:r w:rsidR="00B15A58">
        <w:rPr>
          <w:rFonts w:eastAsia="Batang"/>
          <w:snapToGrid w:val="0"/>
          <w:kern w:val="2"/>
          <w:sz w:val="22"/>
          <w:szCs w:val="22"/>
          <w:lang w:eastAsia="ko-KR"/>
        </w:rPr>
        <w:t xml:space="preserve">observations and </w:t>
      </w:r>
      <w:r w:rsidR="00697EBC">
        <w:rPr>
          <w:rFonts w:eastAsia="Batang"/>
          <w:snapToGrid w:val="0"/>
          <w:kern w:val="2"/>
          <w:sz w:val="22"/>
          <w:szCs w:val="22"/>
          <w:lang w:eastAsia="ko-KR"/>
        </w:rPr>
        <w:t>proposals</w:t>
      </w:r>
      <w:r>
        <w:rPr>
          <w:rFonts w:eastAsia="Batang"/>
          <w:snapToGrid w:val="0"/>
          <w:kern w:val="2"/>
          <w:sz w:val="22"/>
          <w:szCs w:val="22"/>
          <w:lang w:eastAsia="ko-KR"/>
        </w:rPr>
        <w:t>:</w:t>
      </w:r>
    </w:p>
    <w:p w14:paraId="42C4EE93" w14:textId="77777777" w:rsidR="00A96290" w:rsidRPr="0068319D" w:rsidRDefault="00A96290" w:rsidP="00A96290">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CSI-RS based CSI feedback may increase the feedback overhead and report the CSI with multiple reports </w:t>
      </w:r>
    </w:p>
    <w:p w14:paraId="1A7EE411" w14:textId="77777777" w:rsidR="00A96290" w:rsidRPr="0068319D" w:rsidRDefault="00A96290" w:rsidP="00A96290">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The CSI-RS based CSI feedback will increase the measurement duration and feedback latency. </w:t>
      </w:r>
    </w:p>
    <w:p w14:paraId="0BCAB344" w14:textId="77777777" w:rsidR="00A96290" w:rsidRPr="0068319D" w:rsidRDefault="00A96290" w:rsidP="00A96290">
      <w:pPr>
        <w:pStyle w:val="LGTdoc1"/>
        <w:spacing w:beforeLines="0" w:before="120" w:after="220" w:afterAutospacing="0"/>
        <w:rPr>
          <w:sz w:val="22"/>
          <w:szCs w:val="22"/>
        </w:rPr>
      </w:pPr>
      <w:bookmarkStart w:id="7" w:name="_In-sequence_SDU_delivery"/>
      <w:bookmarkEnd w:id="7"/>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The objective of idle mode mobility enhancements to the non-BL UE needs to be clarified. </w:t>
      </w:r>
    </w:p>
    <w:p w14:paraId="01513E0E" w14:textId="77777777" w:rsidR="00D14629" w:rsidRPr="0068319D" w:rsidRDefault="00D14629" w:rsidP="00D14629">
      <w:pPr>
        <w:pStyle w:val="LGTdoc1"/>
        <w:spacing w:beforeLines="0" w:before="120" w:after="220" w:afterAutospacing="0"/>
        <w:rPr>
          <w:sz w:val="22"/>
          <w:szCs w:val="22"/>
        </w:rPr>
      </w:pPr>
      <w:r>
        <w:rPr>
          <w:sz w:val="22"/>
          <w:szCs w:val="22"/>
          <w:u w:val="single"/>
        </w:rPr>
        <w:t>Proposal 2</w:t>
      </w:r>
      <w:r w:rsidRPr="0068319D">
        <w:rPr>
          <w:sz w:val="22"/>
          <w:szCs w:val="22"/>
          <w:u w:val="single"/>
        </w:rPr>
        <w:t>:</w:t>
      </w:r>
      <w:r w:rsidRPr="0068319D">
        <w:rPr>
          <w:sz w:val="22"/>
          <w:szCs w:val="22"/>
        </w:rPr>
        <w:t xml:space="preserve"> </w:t>
      </w:r>
      <w:r>
        <w:rPr>
          <w:sz w:val="22"/>
          <w:szCs w:val="22"/>
        </w:rPr>
        <w:t xml:space="preserve">The support of dual layer downlink transmission shall be justified based on the performance evaluation of TM3 over TM2 for PDSCH with repetition. </w:t>
      </w:r>
    </w:p>
    <w:p w14:paraId="4710B6B5" w14:textId="77777777" w:rsidR="00A96290" w:rsidRPr="0068319D" w:rsidRDefault="00A96290" w:rsidP="00A96290">
      <w:pPr>
        <w:pStyle w:val="LGTdoc1"/>
        <w:spacing w:beforeLines="0" w:before="120" w:after="220" w:afterAutospacing="0"/>
        <w:rPr>
          <w:sz w:val="22"/>
          <w:szCs w:val="22"/>
        </w:rPr>
      </w:pPr>
      <w:r>
        <w:rPr>
          <w:sz w:val="22"/>
          <w:szCs w:val="22"/>
          <w:u w:val="single"/>
        </w:rPr>
        <w:t>Proposal 3</w:t>
      </w:r>
      <w:r w:rsidRPr="0068319D">
        <w:rPr>
          <w:sz w:val="22"/>
          <w:szCs w:val="22"/>
          <w:u w:val="single"/>
        </w:rPr>
        <w:t>:</w:t>
      </w:r>
      <w:r w:rsidRPr="0068319D">
        <w:rPr>
          <w:sz w:val="22"/>
          <w:szCs w:val="22"/>
        </w:rPr>
        <w:t xml:space="preserve"> </w:t>
      </w:r>
      <w:r>
        <w:rPr>
          <w:sz w:val="22"/>
          <w:szCs w:val="22"/>
        </w:rPr>
        <w:t xml:space="preserve">The benefits for CSI-RS based CSI feedback needs further study </w:t>
      </w:r>
    </w:p>
    <w:p w14:paraId="312FF7B8" w14:textId="77777777" w:rsidR="00A96290" w:rsidRPr="0068319D" w:rsidRDefault="00A96290" w:rsidP="00A96290">
      <w:pPr>
        <w:pStyle w:val="LGTdoc1"/>
        <w:spacing w:beforeLines="0" w:before="120" w:after="220" w:afterAutospacing="0"/>
        <w:rPr>
          <w:sz w:val="22"/>
          <w:szCs w:val="22"/>
        </w:rPr>
      </w:pPr>
      <w:r>
        <w:rPr>
          <w:sz w:val="22"/>
          <w:szCs w:val="22"/>
          <w:u w:val="single"/>
        </w:rPr>
        <w:t>Proposal 4</w:t>
      </w:r>
      <w:r w:rsidRPr="0068319D">
        <w:rPr>
          <w:sz w:val="22"/>
          <w:szCs w:val="22"/>
          <w:u w:val="single"/>
        </w:rPr>
        <w:t>:</w:t>
      </w:r>
      <w:r w:rsidRPr="0068319D">
        <w:rPr>
          <w:sz w:val="22"/>
          <w:szCs w:val="22"/>
        </w:rPr>
        <w:t xml:space="preserve"> </w:t>
      </w:r>
      <w:r>
        <w:rPr>
          <w:sz w:val="22"/>
          <w:szCs w:val="22"/>
        </w:rPr>
        <w:t xml:space="preserve">It shall be clarified whether the support of ETWS/CMAS in connected mode is also required for the BL/CE UE. </w:t>
      </w:r>
    </w:p>
    <w:p w14:paraId="13599CCC" w14:textId="77777777" w:rsidR="00F507D1" w:rsidRPr="00CE0424" w:rsidRDefault="00F507D1" w:rsidP="00CE0424">
      <w:pPr>
        <w:pStyle w:val="Heading1"/>
      </w:pPr>
      <w:r w:rsidRPr="00CE0424">
        <w:t>References</w:t>
      </w:r>
    </w:p>
    <w:p w14:paraId="003956DE" w14:textId="57D332DD" w:rsidR="003A7EF3" w:rsidRDefault="00FA0631" w:rsidP="002037A4">
      <w:pPr>
        <w:pStyle w:val="Reference"/>
        <w:numPr>
          <w:ilvl w:val="0"/>
          <w:numId w:val="0"/>
        </w:numPr>
        <w:ind w:left="567" w:hanging="567"/>
        <w:rPr>
          <w:rFonts w:ascii="Times New Roman" w:hAnsi="Times New Roman"/>
          <w:snapToGrid w:val="0"/>
          <w:sz w:val="22"/>
          <w:szCs w:val="22"/>
        </w:rPr>
      </w:pPr>
      <w:bookmarkStart w:id="8" w:name="_Ref174151459"/>
      <w:bookmarkStart w:id="9"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RP-18145</w:t>
      </w:r>
      <w:r w:rsidR="00900302">
        <w:rPr>
          <w:rFonts w:ascii="Times New Roman" w:hAnsi="Times New Roman"/>
          <w:snapToGrid w:val="0"/>
          <w:sz w:val="22"/>
          <w:szCs w:val="22"/>
        </w:rPr>
        <w:t>0</w:t>
      </w:r>
      <w:r w:rsidRPr="00504EAE">
        <w:rPr>
          <w:rFonts w:ascii="Times New Roman" w:hAnsi="Times New Roman"/>
          <w:snapToGrid w:val="0"/>
          <w:sz w:val="22"/>
          <w:szCs w:val="22"/>
        </w:rPr>
        <w:t xml:space="preserve">, “New WID on Rel-16 </w:t>
      </w:r>
      <w:r w:rsidR="00900302">
        <w:rPr>
          <w:rFonts w:ascii="Times New Roman" w:hAnsi="Times New Roman"/>
          <w:snapToGrid w:val="0"/>
          <w:sz w:val="22"/>
          <w:szCs w:val="22"/>
        </w:rPr>
        <w:t xml:space="preserve">MTC </w:t>
      </w:r>
      <w:r w:rsidRPr="00504EAE">
        <w:rPr>
          <w:rFonts w:ascii="Times New Roman" w:hAnsi="Times New Roman"/>
          <w:snapToGrid w:val="0"/>
          <w:sz w:val="22"/>
          <w:szCs w:val="22"/>
        </w:rPr>
        <w:t xml:space="preserve">enhancements for </w:t>
      </w:r>
      <w:r w:rsidR="00900302">
        <w:rPr>
          <w:rFonts w:ascii="Times New Roman" w:hAnsi="Times New Roman"/>
          <w:snapToGrid w:val="0"/>
          <w:sz w:val="22"/>
          <w:szCs w:val="22"/>
        </w:rPr>
        <w:t>LTE</w:t>
      </w:r>
      <w:r w:rsidRPr="00504EAE">
        <w:rPr>
          <w:rFonts w:ascii="Times New Roman" w:hAnsi="Times New Roman"/>
          <w:snapToGrid w:val="0"/>
          <w:sz w:val="22"/>
          <w:szCs w:val="22"/>
        </w:rPr>
        <w:t>”, Ericsson, 3GPP RAN#80 meeting, La Jolla, USA, June 11-14, 2018</w:t>
      </w:r>
      <w:bookmarkEnd w:id="8"/>
      <w:bookmarkEnd w:id="9"/>
    </w:p>
    <w:p w14:paraId="5C5335E7" w14:textId="7FB39EBC" w:rsidR="00A96290" w:rsidRPr="00A96290" w:rsidRDefault="00A96290" w:rsidP="002037A4">
      <w:pPr>
        <w:pStyle w:val="Reference"/>
        <w:numPr>
          <w:ilvl w:val="0"/>
          <w:numId w:val="0"/>
        </w:numPr>
        <w:ind w:left="567" w:hanging="567"/>
        <w:rPr>
          <w:rFonts w:ascii="Times New Roman" w:hAnsi="Times New Roman"/>
          <w:snapToGrid w:val="0"/>
          <w:sz w:val="22"/>
          <w:szCs w:val="22"/>
        </w:rPr>
      </w:pPr>
      <w:r w:rsidRPr="00A96290">
        <w:rPr>
          <w:rFonts w:ascii="Times New Roman" w:hAnsi="Times New Roman"/>
          <w:snapToGrid w:val="0"/>
          <w:sz w:val="22"/>
          <w:szCs w:val="22"/>
        </w:rPr>
        <w:t>[2]</w:t>
      </w:r>
      <w:r w:rsidRPr="00A96290">
        <w:rPr>
          <w:rFonts w:ascii="Times New Roman" w:hAnsi="Times New Roman"/>
          <w:snapToGrid w:val="0"/>
          <w:sz w:val="22"/>
          <w:szCs w:val="22"/>
        </w:rPr>
        <w:tab/>
      </w:r>
      <w:hyperlink r:id="rId8" w:history="1">
        <w:r w:rsidRPr="008F6B93">
          <w:rPr>
            <w:rStyle w:val="Hyperlink"/>
            <w:rFonts w:ascii="Times New Roman" w:hAnsi="Times New Roman"/>
            <w:snapToGrid w:val="0"/>
            <w:sz w:val="22"/>
            <w:szCs w:val="22"/>
          </w:rPr>
          <w:t>https://transition.fcc.gov/Daily_Releases/Daily_Business/2018/db0131/FCC-18-4A1.pdf</w:t>
        </w:r>
      </w:hyperlink>
      <w:r>
        <w:rPr>
          <w:rFonts w:ascii="Times New Roman" w:hAnsi="Times New Roman"/>
          <w:snapToGrid w:val="0"/>
          <w:sz w:val="22"/>
          <w:szCs w:val="22"/>
        </w:rPr>
        <w:t xml:space="preserve"> </w:t>
      </w:r>
    </w:p>
    <w:sectPr w:rsidR="00A96290" w:rsidRPr="00A9629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56F8A" w14:textId="77777777" w:rsidR="00037320" w:rsidRDefault="00037320">
      <w:r>
        <w:separator/>
      </w:r>
    </w:p>
  </w:endnote>
  <w:endnote w:type="continuationSeparator" w:id="0">
    <w:p w14:paraId="75AA3421" w14:textId="77777777" w:rsidR="00037320" w:rsidRDefault="0003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5728" w:rsidRDefault="000E57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B9E50" w14:textId="77777777" w:rsidR="00037320" w:rsidRDefault="00037320">
      <w:r>
        <w:separator/>
      </w:r>
    </w:p>
  </w:footnote>
  <w:footnote w:type="continuationSeparator" w:id="0">
    <w:p w14:paraId="684B8B7A" w14:textId="77777777" w:rsidR="00037320" w:rsidRDefault="0003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5728" w:rsidRDefault="000E57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19"/>
  </w:num>
  <w:num w:numId="4">
    <w:abstractNumId w:val="20"/>
  </w:num>
  <w:num w:numId="5">
    <w:abstractNumId w:val="16"/>
  </w:num>
  <w:num w:numId="6">
    <w:abstractNumId w:val="24"/>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8"/>
  </w:num>
  <w:num w:numId="15">
    <w:abstractNumId w:val="21"/>
  </w:num>
  <w:num w:numId="16">
    <w:abstractNumId w:val="31"/>
  </w:num>
  <w:num w:numId="17">
    <w:abstractNumId w:val="11"/>
  </w:num>
  <w:num w:numId="18">
    <w:abstractNumId w:val="13"/>
  </w:num>
  <w:num w:numId="19">
    <w:abstractNumId w:val="7"/>
  </w:num>
  <w:num w:numId="20">
    <w:abstractNumId w:val="33"/>
  </w:num>
  <w:num w:numId="21">
    <w:abstractNumId w:val="18"/>
  </w:num>
  <w:num w:numId="22">
    <w:abstractNumId w:val="32"/>
  </w:num>
  <w:num w:numId="23">
    <w:abstractNumId w:val="12"/>
  </w:num>
  <w:num w:numId="24">
    <w:abstractNumId w:val="22"/>
  </w:num>
  <w:num w:numId="25">
    <w:abstractNumId w:val="34"/>
  </w:num>
  <w:num w:numId="26">
    <w:abstractNumId w:val="3"/>
  </w:num>
  <w:num w:numId="27">
    <w:abstractNumId w:val="10"/>
  </w:num>
  <w:num w:numId="28">
    <w:abstractNumId w:val="30"/>
  </w:num>
  <w:num w:numId="29">
    <w:abstractNumId w:val="5"/>
  </w:num>
  <w:num w:numId="30">
    <w:abstractNumId w:val="6"/>
  </w:num>
  <w:num w:numId="31">
    <w:abstractNumId w:val="27"/>
  </w:num>
  <w:num w:numId="32">
    <w:abstractNumId w:val="9"/>
  </w:num>
  <w:num w:numId="33">
    <w:abstractNumId w:val="23"/>
  </w:num>
  <w:num w:numId="34">
    <w:abstractNumId w:val="14"/>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320"/>
    <w:rsid w:val="00037DC6"/>
    <w:rsid w:val="000422E2"/>
    <w:rsid w:val="00042F22"/>
    <w:rsid w:val="000444EF"/>
    <w:rsid w:val="00045FC2"/>
    <w:rsid w:val="00047A9F"/>
    <w:rsid w:val="00052373"/>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58E2"/>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14BD"/>
    <w:rsid w:val="002C41E6"/>
    <w:rsid w:val="002D071A"/>
    <w:rsid w:val="002D34B2"/>
    <w:rsid w:val="002D3EF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62588"/>
    <w:rsid w:val="00370E47"/>
    <w:rsid w:val="003742AC"/>
    <w:rsid w:val="003752FC"/>
    <w:rsid w:val="00377CE1"/>
    <w:rsid w:val="003836F2"/>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4EC"/>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7C9"/>
    <w:rsid w:val="00683ECE"/>
    <w:rsid w:val="006874BA"/>
    <w:rsid w:val="00694A9F"/>
    <w:rsid w:val="00695FC2"/>
    <w:rsid w:val="00696949"/>
    <w:rsid w:val="00697052"/>
    <w:rsid w:val="00697EBC"/>
    <w:rsid w:val="006A46FB"/>
    <w:rsid w:val="006A5E28"/>
    <w:rsid w:val="006A6369"/>
    <w:rsid w:val="006A697B"/>
    <w:rsid w:val="006A7AFF"/>
    <w:rsid w:val="006B1816"/>
    <w:rsid w:val="006B2099"/>
    <w:rsid w:val="006B50CF"/>
    <w:rsid w:val="006C03B8"/>
    <w:rsid w:val="006C5152"/>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41636"/>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1C5D"/>
    <w:rsid w:val="00AF42D7"/>
    <w:rsid w:val="00AF671D"/>
    <w:rsid w:val="00B006FE"/>
    <w:rsid w:val="00B007CB"/>
    <w:rsid w:val="00B02AA9"/>
    <w:rsid w:val="00B02FA3"/>
    <w:rsid w:val="00B041DD"/>
    <w:rsid w:val="00B04628"/>
    <w:rsid w:val="00B05084"/>
    <w:rsid w:val="00B12997"/>
    <w:rsid w:val="00B157F9"/>
    <w:rsid w:val="00B15A58"/>
    <w:rsid w:val="00B20256"/>
    <w:rsid w:val="00B20D09"/>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682C"/>
    <w:rsid w:val="00C279B5"/>
    <w:rsid w:val="00C27C45"/>
    <w:rsid w:val="00C3719D"/>
    <w:rsid w:val="00C37CB2"/>
    <w:rsid w:val="00C37F70"/>
    <w:rsid w:val="00C405AB"/>
    <w:rsid w:val="00C417E1"/>
    <w:rsid w:val="00C464AA"/>
    <w:rsid w:val="00C473A5"/>
    <w:rsid w:val="00C52930"/>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512D"/>
    <w:rsid w:val="00CB1F63"/>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E4E"/>
    <w:rsid w:val="00D14629"/>
    <w:rsid w:val="00D165E7"/>
    <w:rsid w:val="00D239A7"/>
    <w:rsid w:val="00D23F47"/>
    <w:rsid w:val="00D36E71"/>
    <w:rsid w:val="00D37D87"/>
    <w:rsid w:val="00D40B33"/>
    <w:rsid w:val="00D41AA9"/>
    <w:rsid w:val="00D4318F"/>
    <w:rsid w:val="00D438BF"/>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377D"/>
    <w:rsid w:val="00DC2D36"/>
    <w:rsid w:val="00DC53EF"/>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1D6E"/>
    <w:rsid w:val="00EC24D5"/>
    <w:rsid w:val="00EC27C6"/>
    <w:rsid w:val="00EC4207"/>
    <w:rsid w:val="00EC5653"/>
    <w:rsid w:val="00EC71CE"/>
    <w:rsid w:val="00ED1006"/>
    <w:rsid w:val="00ED4744"/>
    <w:rsid w:val="00EF18FE"/>
    <w:rsid w:val="00EF5787"/>
    <w:rsid w:val="00EF60D0"/>
    <w:rsid w:val="00F03F18"/>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7429"/>
    <w:rsid w:val="00FD07F6"/>
    <w:rsid w:val="00FD1EC8"/>
    <w:rsid w:val="00FD2B99"/>
    <w:rsid w:val="00FD3120"/>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ition.fcc.gov/Daily_Releases/Daily_Business/2018/db0131/FCC-18-4A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923E5-254E-474A-82B0-C53679D4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153</TotalTime>
  <Pages>1</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7</cp:revision>
  <cp:lastPrinted>2008-01-31T07:09:00Z</cp:lastPrinted>
  <dcterms:created xsi:type="dcterms:W3CDTF">2018-08-10T05:58:00Z</dcterms:created>
  <dcterms:modified xsi:type="dcterms:W3CDTF">2018-08-10T10:23:00Z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