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39DE" w14:textId="0E5A3D6D" w:rsidR="00DB562C" w:rsidRPr="008202F3" w:rsidRDefault="00DB562C" w:rsidP="00DB562C">
      <w:pPr>
        <w:pStyle w:val="Header"/>
        <w:rPr>
          <w:i/>
        </w:rPr>
      </w:pPr>
      <w:r w:rsidRPr="008202F3">
        <w:t>TSG-RAN WG1 #9</w:t>
      </w:r>
      <w:r w:rsidR="00BB5943" w:rsidRPr="008202F3">
        <w:t>4</w:t>
      </w:r>
      <w:r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Pr="008202F3">
        <w:t>R1-18</w:t>
      </w:r>
      <w:r w:rsidR="007D38AF">
        <w:t>09409</w:t>
      </w:r>
    </w:p>
    <w:p w14:paraId="6CECDF53" w14:textId="53161813" w:rsidR="00DB562C" w:rsidRPr="008202F3" w:rsidRDefault="008202F3" w:rsidP="00DB562C">
      <w:pPr>
        <w:pStyle w:val="Header"/>
        <w:rPr>
          <w:color w:val="000000"/>
        </w:rPr>
      </w:pPr>
      <w:r>
        <w:t>Gothenbu</w:t>
      </w:r>
      <w:r w:rsidR="00CD353D">
        <w:t>rg</w:t>
      </w:r>
      <w:r w:rsidR="00DB562C" w:rsidRPr="008202F3">
        <w:t xml:space="preserve">, </w:t>
      </w:r>
      <w:r w:rsidR="00CD353D">
        <w:t>Sweden</w:t>
      </w:r>
      <w:r w:rsidR="00DB562C" w:rsidRPr="008202F3">
        <w:t xml:space="preserve">, </w:t>
      </w:r>
      <w:r w:rsidR="00CD353D">
        <w:t>Aug</w:t>
      </w:r>
      <w:r w:rsidR="00DB562C" w:rsidRPr="008202F3">
        <w:t xml:space="preserve"> </w:t>
      </w:r>
      <w:r w:rsidR="00430754" w:rsidRPr="008202F3">
        <w:t>2</w:t>
      </w:r>
      <w:r w:rsidR="00CD353D">
        <w:t>0</w:t>
      </w:r>
      <w:r w:rsidR="00DB562C" w:rsidRPr="008202F3">
        <w:t xml:space="preserve"> – 2</w:t>
      </w:r>
      <w:r w:rsidR="00CD353D">
        <w:t>4</w:t>
      </w:r>
      <w:r w:rsidR="00DB562C" w:rsidRPr="008202F3">
        <w:t>, 2018</w:t>
      </w:r>
    </w:p>
    <w:p w14:paraId="1AC43221" w14:textId="77777777" w:rsidR="00291A4F" w:rsidRPr="008202F3" w:rsidRDefault="00291A4F" w:rsidP="00291A4F">
      <w:pPr>
        <w:rPr>
          <w:rFonts w:ascii="Times" w:hAnsi="Times"/>
          <w:sz w:val="20"/>
          <w:szCs w:val="20"/>
        </w:rPr>
      </w:pPr>
    </w:p>
    <w:p w14:paraId="73C3CF16" w14:textId="17804F38" w:rsidR="00291A4F" w:rsidRDefault="00291A4F" w:rsidP="00291A4F">
      <w:pPr>
        <w:tabs>
          <w:tab w:val="left" w:pos="1701"/>
          <w:tab w:val="right" w:pos="9072"/>
          <w:tab w:val="right" w:pos="10206"/>
        </w:tabs>
        <w:rPr>
          <w:rFonts w:ascii="Arial" w:hAnsi="Arial"/>
          <w:b/>
          <w:sz w:val="20"/>
          <w:szCs w:val="20"/>
        </w:rPr>
      </w:pPr>
      <w:r w:rsidRPr="008202F3">
        <w:rPr>
          <w:rFonts w:ascii="Arial" w:hAnsi="Arial"/>
          <w:b/>
          <w:sz w:val="20"/>
          <w:szCs w:val="20"/>
        </w:rPr>
        <w:t>Agenda Item:</w:t>
      </w:r>
      <w:r w:rsidRPr="008202F3">
        <w:rPr>
          <w:rFonts w:ascii="Arial" w:hAnsi="Arial"/>
          <w:b/>
          <w:sz w:val="20"/>
          <w:szCs w:val="20"/>
        </w:rPr>
        <w:tab/>
        <w:t>7.1.</w:t>
      </w:r>
      <w:r w:rsidR="007D38AF">
        <w:rPr>
          <w:rFonts w:ascii="Arial" w:hAnsi="Arial"/>
          <w:b/>
          <w:sz w:val="20"/>
          <w:szCs w:val="20"/>
        </w:rPr>
        <w:t>4</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42ABBFCD"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r w:rsidR="007D38AF" w:rsidRPr="007D38AF">
        <w:rPr>
          <w:b/>
          <w:lang w:eastAsia="x-none"/>
        </w:rPr>
        <w:t>Remaining issues related to LTE-NR coexistence</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55DC42AA" w14:textId="026F259C" w:rsidR="00713019" w:rsidRDefault="00A530B8" w:rsidP="00713019">
      <w:bookmarkStart w:id="2" w:name="_Hlk521661433"/>
      <w:r>
        <w:t>In this contribution we follow</w:t>
      </w:r>
      <w:r w:rsidR="00BC565D">
        <w:t xml:space="preserve"> </w:t>
      </w:r>
      <w:r>
        <w:t>up on the remaining issues related to NR-LTE coex</w:t>
      </w:r>
      <w:r w:rsidR="00BC565D">
        <w:t>istence</w:t>
      </w:r>
      <w:r w:rsidR="00DF61FA">
        <w:t xml:space="preserve"> and provide </w:t>
      </w:r>
      <w:r w:rsidR="00AC2EBE">
        <w:t xml:space="preserve">a </w:t>
      </w:r>
      <w:r w:rsidR="00DF61FA">
        <w:t xml:space="preserve">high-level framework </w:t>
      </w:r>
      <w:r w:rsidR="00AC2EBE">
        <w:t xml:space="preserve">for </w:t>
      </w:r>
      <w:r w:rsidR="00DF61FA">
        <w:t xml:space="preserve">power sharing between NR and LTE for </w:t>
      </w:r>
      <w:r w:rsidR="00697E9B">
        <w:t>architecture</w:t>
      </w:r>
      <w:r w:rsidR="00DF61FA">
        <w:t xml:space="preserve"> Option 4/4A</w:t>
      </w:r>
      <w:r w:rsidR="00430754">
        <w:t xml:space="preserve">. </w:t>
      </w:r>
      <w:r w:rsidR="006A7922">
        <w:t>Section 2.2 is a slightly revised version of the discussion from [</w:t>
      </w:r>
      <w:r w:rsidR="00C76897">
        <w:t>6</w:t>
      </w:r>
      <w:r w:rsidR="006A7922">
        <w:t>].</w:t>
      </w:r>
    </w:p>
    <w:bookmarkEnd w:id="2"/>
    <w:p w14:paraId="46AE4652" w14:textId="61842F84" w:rsidR="00372D51" w:rsidRDefault="00405B38" w:rsidP="00372D51">
      <w:pPr>
        <w:pStyle w:val="Heading1"/>
      </w:pPr>
      <w:r>
        <w:t xml:space="preserve">Discussion </w:t>
      </w:r>
    </w:p>
    <w:p w14:paraId="1C2CFC1A" w14:textId="293D2E38" w:rsidR="000C0635" w:rsidRDefault="000C0635" w:rsidP="000C0635">
      <w:pPr>
        <w:pStyle w:val="Heading2"/>
        <w:rPr>
          <w:lang w:val="en-GB" w:eastAsia="zh-CN"/>
        </w:rPr>
      </w:pPr>
      <w:r>
        <w:rPr>
          <w:lang w:val="en-GB" w:eastAsia="zh-CN"/>
        </w:rPr>
        <w:t xml:space="preserve">2.1 </w:t>
      </w:r>
      <w:bookmarkStart w:id="3" w:name="_Hlk521661462"/>
      <w:r w:rsidR="00163538" w:rsidRPr="00B92AF6">
        <w:rPr>
          <w:lang w:eastAsia="x-none"/>
        </w:rPr>
        <w:t>RAN4 agreement on intra</w:t>
      </w:r>
      <w:r w:rsidR="00200375">
        <w:rPr>
          <w:lang w:eastAsia="x-none"/>
        </w:rPr>
        <w:t>-</w:t>
      </w:r>
      <w:r w:rsidR="00163538" w:rsidRPr="00B92AF6">
        <w:rPr>
          <w:lang w:eastAsia="x-none"/>
        </w:rPr>
        <w:t>band EN-DC A-MPR</w:t>
      </w:r>
      <w:bookmarkEnd w:id="3"/>
    </w:p>
    <w:p w14:paraId="2D0EBB88" w14:textId="77777777" w:rsidR="00200375" w:rsidRDefault="00200375" w:rsidP="003B23AD">
      <w:pPr>
        <w:rPr>
          <w:lang w:val="en-GB" w:eastAsia="zh-CN"/>
        </w:rPr>
      </w:pPr>
    </w:p>
    <w:p w14:paraId="4ADF1946" w14:textId="0A2C3948" w:rsidR="00A72C46" w:rsidRDefault="007223F8" w:rsidP="00200375">
      <w:pPr>
        <w:rPr>
          <w:lang w:eastAsia="x-none"/>
        </w:rPr>
      </w:pPr>
      <w:r>
        <w:rPr>
          <w:lang w:val="en-GB" w:eastAsia="zh-CN"/>
        </w:rPr>
        <w:t xml:space="preserve">RAN1 received a LS from RAN4 [1] </w:t>
      </w:r>
      <w:r w:rsidRPr="007223F8">
        <w:rPr>
          <w:lang w:val="en-GB" w:eastAsia="zh-CN"/>
        </w:rPr>
        <w:t>request</w:t>
      </w:r>
      <w:r>
        <w:rPr>
          <w:lang w:val="en-GB" w:eastAsia="zh-CN"/>
        </w:rPr>
        <w:t>ing</w:t>
      </w:r>
      <w:r w:rsidRPr="007223F8">
        <w:rPr>
          <w:lang w:val="en-GB" w:eastAsia="zh-CN"/>
        </w:rPr>
        <w:t xml:space="preserve"> RAN1 to consider whether the RAN4 definition of MPR and A-MPR </w:t>
      </w:r>
      <w:r>
        <w:rPr>
          <w:lang w:val="en-GB" w:eastAsia="zh-CN"/>
        </w:rPr>
        <w:t xml:space="preserve">for </w:t>
      </w:r>
      <w:r w:rsidRPr="00B92AF6">
        <w:rPr>
          <w:lang w:eastAsia="x-none"/>
        </w:rPr>
        <w:t>intra</w:t>
      </w:r>
      <w:r>
        <w:rPr>
          <w:lang w:eastAsia="x-none"/>
        </w:rPr>
        <w:t>-</w:t>
      </w:r>
      <w:r w:rsidRPr="00B92AF6">
        <w:rPr>
          <w:lang w:eastAsia="x-none"/>
        </w:rPr>
        <w:t xml:space="preserve">band EN-DC </w:t>
      </w:r>
      <w:r>
        <w:rPr>
          <w:lang w:eastAsia="x-none"/>
        </w:rPr>
        <w:t xml:space="preserve">was consistent </w:t>
      </w:r>
      <w:r w:rsidR="0033719B">
        <w:rPr>
          <w:lang w:eastAsia="x-none"/>
        </w:rPr>
        <w:t xml:space="preserve">with </w:t>
      </w:r>
      <w:r>
        <w:rPr>
          <w:lang w:eastAsia="x-none"/>
        </w:rPr>
        <w:t>‘RAN1 power control design ‘. Aspects raised in the RAN4 LS were considered in [93-NR-01] email discussion and RAN1 sent a reply LS to RAN4 in [2].</w:t>
      </w:r>
      <w:r w:rsidR="00FA3791">
        <w:rPr>
          <w:lang w:eastAsia="x-none"/>
        </w:rPr>
        <w:t xml:space="preserve"> </w:t>
      </w:r>
    </w:p>
    <w:p w14:paraId="5A201233" w14:textId="6913B0A9" w:rsidR="00FA3791" w:rsidRDefault="008A7D4F" w:rsidP="00200375">
      <w:pPr>
        <w:rPr>
          <w:rFonts w:cs="Vrinda"/>
          <w:lang w:bidi="bn-IN"/>
        </w:rPr>
      </w:pPr>
      <w:r>
        <w:rPr>
          <w:lang w:eastAsia="x-none"/>
        </w:rPr>
        <w:t xml:space="preserve">For EN-DC case, </w:t>
      </w:r>
      <w:r w:rsidR="00FA3791">
        <w:rPr>
          <w:lang w:eastAsia="x-none"/>
        </w:rPr>
        <w:t xml:space="preserve">RAN4 is currently discussing the definitions </w:t>
      </w:r>
      <w:proofErr w:type="spellStart"/>
      <w:proofErr w:type="gramStart"/>
      <w:r w:rsidR="00FA3791" w:rsidRPr="00505539">
        <w:rPr>
          <w:lang w:bidi="bn-IN"/>
        </w:rPr>
        <w:t>P</w:t>
      </w:r>
      <w:r w:rsidR="00FA3791" w:rsidRPr="00505539">
        <w:rPr>
          <w:vertAlign w:val="subscript"/>
          <w:lang w:bidi="bn-IN"/>
        </w:rPr>
        <w:t>CMAX</w:t>
      </w:r>
      <w:r w:rsidR="00FA3791" w:rsidRPr="00505539">
        <w:rPr>
          <w:rFonts w:cs="Vrinda"/>
          <w:vertAlign w:val="subscript"/>
          <w:lang w:bidi="bn-IN"/>
        </w:rPr>
        <w:t>,</w:t>
      </w:r>
      <w:r w:rsidR="00FA3791" w:rsidRPr="00505539">
        <w:rPr>
          <w:rFonts w:cs="Vrinda"/>
          <w:i/>
          <w:vertAlign w:val="subscript"/>
          <w:lang w:bidi="bn-IN"/>
        </w:rPr>
        <w:t>c</w:t>
      </w:r>
      <w:proofErr w:type="spellEnd"/>
      <w:proofErr w:type="gramEnd"/>
      <w:r w:rsidR="00FA3791">
        <w:rPr>
          <w:rFonts w:cs="Vrinda"/>
          <w:i/>
          <w:vertAlign w:val="subscript"/>
          <w:lang w:bidi="bn-IN"/>
        </w:rPr>
        <w:t xml:space="preserve"> </w:t>
      </w:r>
      <w:r w:rsidR="00FA3791">
        <w:rPr>
          <w:rFonts w:cs="Vrinda"/>
          <w:lang w:bidi="bn-IN"/>
        </w:rPr>
        <w:t xml:space="preserve">for LTE and NR serving cells </w:t>
      </w:r>
      <w:r>
        <w:rPr>
          <w:rFonts w:cs="Vrinda"/>
          <w:lang w:bidi="bn-IN"/>
        </w:rPr>
        <w:t xml:space="preserve">and </w:t>
      </w:r>
      <w:r w:rsidR="0033719B">
        <w:rPr>
          <w:rFonts w:cs="Vrinda"/>
          <w:lang w:bidi="bn-IN"/>
        </w:rPr>
        <w:t xml:space="preserve">definition of </w:t>
      </w:r>
      <w:r w:rsidRPr="00FF7654">
        <w:rPr>
          <w:lang w:val="sv-SE"/>
        </w:rPr>
        <w:t>P</w:t>
      </w:r>
      <w:r w:rsidRPr="00FF7654">
        <w:rPr>
          <w:vertAlign w:val="subscript"/>
          <w:lang w:val="sv-SE"/>
        </w:rPr>
        <w:t>EN-DC</w:t>
      </w:r>
      <w:r>
        <w:rPr>
          <w:vertAlign w:val="subscript"/>
          <w:lang w:val="sv-SE"/>
        </w:rPr>
        <w:t>,tot</w:t>
      </w:r>
      <w:r w:rsidR="00FA3791">
        <w:rPr>
          <w:rFonts w:cs="Vrinda"/>
          <w:lang w:bidi="bn-IN"/>
        </w:rPr>
        <w:t xml:space="preserve">. </w:t>
      </w:r>
      <w:r>
        <w:rPr>
          <w:rFonts w:cs="Vrinda"/>
          <w:lang w:bidi="bn-IN"/>
        </w:rPr>
        <w:t xml:space="preserve">Detailed proposals for the definition of these parameters are provided in </w:t>
      </w:r>
      <w:r w:rsidR="00FA3791">
        <w:rPr>
          <w:rFonts w:cs="Vrinda"/>
          <w:lang w:bidi="bn-IN"/>
        </w:rPr>
        <w:t xml:space="preserve">our RAN4 </w:t>
      </w:r>
      <w:r>
        <w:rPr>
          <w:rFonts w:cs="Vrinda"/>
          <w:lang w:bidi="bn-IN"/>
        </w:rPr>
        <w:t xml:space="preserve">contributions </w:t>
      </w:r>
      <w:r w:rsidR="00FA3791">
        <w:rPr>
          <w:rFonts w:cs="Vrinda"/>
          <w:lang w:bidi="bn-IN"/>
        </w:rPr>
        <w:t>[3],</w:t>
      </w:r>
      <w:r w:rsidR="00051684">
        <w:rPr>
          <w:rFonts w:cs="Vrinda"/>
          <w:lang w:bidi="bn-IN"/>
        </w:rPr>
        <w:t xml:space="preserve"> </w:t>
      </w:r>
      <w:r w:rsidR="00FA3791">
        <w:rPr>
          <w:rFonts w:cs="Vrinda"/>
          <w:lang w:bidi="bn-IN"/>
        </w:rPr>
        <w:t>[4],</w:t>
      </w:r>
      <w:r w:rsidR="00051684">
        <w:rPr>
          <w:rFonts w:cs="Vrinda"/>
          <w:lang w:bidi="bn-IN"/>
        </w:rPr>
        <w:t xml:space="preserve"> </w:t>
      </w:r>
      <w:r w:rsidR="00FA3791">
        <w:rPr>
          <w:rFonts w:cs="Vrinda"/>
          <w:lang w:bidi="bn-IN"/>
        </w:rPr>
        <w:t xml:space="preserve">[5] </w:t>
      </w:r>
      <w:r>
        <w:rPr>
          <w:rFonts w:cs="Vrinda"/>
          <w:lang w:bidi="bn-IN"/>
        </w:rPr>
        <w:t xml:space="preserve">submitted </w:t>
      </w:r>
      <w:r w:rsidR="007D38AF">
        <w:rPr>
          <w:rFonts w:cs="Vrinda"/>
          <w:lang w:bidi="bn-IN"/>
        </w:rPr>
        <w:t>to</w:t>
      </w:r>
      <w:r>
        <w:rPr>
          <w:rFonts w:cs="Vrinda"/>
          <w:lang w:bidi="bn-IN"/>
        </w:rPr>
        <w:t xml:space="preserve"> </w:t>
      </w:r>
      <w:r w:rsidR="00046803">
        <w:rPr>
          <w:rFonts w:cs="Vrinda"/>
          <w:lang w:bidi="bn-IN"/>
        </w:rPr>
        <w:t>RAN4#88</w:t>
      </w:r>
      <w:r>
        <w:rPr>
          <w:rFonts w:cs="Vrinda"/>
          <w:lang w:bidi="bn-IN"/>
        </w:rPr>
        <w:t>.</w:t>
      </w:r>
      <w:r w:rsidR="00051684">
        <w:rPr>
          <w:rFonts w:cs="Vrinda"/>
          <w:lang w:bidi="bn-IN"/>
        </w:rPr>
        <w:t xml:space="preserve"> While </w:t>
      </w:r>
      <w:r w:rsidR="0033719B">
        <w:rPr>
          <w:rFonts w:cs="Vrinda"/>
          <w:lang w:bidi="bn-IN"/>
        </w:rPr>
        <w:t xml:space="preserve">the discussion on these proposals will occur in </w:t>
      </w:r>
      <w:r w:rsidR="00051684">
        <w:rPr>
          <w:rFonts w:cs="Vrinda"/>
          <w:lang w:bidi="bn-IN"/>
        </w:rPr>
        <w:t xml:space="preserve">RAN4, </w:t>
      </w:r>
      <w:r w:rsidR="004E509D">
        <w:rPr>
          <w:rFonts w:cs="Vrinda"/>
          <w:lang w:bidi="bn-IN"/>
        </w:rPr>
        <w:t xml:space="preserve">we </w:t>
      </w:r>
      <w:r w:rsidR="00051684">
        <w:rPr>
          <w:rFonts w:cs="Vrinda"/>
          <w:lang w:bidi="bn-IN"/>
        </w:rPr>
        <w:t xml:space="preserve">note that the proposed definitions </w:t>
      </w:r>
      <w:proofErr w:type="gramStart"/>
      <w:r w:rsidR="00051684">
        <w:rPr>
          <w:rFonts w:cs="Vrinda"/>
          <w:lang w:bidi="bn-IN"/>
        </w:rPr>
        <w:t>take into account</w:t>
      </w:r>
      <w:proofErr w:type="gramEnd"/>
      <w:r w:rsidR="00051684">
        <w:rPr>
          <w:rFonts w:cs="Vrinda"/>
          <w:lang w:bidi="bn-IN"/>
        </w:rPr>
        <w:t xml:space="preserve"> the following</w:t>
      </w:r>
    </w:p>
    <w:p w14:paraId="5B593091" w14:textId="77777777" w:rsidR="00051684" w:rsidRDefault="00051684" w:rsidP="00051684">
      <w:pPr>
        <w:pStyle w:val="BodyText"/>
        <w:numPr>
          <w:ilvl w:val="0"/>
          <w:numId w:val="34"/>
        </w:numPr>
        <w:spacing w:after="120" w:line="240" w:lineRule="auto"/>
      </w:pPr>
      <w:r>
        <w:t>the PRB allocation on the LTE CG (MCG) is known to the NR CG (SCG), but the PRB allocation on the SCG is not necessarily known to the MCG</w:t>
      </w:r>
    </w:p>
    <w:p w14:paraId="51D44D6D" w14:textId="77777777" w:rsidR="004E509D" w:rsidRDefault="004E509D" w:rsidP="004E509D">
      <w:pPr>
        <w:pStyle w:val="BodyText"/>
        <w:numPr>
          <w:ilvl w:val="0"/>
          <w:numId w:val="34"/>
        </w:numPr>
        <w:spacing w:after="120" w:line="240" w:lineRule="auto"/>
      </w:pPr>
      <w:r>
        <w:t xml:space="preserve">the A-MPR for the total UE power </w:t>
      </w:r>
      <w:r w:rsidRPr="00A32DAF">
        <w:rPr>
          <w:rFonts w:eastAsia="Times New Roman"/>
          <w:noProof/>
          <w:position w:val="-10"/>
        </w:rPr>
        <w:drawing>
          <wp:inline distT="0" distB="0" distL="0" distR="0" wp14:anchorId="58AB3A6B" wp14:editId="3BED0352">
            <wp:extent cx="3714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63855"/>
                    <a:stretch>
                      <a:fillRect/>
                    </a:stretch>
                  </pic:blipFill>
                  <pic:spPr bwMode="auto">
                    <a:xfrm>
                      <a:off x="0" y="0"/>
                      <a:ext cx="371475" cy="219075"/>
                    </a:xfrm>
                    <a:prstGeom prst="rect">
                      <a:avLst/>
                    </a:prstGeom>
                    <a:noFill/>
                    <a:ln>
                      <a:noFill/>
                    </a:ln>
                  </pic:spPr>
                </pic:pic>
              </a:graphicData>
            </a:graphic>
          </wp:inline>
        </w:drawing>
      </w:r>
      <w:r>
        <w:t xml:space="preserve">is determined by the PRB allocations on both CGs and the UL power is limited by the </w:t>
      </w:r>
      <w:proofErr w:type="spellStart"/>
      <w:proofErr w:type="gramStart"/>
      <w:r>
        <w:t>Ppowerclass,EN</w:t>
      </w:r>
      <w:proofErr w:type="spellEnd"/>
      <w:proofErr w:type="gramEnd"/>
      <w:r>
        <w:t>-DC and cell-specific P-</w:t>
      </w:r>
      <w:proofErr w:type="spellStart"/>
      <w:r>
        <w:t>Max,EN</w:t>
      </w:r>
      <w:proofErr w:type="spellEnd"/>
      <w:r>
        <w:t>-DC (if specified)</w:t>
      </w:r>
    </w:p>
    <w:p w14:paraId="7D272AB4" w14:textId="7970D818" w:rsidR="00051684" w:rsidRDefault="00051684" w:rsidP="00051684">
      <w:pPr>
        <w:pStyle w:val="BodyText"/>
        <w:numPr>
          <w:ilvl w:val="0"/>
          <w:numId w:val="34"/>
        </w:numPr>
        <w:spacing w:after="120" w:line="240" w:lineRule="auto"/>
      </w:pPr>
      <w:r>
        <w:t>the A-MPR on the MCG</w:t>
      </w:r>
      <w:r w:rsidR="00EA2640">
        <w:t>(LTE)</w:t>
      </w:r>
      <w:r>
        <w:t xml:space="preserve"> is determined by the PRB allocation on the MCG only and the UL power is limited by the </w:t>
      </w:r>
      <w:proofErr w:type="spellStart"/>
      <w:proofErr w:type="gramStart"/>
      <w:r>
        <w:t>Ppowerclass,MCG</w:t>
      </w:r>
      <w:proofErr w:type="spellEnd"/>
      <w:proofErr w:type="gramEnd"/>
      <w:r>
        <w:t>, the cell-specific P-Max and the dedicated P_LTE (if present)</w:t>
      </w:r>
    </w:p>
    <w:p w14:paraId="17BD0D1B" w14:textId="1B7DA580" w:rsidR="00051684" w:rsidRPr="00051684" w:rsidRDefault="00051684" w:rsidP="00200375">
      <w:pPr>
        <w:pStyle w:val="BodyText"/>
        <w:numPr>
          <w:ilvl w:val="0"/>
          <w:numId w:val="34"/>
        </w:numPr>
        <w:spacing w:after="120" w:line="240" w:lineRule="auto"/>
      </w:pPr>
      <w:r>
        <w:t xml:space="preserve">the A-MPR on the SCG (NR) is the same as that for the total power </w:t>
      </w:r>
      <w:r w:rsidRPr="00A32DAF">
        <w:rPr>
          <w:rFonts w:eastAsia="Times New Roman"/>
          <w:noProof/>
          <w:position w:val="-10"/>
        </w:rPr>
        <w:drawing>
          <wp:inline distT="0" distB="0" distL="0" distR="0" wp14:anchorId="067F43D0" wp14:editId="1AC872C9">
            <wp:extent cx="3714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63855"/>
                    <a:stretch>
                      <a:fillRect/>
                    </a:stretch>
                  </pic:blipFill>
                  <pic:spPr bwMode="auto">
                    <a:xfrm>
                      <a:off x="0" y="0"/>
                      <a:ext cx="371475" cy="219075"/>
                    </a:xfrm>
                    <a:prstGeom prst="rect">
                      <a:avLst/>
                    </a:prstGeom>
                    <a:noFill/>
                    <a:ln>
                      <a:noFill/>
                    </a:ln>
                  </pic:spPr>
                </pic:pic>
              </a:graphicData>
            </a:graphic>
          </wp:inline>
        </w:drawing>
      </w:r>
      <w:r>
        <w:t xml:space="preserve"> and </w:t>
      </w:r>
      <w:r w:rsidR="00046803">
        <w:t xml:space="preserve">is </w:t>
      </w:r>
      <w:r>
        <w:t xml:space="preserve">limited by the </w:t>
      </w:r>
      <w:proofErr w:type="spellStart"/>
      <w:proofErr w:type="gramStart"/>
      <w:r>
        <w:t>Ppowerclass,MCG</w:t>
      </w:r>
      <w:proofErr w:type="spellEnd"/>
      <w:proofErr w:type="gramEnd"/>
      <w:r>
        <w:t xml:space="preserve"> and the cell-specific P-Max and the dedicated P_LTE if present</w:t>
      </w:r>
    </w:p>
    <w:p w14:paraId="3E0EEB03" w14:textId="07E1CA34" w:rsidR="0020323F" w:rsidRDefault="0033719B" w:rsidP="00200375">
      <w:pPr>
        <w:rPr>
          <w:rFonts w:cs="Vrinda"/>
          <w:lang w:bidi="bn-IN"/>
        </w:rPr>
      </w:pPr>
      <w:r>
        <w:rPr>
          <w:rFonts w:cs="Vrinda"/>
          <w:lang w:bidi="bn-IN"/>
        </w:rPr>
        <w:t>T</w:t>
      </w:r>
      <w:r w:rsidR="008A6FD5">
        <w:rPr>
          <w:rFonts w:cs="Vrinda"/>
          <w:lang w:bidi="bn-IN"/>
        </w:rPr>
        <w:t xml:space="preserve">he proposed </w:t>
      </w:r>
      <w:proofErr w:type="spellStart"/>
      <w:proofErr w:type="gramStart"/>
      <w:r w:rsidRPr="00505539">
        <w:rPr>
          <w:lang w:bidi="bn-IN"/>
        </w:rPr>
        <w:t>P</w:t>
      </w:r>
      <w:r w:rsidRPr="00505539">
        <w:rPr>
          <w:vertAlign w:val="subscript"/>
          <w:lang w:bidi="bn-IN"/>
        </w:rPr>
        <w:t>CMAX</w:t>
      </w:r>
      <w:r w:rsidRPr="00505539">
        <w:rPr>
          <w:rFonts w:cs="Vrinda"/>
          <w:vertAlign w:val="subscript"/>
          <w:lang w:bidi="bn-IN"/>
        </w:rPr>
        <w:t>,</w:t>
      </w:r>
      <w:r w:rsidRPr="00505539">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sidRPr="00FF7654">
        <w:rPr>
          <w:lang w:val="sv-SE"/>
        </w:rPr>
        <w:t>P</w:t>
      </w:r>
      <w:r w:rsidRPr="00FF7654">
        <w:rPr>
          <w:vertAlign w:val="subscript"/>
          <w:lang w:val="sv-SE"/>
        </w:rPr>
        <w:t>EN-DC</w:t>
      </w:r>
      <w:r>
        <w:rPr>
          <w:vertAlign w:val="subscript"/>
          <w:lang w:val="sv-SE"/>
        </w:rPr>
        <w:t>,tot</w:t>
      </w:r>
      <w:r>
        <w:rPr>
          <w:rFonts w:cs="Vrinda"/>
          <w:lang w:bidi="bn-IN"/>
        </w:rPr>
        <w:t xml:space="preserve">  d</w:t>
      </w:r>
      <w:r w:rsidR="008A6FD5">
        <w:rPr>
          <w:rFonts w:cs="Vrinda"/>
          <w:lang w:bidi="bn-IN"/>
        </w:rPr>
        <w:t xml:space="preserve">efinitions use the existing A-MPR </w:t>
      </w:r>
      <w:r>
        <w:rPr>
          <w:rFonts w:cs="Vrinda"/>
          <w:lang w:bidi="bn-IN"/>
        </w:rPr>
        <w:t xml:space="preserve">formulas </w:t>
      </w:r>
      <w:r w:rsidR="008A6FD5">
        <w:rPr>
          <w:rFonts w:cs="Vrinda"/>
          <w:lang w:bidi="bn-IN"/>
        </w:rPr>
        <w:t>in 38.101-3 for intra-band EN-DC cases</w:t>
      </w:r>
      <w:r>
        <w:rPr>
          <w:rFonts w:cs="Vrinda"/>
          <w:lang w:bidi="bn-IN"/>
        </w:rPr>
        <w:t xml:space="preserve"> (i.e., based on both LTE and NR resource allocations). However, those A-MPR formulas are used only for determining </w:t>
      </w:r>
      <w:proofErr w:type="spellStart"/>
      <w:proofErr w:type="gramStart"/>
      <w:r w:rsidRPr="00505539">
        <w:rPr>
          <w:lang w:bidi="bn-IN"/>
        </w:rPr>
        <w:t>P</w:t>
      </w:r>
      <w:r w:rsidRPr="00505539">
        <w:rPr>
          <w:vertAlign w:val="subscript"/>
          <w:lang w:bidi="bn-IN"/>
        </w:rPr>
        <w:t>CMAX</w:t>
      </w:r>
      <w:r w:rsidRPr="00505539">
        <w:rPr>
          <w:rFonts w:cs="Vrinda"/>
          <w:vertAlign w:val="subscript"/>
          <w:lang w:bidi="bn-IN"/>
        </w:rPr>
        <w:t>,</w:t>
      </w:r>
      <w:r w:rsidRPr="00505539">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for </w:t>
      </w:r>
      <w:r w:rsidR="0020323F">
        <w:rPr>
          <w:rFonts w:cs="Vrinda"/>
          <w:lang w:bidi="bn-IN"/>
        </w:rPr>
        <w:t xml:space="preserve">the </w:t>
      </w:r>
      <w:r>
        <w:rPr>
          <w:rFonts w:cs="Vrinda"/>
          <w:lang w:bidi="bn-IN"/>
        </w:rPr>
        <w:t xml:space="preserve">NR CG and </w:t>
      </w:r>
      <w:r w:rsidRPr="00FF7654">
        <w:rPr>
          <w:lang w:val="sv-SE"/>
        </w:rPr>
        <w:t>P</w:t>
      </w:r>
      <w:r w:rsidRPr="00FF7654">
        <w:rPr>
          <w:vertAlign w:val="subscript"/>
          <w:lang w:val="sv-SE"/>
        </w:rPr>
        <w:t>EN-DC</w:t>
      </w:r>
      <w:r>
        <w:rPr>
          <w:vertAlign w:val="subscript"/>
          <w:lang w:val="sv-SE"/>
        </w:rPr>
        <w:t>,tot</w:t>
      </w:r>
      <w:r>
        <w:rPr>
          <w:rFonts w:cs="Vrinda"/>
          <w:lang w:bidi="bn-IN"/>
        </w:rPr>
        <w:t xml:space="preserve"> . </w:t>
      </w:r>
      <w:r w:rsidR="007D38AF">
        <w:rPr>
          <w:rFonts w:cs="Vrinda"/>
          <w:lang w:bidi="bn-IN"/>
        </w:rPr>
        <w:t>As per RAN1 specifications</w:t>
      </w:r>
      <w:r>
        <w:rPr>
          <w:rFonts w:cs="Vrinda"/>
          <w:lang w:bidi="bn-IN"/>
        </w:rPr>
        <w:t xml:space="preserve">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rPr>
          <w:rFonts w:cs="Vrinda"/>
          <w:lang w:bidi="bn-IN"/>
        </w:rPr>
        <w:t xml:space="preserve">  is used </w:t>
      </w:r>
      <w:r w:rsidR="0020323F">
        <w:rPr>
          <w:rFonts w:cs="Vrinda"/>
          <w:lang w:bidi="bn-IN"/>
        </w:rPr>
        <w:t xml:space="preserve">only </w:t>
      </w:r>
      <w:r>
        <w:rPr>
          <w:rFonts w:cs="Vrinda"/>
          <w:lang w:bidi="bn-IN"/>
        </w:rPr>
        <w:t xml:space="preserve">to determine whether </w:t>
      </w:r>
      <w:r w:rsidR="007D38AF">
        <w:rPr>
          <w:rFonts w:cs="Vrinda"/>
          <w:lang w:bidi="bn-IN"/>
        </w:rPr>
        <w:t xml:space="preserve">to </w:t>
      </w:r>
      <w:r>
        <w:rPr>
          <w:rFonts w:cs="Vrinda"/>
          <w:lang w:bidi="bn-IN"/>
        </w:rPr>
        <w:t>scale down NR power or not</w:t>
      </w:r>
      <w:r w:rsidR="007D38AF">
        <w:rPr>
          <w:rFonts w:cs="Vrinda"/>
          <w:lang w:bidi="bn-IN"/>
        </w:rPr>
        <w:t>.</w:t>
      </w:r>
      <w:r w:rsidR="0020323F">
        <w:rPr>
          <w:rFonts w:cs="Vrinda"/>
          <w:lang w:bidi="bn-IN"/>
        </w:rPr>
        <w:t xml:space="preserve"> </w:t>
      </w:r>
      <w:r w:rsidR="007D38AF">
        <w:rPr>
          <w:rFonts w:cs="Vrinda"/>
          <w:lang w:bidi="bn-IN"/>
        </w:rPr>
        <w:t xml:space="preserve">Therefore, </w:t>
      </w:r>
      <w:r w:rsidR="0020323F">
        <w:rPr>
          <w:rFonts w:cs="Vrinda"/>
          <w:lang w:bidi="bn-IN"/>
        </w:rPr>
        <w:t xml:space="preserve">with these proposed definitions, both RAN1 and RAN4 specifications will </w:t>
      </w:r>
      <w:proofErr w:type="gramStart"/>
      <w:r w:rsidR="0020323F">
        <w:rPr>
          <w:rFonts w:cs="Vrinda"/>
          <w:lang w:bidi="bn-IN"/>
        </w:rPr>
        <w:t>take into account</w:t>
      </w:r>
      <w:proofErr w:type="gramEnd"/>
      <w:r w:rsidR="0020323F">
        <w:rPr>
          <w:rFonts w:cs="Vrinda"/>
          <w:lang w:bidi="bn-IN"/>
        </w:rPr>
        <w:t xml:space="preserve"> the assumption that NR transmission details are not used for </w:t>
      </w:r>
      <w:r w:rsidR="0020323F" w:rsidRPr="004E509D">
        <w:rPr>
          <w:rFonts w:cs="Vrinda"/>
          <w:lang w:bidi="bn-IN"/>
        </w:rPr>
        <w:t xml:space="preserve">calculation of transmission power </w:t>
      </w:r>
      <w:r w:rsidR="0020323F">
        <w:rPr>
          <w:rFonts w:cs="Vrinda"/>
          <w:lang w:bidi="bn-IN"/>
        </w:rPr>
        <w:t xml:space="preserve">of </w:t>
      </w:r>
      <w:r w:rsidR="0020323F" w:rsidRPr="004E509D">
        <w:rPr>
          <w:rFonts w:cs="Vrinda"/>
          <w:lang w:bidi="bn-IN"/>
        </w:rPr>
        <w:t>LTE</w:t>
      </w:r>
      <w:r w:rsidR="0020323F">
        <w:rPr>
          <w:rFonts w:cs="Vrinda"/>
          <w:lang w:bidi="bn-IN"/>
        </w:rPr>
        <w:t xml:space="preserve">. </w:t>
      </w:r>
    </w:p>
    <w:p w14:paraId="799405DD" w14:textId="16892490" w:rsidR="0020323F" w:rsidRPr="001F4522" w:rsidRDefault="007D38AF" w:rsidP="00200375">
      <w:pPr>
        <w:rPr>
          <w:lang w:eastAsia="x-none"/>
        </w:rPr>
      </w:pPr>
      <w:r>
        <w:rPr>
          <w:rFonts w:cs="Vrinda"/>
          <w:lang w:bidi="bn-IN"/>
        </w:rPr>
        <w:t>Also, w</w:t>
      </w:r>
      <w:r w:rsidR="0020323F">
        <w:rPr>
          <w:rFonts w:cs="Vrinda"/>
          <w:lang w:bidi="bn-IN"/>
        </w:rPr>
        <w:t>ith this approach NR scheduling can be done by utilizing the full flexibility provided in the specifications</w:t>
      </w:r>
      <w:r w:rsidR="00CD4D32">
        <w:rPr>
          <w:rFonts w:cs="Vrinda"/>
          <w:lang w:bidi="bn-IN"/>
        </w:rPr>
        <w:t xml:space="preserve">. </w:t>
      </w:r>
      <w:proofErr w:type="gramStart"/>
      <w:r>
        <w:rPr>
          <w:rFonts w:cs="Vrinda"/>
          <w:lang w:bidi="bn-IN"/>
        </w:rPr>
        <w:t>Finally</w:t>
      </w:r>
      <w:proofErr w:type="gramEnd"/>
      <w:r w:rsidR="00DF1796">
        <w:rPr>
          <w:rFonts w:cs="Vrinda"/>
          <w:lang w:bidi="bn-IN"/>
        </w:rPr>
        <w:t xml:space="preserve"> </w:t>
      </w:r>
      <w:r w:rsidR="00CD4D32">
        <w:rPr>
          <w:rFonts w:cs="Vrinda"/>
          <w:lang w:bidi="bn-IN"/>
        </w:rPr>
        <w:t>it should be noted that</w:t>
      </w:r>
      <w:r>
        <w:rPr>
          <w:rFonts w:cs="Vrinda"/>
          <w:lang w:bidi="bn-IN"/>
        </w:rPr>
        <w:t>,</w:t>
      </w:r>
      <w:r w:rsidR="00CD4D32">
        <w:rPr>
          <w:rFonts w:cs="Vrinda"/>
          <w:lang w:bidi="bn-IN"/>
        </w:rPr>
        <w:t xml:space="preserve"> </w:t>
      </w:r>
      <w:r w:rsidR="009F144F">
        <w:rPr>
          <w:rFonts w:cs="Vrinda"/>
          <w:lang w:bidi="bn-IN"/>
        </w:rPr>
        <w:t>if required</w:t>
      </w:r>
      <w:r>
        <w:rPr>
          <w:rFonts w:cs="Vrinda"/>
          <w:lang w:bidi="bn-IN"/>
        </w:rPr>
        <w:t>,</w:t>
      </w:r>
      <w:r w:rsidR="009F144F">
        <w:rPr>
          <w:rFonts w:cs="Vrinda"/>
          <w:lang w:bidi="bn-IN"/>
        </w:rPr>
        <w:t xml:space="preserve"> </w:t>
      </w:r>
      <w:r w:rsidR="001F4522">
        <w:rPr>
          <w:lang w:eastAsia="x-none"/>
        </w:rPr>
        <w:t xml:space="preserve">the </w:t>
      </w:r>
      <w:proofErr w:type="spellStart"/>
      <w:r w:rsidR="001F4522">
        <w:rPr>
          <w:lang w:eastAsia="x-none"/>
        </w:rPr>
        <w:t>gNB</w:t>
      </w:r>
      <w:proofErr w:type="spellEnd"/>
      <w:r w:rsidR="00DF1796">
        <w:rPr>
          <w:lang w:eastAsia="x-none"/>
        </w:rPr>
        <w:t xml:space="preserve"> </w:t>
      </w:r>
      <w:r w:rsidR="001F4522">
        <w:rPr>
          <w:lang w:eastAsia="x-none"/>
        </w:rPr>
        <w:t>has the flexibility to prioritize</w:t>
      </w:r>
      <w:r w:rsidR="00046803">
        <w:rPr>
          <w:lang w:eastAsia="x-none"/>
        </w:rPr>
        <w:t>/reserve</w:t>
      </w:r>
      <w:r w:rsidR="001F4522">
        <w:rPr>
          <w:lang w:eastAsia="x-none"/>
        </w:rPr>
        <w:t xml:space="preserve"> NR transmission power </w:t>
      </w:r>
      <w:r w:rsidR="00CD4D32">
        <w:rPr>
          <w:lang w:eastAsia="x-none"/>
        </w:rPr>
        <w:t xml:space="preserve">either </w:t>
      </w:r>
      <w:r w:rsidR="001F4522">
        <w:rPr>
          <w:lang w:eastAsia="x-none"/>
        </w:rPr>
        <w:t>by appropriate setting of P_LTE</w:t>
      </w:r>
      <w:r w:rsidR="00046803">
        <w:rPr>
          <w:lang w:eastAsia="x-none"/>
        </w:rPr>
        <w:t xml:space="preserve"> and</w:t>
      </w:r>
      <w:r w:rsidR="001F4522">
        <w:rPr>
          <w:lang w:eastAsia="x-none"/>
        </w:rPr>
        <w:t xml:space="preserve"> P_NR</w:t>
      </w:r>
      <w:r w:rsidR="00CD4D32">
        <w:rPr>
          <w:lang w:eastAsia="x-none"/>
        </w:rPr>
        <w:t xml:space="preserve"> (e.g. P_LTE&lt;P_NR&lt;=</w:t>
      </w:r>
      <w:proofErr w:type="spellStart"/>
      <w:r w:rsidR="0026677E">
        <w:rPr>
          <w:lang w:eastAsia="x-none"/>
        </w:rPr>
        <w:t>P_</w:t>
      </w:r>
      <w:r w:rsidR="00CD4D32">
        <w:rPr>
          <w:lang w:eastAsia="x-none"/>
        </w:rPr>
        <w:t>Power</w:t>
      </w:r>
      <w:proofErr w:type="spellEnd"/>
      <w:r w:rsidR="00CD4D32">
        <w:rPr>
          <w:lang w:eastAsia="x-none"/>
        </w:rPr>
        <w:t xml:space="preserve"> class)</w:t>
      </w:r>
      <w:r w:rsidR="001F4522">
        <w:rPr>
          <w:lang w:eastAsia="x-none"/>
        </w:rPr>
        <w:t xml:space="preserve"> </w:t>
      </w:r>
      <w:r w:rsidR="00CD4D32">
        <w:rPr>
          <w:lang w:eastAsia="x-none"/>
        </w:rPr>
        <w:t xml:space="preserve">or </w:t>
      </w:r>
      <w:r w:rsidR="001F4522">
        <w:rPr>
          <w:lang w:eastAsia="x-none"/>
        </w:rPr>
        <w:lastRenderedPageBreak/>
        <w:t xml:space="preserve">by conservatively scheduling LTE transmission power.  This was also captured as a note </w:t>
      </w:r>
      <w:r w:rsidR="00DF1796">
        <w:rPr>
          <w:lang w:eastAsia="x-none"/>
        </w:rPr>
        <w:t xml:space="preserve">in the RAN1#90 EN-DC power sharing agreement. </w:t>
      </w:r>
      <w:r w:rsidR="001F4522">
        <w:rPr>
          <w:lang w:eastAsia="x-none"/>
        </w:rPr>
        <w:t>“</w:t>
      </w:r>
      <w:r w:rsidR="001F4522" w:rsidRPr="001F4522">
        <w:rPr>
          <w:rFonts w:ascii="Times New Roman" w:hAnsi="Times New Roman" w:cs="Times New Roman"/>
          <w:sz w:val="20"/>
          <w:lang w:eastAsia="x-none"/>
        </w:rPr>
        <w:t>Note: The network will still have flexibility to prioritize or reserve certain NR transmission power depending on network implementation</w:t>
      </w:r>
      <w:r w:rsidR="001F4522">
        <w:rPr>
          <w:lang w:eastAsia="x-none"/>
        </w:rPr>
        <w:t xml:space="preserve">”  </w:t>
      </w:r>
    </w:p>
    <w:p w14:paraId="5AA1D0DB" w14:textId="47AEF3A9" w:rsidR="00FA3791" w:rsidRDefault="0033719B" w:rsidP="00200375">
      <w:pPr>
        <w:rPr>
          <w:rFonts w:cs="Vrinda"/>
          <w:lang w:bidi="bn-IN"/>
        </w:rPr>
      </w:pPr>
      <w:r>
        <w:rPr>
          <w:rFonts w:cs="Vrinda"/>
          <w:lang w:bidi="bn-IN"/>
        </w:rPr>
        <w:t>Given th</w:t>
      </w:r>
      <w:r w:rsidR="001F4522">
        <w:rPr>
          <w:rFonts w:cs="Vrinda"/>
          <w:lang w:bidi="bn-IN"/>
        </w:rPr>
        <w:t>e above</w:t>
      </w:r>
      <w:r>
        <w:rPr>
          <w:rFonts w:cs="Vrinda"/>
          <w:lang w:bidi="bn-IN"/>
        </w:rPr>
        <w:t xml:space="preserve">, our preference is to agree to </w:t>
      </w:r>
      <w:r w:rsidR="00C66E8C">
        <w:rPr>
          <w:rFonts w:cs="Vrinda"/>
          <w:lang w:bidi="bn-IN"/>
        </w:rPr>
        <w:t>the</w:t>
      </w:r>
      <w:r>
        <w:rPr>
          <w:rFonts w:cs="Vrinda"/>
          <w:lang w:bidi="bn-IN"/>
        </w:rPr>
        <w:t xml:space="preserve"> </w:t>
      </w:r>
      <w:r w:rsidR="001F4522">
        <w:rPr>
          <w:rFonts w:cs="Vrinda"/>
          <w:lang w:bidi="bn-IN"/>
        </w:rPr>
        <w:t xml:space="preserve">proposed </w:t>
      </w:r>
      <w:r>
        <w:rPr>
          <w:rFonts w:cs="Vrinda"/>
          <w:lang w:bidi="bn-IN"/>
        </w:rPr>
        <w:t xml:space="preserve">definitions </w:t>
      </w:r>
      <w:r w:rsidR="001F4522">
        <w:rPr>
          <w:rFonts w:cs="Vrinda"/>
          <w:lang w:bidi="bn-IN"/>
        </w:rPr>
        <w:t xml:space="preserve">for </w:t>
      </w:r>
      <w:proofErr w:type="spellStart"/>
      <w:proofErr w:type="gramStart"/>
      <w:r w:rsidR="001F4522" w:rsidRPr="00505539">
        <w:rPr>
          <w:lang w:bidi="bn-IN"/>
        </w:rPr>
        <w:t>P</w:t>
      </w:r>
      <w:r w:rsidR="001F4522" w:rsidRPr="00505539">
        <w:rPr>
          <w:vertAlign w:val="subscript"/>
          <w:lang w:bidi="bn-IN"/>
        </w:rPr>
        <w:t>CMAX</w:t>
      </w:r>
      <w:r w:rsidR="001F4522" w:rsidRPr="00505539">
        <w:rPr>
          <w:rFonts w:cs="Vrinda"/>
          <w:vertAlign w:val="subscript"/>
          <w:lang w:bidi="bn-IN"/>
        </w:rPr>
        <w:t>,</w:t>
      </w:r>
      <w:r w:rsidR="001F4522" w:rsidRPr="00505539">
        <w:rPr>
          <w:rFonts w:cs="Vrinda"/>
          <w:i/>
          <w:vertAlign w:val="subscript"/>
          <w:lang w:bidi="bn-IN"/>
        </w:rPr>
        <w:t>c</w:t>
      </w:r>
      <w:proofErr w:type="spellEnd"/>
      <w:proofErr w:type="gramEnd"/>
      <w:r w:rsidR="001F4522">
        <w:rPr>
          <w:rFonts w:cs="Vrinda"/>
          <w:i/>
          <w:vertAlign w:val="subscript"/>
          <w:lang w:bidi="bn-IN"/>
        </w:rPr>
        <w:t xml:space="preserve"> </w:t>
      </w:r>
      <w:r w:rsidR="001F4522">
        <w:rPr>
          <w:rFonts w:cs="Vrinda"/>
          <w:lang w:bidi="bn-IN"/>
        </w:rPr>
        <w:t xml:space="preserve">, </w:t>
      </w:r>
      <w:r w:rsidR="001F4522" w:rsidRPr="00FF7654">
        <w:rPr>
          <w:lang w:val="sv-SE"/>
        </w:rPr>
        <w:t>P</w:t>
      </w:r>
      <w:r w:rsidR="001F4522" w:rsidRPr="00FF7654">
        <w:rPr>
          <w:vertAlign w:val="subscript"/>
          <w:lang w:val="sv-SE"/>
        </w:rPr>
        <w:t>EN-DC</w:t>
      </w:r>
      <w:r w:rsidR="001F4522">
        <w:rPr>
          <w:vertAlign w:val="subscript"/>
          <w:lang w:val="sv-SE"/>
        </w:rPr>
        <w:t>,tot</w:t>
      </w:r>
      <w:r w:rsidR="001F4522">
        <w:rPr>
          <w:rFonts w:cs="Vrinda"/>
          <w:lang w:bidi="bn-IN"/>
        </w:rPr>
        <w:t xml:space="preserve">  </w:t>
      </w:r>
      <w:r>
        <w:rPr>
          <w:rFonts w:cs="Vrinda"/>
          <w:lang w:bidi="bn-IN"/>
        </w:rPr>
        <w:t>in RAN4</w:t>
      </w:r>
      <w:r w:rsidR="00ED29D4">
        <w:rPr>
          <w:rFonts w:cs="Vrinda"/>
          <w:lang w:bidi="bn-IN"/>
        </w:rPr>
        <w:t xml:space="preserve"> [3]</w:t>
      </w:r>
      <w:r w:rsidR="001F4522">
        <w:rPr>
          <w:rFonts w:cs="Vrinda"/>
          <w:lang w:bidi="bn-IN"/>
        </w:rPr>
        <w:t>,</w:t>
      </w:r>
      <w:r>
        <w:rPr>
          <w:rFonts w:cs="Vrinda"/>
          <w:lang w:bidi="bn-IN"/>
        </w:rPr>
        <w:t xml:space="preserve"> and no changes are needed to RAN1 specifications.</w:t>
      </w:r>
    </w:p>
    <w:p w14:paraId="64EC872B" w14:textId="77777777" w:rsidR="003B3982" w:rsidRDefault="003B3982" w:rsidP="003B3982">
      <w:pPr>
        <w:pStyle w:val="BodyText"/>
        <w:rPr>
          <w:b/>
          <w:u w:val="single"/>
        </w:rPr>
      </w:pPr>
      <w:r>
        <w:rPr>
          <w:b/>
          <w:u w:val="single"/>
        </w:rPr>
        <w:t>Observation</w:t>
      </w:r>
      <w:r w:rsidRPr="00CE08A1">
        <w:rPr>
          <w:b/>
          <w:u w:val="single"/>
        </w:rPr>
        <w:t xml:space="preserve"> </w:t>
      </w:r>
      <w:r>
        <w:rPr>
          <w:b/>
          <w:u w:val="single"/>
        </w:rPr>
        <w:t>1</w:t>
      </w:r>
    </w:p>
    <w:p w14:paraId="610A7208" w14:textId="77777777" w:rsidR="003B3982" w:rsidRPr="0073226E" w:rsidRDefault="003B3982" w:rsidP="003B3982">
      <w:pPr>
        <w:pStyle w:val="BodyText"/>
        <w:numPr>
          <w:ilvl w:val="0"/>
          <w:numId w:val="22"/>
        </w:numPr>
        <w:spacing w:after="120" w:line="240" w:lineRule="auto"/>
        <w:jc w:val="both"/>
        <w:rPr>
          <w:b/>
          <w:u w:val="single"/>
        </w:rPr>
      </w:pPr>
      <w:r>
        <w:rPr>
          <w:lang w:bidi="bn-IN"/>
        </w:rPr>
        <w:t xml:space="preserve">Regarding power sharing between LTE and NR for intra-band EN-DC </w:t>
      </w:r>
    </w:p>
    <w:p w14:paraId="68C58EF2" w14:textId="77777777" w:rsidR="003B3982" w:rsidRPr="0073226E" w:rsidRDefault="003B3982" w:rsidP="003B3982">
      <w:pPr>
        <w:pStyle w:val="BodyText"/>
        <w:numPr>
          <w:ilvl w:val="1"/>
          <w:numId w:val="22"/>
        </w:numPr>
        <w:spacing w:after="120" w:line="240" w:lineRule="auto"/>
        <w:jc w:val="both"/>
        <w:rPr>
          <w:b/>
          <w:u w:val="single"/>
        </w:rPr>
      </w:pPr>
      <w:proofErr w:type="spellStart"/>
      <w:proofErr w:type="gramStart"/>
      <w:r w:rsidRPr="00505539">
        <w:rPr>
          <w:lang w:bidi="bn-IN"/>
        </w:rPr>
        <w:t>P</w:t>
      </w:r>
      <w:r w:rsidRPr="00505539">
        <w:rPr>
          <w:vertAlign w:val="subscript"/>
          <w:lang w:bidi="bn-IN"/>
        </w:rPr>
        <w:t>CMAX</w:t>
      </w:r>
      <w:r w:rsidRPr="00505539">
        <w:rPr>
          <w:rFonts w:cs="Vrinda"/>
          <w:vertAlign w:val="subscript"/>
          <w:lang w:bidi="bn-IN"/>
        </w:rPr>
        <w:t>,</w:t>
      </w:r>
      <w:r w:rsidRPr="00505539">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sidRPr="00FF7654">
        <w:rPr>
          <w:lang w:val="sv-SE"/>
        </w:rPr>
        <w:t>P</w:t>
      </w:r>
      <w:r w:rsidRPr="00FF7654">
        <w:rPr>
          <w:vertAlign w:val="subscript"/>
          <w:lang w:val="sv-SE"/>
        </w:rPr>
        <w:t>EN-DC</w:t>
      </w:r>
      <w:r>
        <w:rPr>
          <w:vertAlign w:val="subscript"/>
          <w:lang w:val="sv-SE"/>
        </w:rPr>
        <w:t>,tot</w:t>
      </w:r>
      <w:r>
        <w:rPr>
          <w:rFonts w:cs="Vrinda"/>
          <w:lang w:bidi="bn-IN"/>
        </w:rPr>
        <w:t xml:space="preserve"> can be defined in RAN4 such that they use the existing A-MPR formulas in 38.101-3, and take into account the assumption that NR transmission details are not used for </w:t>
      </w:r>
      <w:r w:rsidRPr="004E509D">
        <w:rPr>
          <w:rFonts w:cs="Vrinda"/>
          <w:lang w:bidi="bn-IN"/>
        </w:rPr>
        <w:t xml:space="preserve">calculation of transmission power </w:t>
      </w:r>
      <w:r>
        <w:rPr>
          <w:rFonts w:cs="Vrinda"/>
          <w:lang w:bidi="bn-IN"/>
        </w:rPr>
        <w:t xml:space="preserve">of </w:t>
      </w:r>
      <w:r w:rsidRPr="004E509D">
        <w:rPr>
          <w:rFonts w:cs="Vrinda"/>
          <w:lang w:bidi="bn-IN"/>
        </w:rPr>
        <w:t>LTE</w:t>
      </w:r>
      <w:r>
        <w:rPr>
          <w:rFonts w:cs="Vrinda"/>
          <w:lang w:bidi="bn-IN"/>
        </w:rPr>
        <w:t xml:space="preserve">. </w:t>
      </w:r>
    </w:p>
    <w:p w14:paraId="7E09C548" w14:textId="77777777" w:rsidR="003B3982" w:rsidRPr="00C1326F" w:rsidRDefault="003B3982" w:rsidP="003B3982">
      <w:pPr>
        <w:pStyle w:val="BodyText"/>
        <w:numPr>
          <w:ilvl w:val="1"/>
          <w:numId w:val="22"/>
        </w:numPr>
        <w:spacing w:after="120" w:line="240" w:lineRule="auto"/>
        <w:jc w:val="both"/>
        <w:rPr>
          <w:b/>
          <w:u w:val="single"/>
        </w:rPr>
      </w:pPr>
      <w:r>
        <w:rPr>
          <w:rFonts w:cs="Vrinda"/>
          <w:lang w:bidi="bn-IN"/>
        </w:rPr>
        <w:t>No changes are needed to RAN1 specifications.</w:t>
      </w:r>
    </w:p>
    <w:p w14:paraId="2D4E832C" w14:textId="77777777" w:rsidR="000C0635" w:rsidRPr="00836E6C" w:rsidRDefault="000C0635" w:rsidP="000C0635">
      <w:pPr>
        <w:pStyle w:val="Heading2"/>
        <w:keepLines w:val="0"/>
        <w:numPr>
          <w:ilvl w:val="1"/>
          <w:numId w:val="0"/>
        </w:numPr>
        <w:spacing w:after="60"/>
        <w:ind w:left="567" w:hanging="567"/>
        <w:rPr>
          <w:u w:val="single"/>
        </w:rPr>
      </w:pPr>
      <w:r>
        <w:rPr>
          <w:u w:val="single"/>
        </w:rPr>
        <w:t>2.2 Power sharing for NR architecture option 4/4A</w:t>
      </w:r>
    </w:p>
    <w:p w14:paraId="380B09F3" w14:textId="77777777" w:rsidR="000C0635" w:rsidRDefault="000C0635" w:rsidP="000C0635">
      <w:pPr>
        <w:jc w:val="both"/>
      </w:pPr>
    </w:p>
    <w:p w14:paraId="064C2B2F" w14:textId="77777777" w:rsidR="000C0635" w:rsidRDefault="000C0635" w:rsidP="000C0635">
      <w:pPr>
        <w:jc w:val="both"/>
      </w:pPr>
      <w:r>
        <w:t xml:space="preserve">Below we provide our view for Option 4/4A power sharing framework </w:t>
      </w:r>
      <w:proofErr w:type="gramStart"/>
      <w:r>
        <w:t>taking into account</w:t>
      </w:r>
      <w:proofErr w:type="gramEnd"/>
      <w:r>
        <w:t xml:space="preserve"> RAN guidance to minimize specification impact.</w:t>
      </w:r>
    </w:p>
    <w:p w14:paraId="33215F0D" w14:textId="77777777" w:rsidR="000C0635" w:rsidRDefault="000C0635" w:rsidP="000C0635">
      <w:pPr>
        <w:numPr>
          <w:ilvl w:val="0"/>
          <w:numId w:val="21"/>
        </w:numPr>
        <w:spacing w:after="0" w:line="240" w:lineRule="auto"/>
        <w:jc w:val="both"/>
      </w:pPr>
      <w:r>
        <w:t>P_LTE and P_NR signaling</w:t>
      </w:r>
    </w:p>
    <w:p w14:paraId="2248394F" w14:textId="77777777" w:rsidR="000C0635" w:rsidRDefault="000C0635" w:rsidP="000C0635">
      <w:pPr>
        <w:numPr>
          <w:ilvl w:val="1"/>
          <w:numId w:val="21"/>
        </w:numPr>
        <w:spacing w:after="0" w:line="240" w:lineRule="auto"/>
        <w:jc w:val="both"/>
      </w:pPr>
      <w:r>
        <w:t xml:space="preserve">P_LTE and P_NR are maximum allowed power values configured on LTE and NR side respectively. </w:t>
      </w:r>
    </w:p>
    <w:p w14:paraId="47CB5F65" w14:textId="77777777" w:rsidR="000C0635" w:rsidRDefault="000C0635" w:rsidP="000C0635">
      <w:pPr>
        <w:numPr>
          <w:ilvl w:val="1"/>
          <w:numId w:val="21"/>
        </w:numPr>
        <w:spacing w:after="0" w:line="240" w:lineRule="auto"/>
        <w:jc w:val="both"/>
      </w:pPr>
      <w:r>
        <w:t>These are already specified for EN-DC and can be reused without changes for Option 4/4A</w:t>
      </w:r>
    </w:p>
    <w:p w14:paraId="60177B68" w14:textId="77777777" w:rsidR="000C0635" w:rsidRDefault="000C0635" w:rsidP="000C0635">
      <w:pPr>
        <w:numPr>
          <w:ilvl w:val="0"/>
          <w:numId w:val="21"/>
        </w:numPr>
        <w:spacing w:after="0" w:line="240" w:lineRule="auto"/>
        <w:jc w:val="both"/>
      </w:pPr>
      <w:r>
        <w:t>Dynamic power sharing</w:t>
      </w:r>
    </w:p>
    <w:p w14:paraId="7FE63D30" w14:textId="77777777" w:rsidR="000C0635" w:rsidRDefault="000C0635" w:rsidP="000C0635">
      <w:pPr>
        <w:numPr>
          <w:ilvl w:val="1"/>
          <w:numId w:val="21"/>
        </w:numPr>
        <w:spacing w:after="0" w:line="240" w:lineRule="auto"/>
        <w:jc w:val="both"/>
      </w:pPr>
      <w:r>
        <w:t xml:space="preserve">For EN-DC, a UE supporting ‘dynamic power sharing’ capability can scale down/drop NR (SCG) transmissions when power limited. Details of scaling down/dropping are left to UE implementation. </w:t>
      </w:r>
    </w:p>
    <w:p w14:paraId="3EC656AB" w14:textId="77777777" w:rsidR="000C0635" w:rsidRDefault="000C0635" w:rsidP="000C0635">
      <w:pPr>
        <w:numPr>
          <w:ilvl w:val="1"/>
          <w:numId w:val="21"/>
        </w:numPr>
        <w:spacing w:after="0" w:line="240" w:lineRule="auto"/>
        <w:jc w:val="both"/>
      </w:pPr>
      <w:r>
        <w:t xml:space="preserve">Similar capability should be supported for option 4/4A. In this case, the UE should be able to scale down/drop LTE (SCG) transmissions when power limited, and the details of scaling/dropping can be left to UE implementation. </w:t>
      </w:r>
    </w:p>
    <w:p w14:paraId="104A9F2E" w14:textId="77777777" w:rsidR="000C0635" w:rsidRDefault="000C0635" w:rsidP="000C0635">
      <w:pPr>
        <w:numPr>
          <w:ilvl w:val="0"/>
          <w:numId w:val="21"/>
        </w:numPr>
        <w:spacing w:after="0" w:line="240" w:lineRule="auto"/>
        <w:jc w:val="both"/>
      </w:pPr>
      <w:r>
        <w:t>Semi-static partitioning of LTE and NR UL transmissions</w:t>
      </w:r>
    </w:p>
    <w:p w14:paraId="19C959D7" w14:textId="7BF7302C" w:rsidR="000C0635" w:rsidRDefault="000C0635" w:rsidP="000C0635">
      <w:pPr>
        <w:numPr>
          <w:ilvl w:val="1"/>
          <w:numId w:val="21"/>
        </w:numPr>
        <w:spacing w:after="0" w:line="240" w:lineRule="auto"/>
        <w:jc w:val="both"/>
      </w:pPr>
      <w:r>
        <w:t>For EN-DC, Case1-OperationA [</w:t>
      </w:r>
      <w:r w:rsidR="006A7922">
        <w:t>4</w:t>
      </w:r>
      <w:r>
        <w:t xml:space="preserve">] behavior is supported, where network can restrict LTE UL transmissions to a subset of subframes via RRC signaling on LTE side (i.e., by configuring Case1 reference TDD UL/DL configuration for LTE including </w:t>
      </w:r>
      <w:r w:rsidR="006E3C88">
        <w:t xml:space="preserve">the </w:t>
      </w:r>
      <w:r>
        <w:t xml:space="preserve">LTE FDD </w:t>
      </w:r>
      <w:proofErr w:type="spellStart"/>
      <w:r>
        <w:t>Pcell</w:t>
      </w:r>
      <w:proofErr w:type="spellEnd"/>
      <w:r>
        <w:t xml:space="preserve">). When such </w:t>
      </w:r>
      <w:r w:rsidR="006E3C88">
        <w:t xml:space="preserve">a </w:t>
      </w:r>
      <w:r>
        <w:t xml:space="preserve">reference configuration is indicated, and when the UE does not support dynamic power sharing, the UE is </w:t>
      </w:r>
      <w:r>
        <w:rPr>
          <w:lang w:eastAsia="zh-CN"/>
        </w:rPr>
        <w:t xml:space="preserve">not expected to make NR transmissions in </w:t>
      </w:r>
      <w:r>
        <w:t xml:space="preserve">slots corresponding to UL subframes indicated by the RRC signaling on LTE side (i.e., the UL subframes of Case1 reference TDD UL/DL configuration). </w:t>
      </w:r>
    </w:p>
    <w:p w14:paraId="5C885470" w14:textId="77777777" w:rsidR="000C0635" w:rsidRDefault="000C0635" w:rsidP="000C0635">
      <w:pPr>
        <w:numPr>
          <w:ilvl w:val="1"/>
          <w:numId w:val="21"/>
        </w:numPr>
        <w:spacing w:after="0" w:line="240" w:lineRule="auto"/>
        <w:jc w:val="both"/>
      </w:pPr>
      <w:r>
        <w:t xml:space="preserve">Similar framework can be supported for Option4/4A, for UEs not supporting dynamic power sharing, by replicating the changes agreed for LTE </w:t>
      </w:r>
      <w:proofErr w:type="spellStart"/>
      <w:r>
        <w:t>Pcell</w:t>
      </w:r>
      <w:proofErr w:type="spellEnd"/>
      <w:r>
        <w:t xml:space="preserve"> UE behavior to LTE </w:t>
      </w:r>
      <w:proofErr w:type="spellStart"/>
      <w:r>
        <w:t>PScell</w:t>
      </w:r>
      <w:proofErr w:type="spellEnd"/>
      <w:r>
        <w:t xml:space="preserve"> UE behavior.</w:t>
      </w:r>
    </w:p>
    <w:p w14:paraId="751C2387" w14:textId="77777777" w:rsidR="000C0635" w:rsidRDefault="000C0635" w:rsidP="000C0635">
      <w:pPr>
        <w:jc w:val="both"/>
      </w:pPr>
    </w:p>
    <w:p w14:paraId="538BDFE3" w14:textId="77777777" w:rsidR="000C0635" w:rsidRDefault="000C0635" w:rsidP="000C0635">
      <w:pPr>
        <w:jc w:val="both"/>
      </w:pPr>
      <w:r>
        <w:t>In summary, we propose the following high-level framework for Option 4/4A power sharing between NR and LTE</w:t>
      </w:r>
    </w:p>
    <w:p w14:paraId="3818EC65" w14:textId="77777777" w:rsidR="000C0635" w:rsidRDefault="000C0635" w:rsidP="000C0635">
      <w:pPr>
        <w:pStyle w:val="BodyText"/>
        <w:rPr>
          <w:b/>
          <w:u w:val="single"/>
        </w:rPr>
      </w:pPr>
      <w:r w:rsidRPr="00CE08A1">
        <w:rPr>
          <w:b/>
          <w:u w:val="single"/>
        </w:rPr>
        <w:t xml:space="preserve">Proposal </w:t>
      </w:r>
    </w:p>
    <w:p w14:paraId="2F31ABDE" w14:textId="77777777" w:rsidR="000C0635" w:rsidRPr="00967BE6" w:rsidRDefault="000C0635" w:rsidP="000C0635">
      <w:pPr>
        <w:pStyle w:val="BodyText"/>
        <w:numPr>
          <w:ilvl w:val="0"/>
          <w:numId w:val="22"/>
        </w:numPr>
        <w:spacing w:after="120" w:line="240" w:lineRule="auto"/>
        <w:jc w:val="both"/>
        <w:rPr>
          <w:b/>
          <w:u w:val="single"/>
        </w:rPr>
      </w:pPr>
      <w:r>
        <w:t>P_LTE and P_NR signaling defined for EN-DC should be reused for Option 4/4A</w:t>
      </w:r>
    </w:p>
    <w:p w14:paraId="1F9B40F0" w14:textId="77777777" w:rsidR="000C0635" w:rsidRPr="00967BE6" w:rsidRDefault="000C0635" w:rsidP="000C0635">
      <w:pPr>
        <w:pStyle w:val="BodyText"/>
        <w:numPr>
          <w:ilvl w:val="0"/>
          <w:numId w:val="22"/>
        </w:numPr>
        <w:spacing w:after="120" w:line="240" w:lineRule="auto"/>
        <w:jc w:val="both"/>
        <w:rPr>
          <w:b/>
          <w:u w:val="single"/>
        </w:rPr>
      </w:pPr>
      <w:r>
        <w:t>Dynamic power sharing capability should be supported for Option 4/4A</w:t>
      </w:r>
    </w:p>
    <w:p w14:paraId="2216F023" w14:textId="77777777" w:rsidR="000C0635" w:rsidRPr="00967BE6" w:rsidRDefault="000C0635" w:rsidP="000C0635">
      <w:pPr>
        <w:pStyle w:val="BodyText"/>
        <w:numPr>
          <w:ilvl w:val="1"/>
          <w:numId w:val="22"/>
        </w:numPr>
        <w:spacing w:after="120" w:line="240" w:lineRule="auto"/>
        <w:jc w:val="both"/>
        <w:rPr>
          <w:b/>
          <w:u w:val="single"/>
        </w:rPr>
      </w:pPr>
      <w:r>
        <w:lastRenderedPageBreak/>
        <w:t>UE should scale down/drop LTE (SCG) transmissions when power limited, and the details of scaling/dropping can be left to UE implementation.</w:t>
      </w:r>
    </w:p>
    <w:p w14:paraId="5DFC805E" w14:textId="4074A6FD" w:rsidR="000C0635" w:rsidRPr="00967BE6" w:rsidRDefault="004266EE" w:rsidP="000C0635">
      <w:pPr>
        <w:pStyle w:val="BodyText"/>
        <w:numPr>
          <w:ilvl w:val="0"/>
          <w:numId w:val="22"/>
        </w:numPr>
        <w:spacing w:after="120" w:line="240" w:lineRule="auto"/>
        <w:jc w:val="both"/>
        <w:rPr>
          <w:b/>
          <w:u w:val="single"/>
        </w:rPr>
      </w:pPr>
      <w:r>
        <w:t>For support of s</w:t>
      </w:r>
      <w:r w:rsidR="000C0635">
        <w:t xml:space="preserve">emi-static partitioning of LTE and NR UL transmissions </w:t>
      </w:r>
      <w:proofErr w:type="gramStart"/>
      <w:r w:rsidR="000C0635">
        <w:t>similar to</w:t>
      </w:r>
      <w:proofErr w:type="gramEnd"/>
      <w:r w:rsidR="000C0635">
        <w:t xml:space="preserve"> Case1-OperationA agreed for EN-DC (for UEs not supporting dynamic power sharing)</w:t>
      </w:r>
      <w:r w:rsidR="00B2764C">
        <w:t>,</w:t>
      </w:r>
      <w:r w:rsidR="000C0635">
        <w:t xml:space="preserve"> the changes agreed so far for LTE </w:t>
      </w:r>
      <w:proofErr w:type="spellStart"/>
      <w:r w:rsidR="000C0635">
        <w:t>Pcell</w:t>
      </w:r>
      <w:proofErr w:type="spellEnd"/>
      <w:r w:rsidR="000C0635">
        <w:t xml:space="preserve"> UE behavior </w:t>
      </w:r>
      <w:r>
        <w:t>can be replicated for</w:t>
      </w:r>
      <w:r w:rsidR="000C0635">
        <w:t xml:space="preserve"> LTE </w:t>
      </w:r>
      <w:proofErr w:type="spellStart"/>
      <w:r w:rsidR="000C0635">
        <w:t>PScell</w:t>
      </w:r>
      <w:proofErr w:type="spellEnd"/>
    </w:p>
    <w:p w14:paraId="51617AFB" w14:textId="7DE4950D" w:rsidR="00C01F33" w:rsidRDefault="00C01F33" w:rsidP="00CE0424">
      <w:pPr>
        <w:pStyle w:val="Heading1"/>
      </w:pPr>
      <w:r w:rsidRPr="00CE0424">
        <w:t>Conclusion</w:t>
      </w:r>
      <w:r w:rsidR="007D38AF">
        <w:t>s</w:t>
      </w:r>
    </w:p>
    <w:p w14:paraId="60ABE5A6" w14:textId="567D0DD9" w:rsidR="002149E7" w:rsidRDefault="001206B3" w:rsidP="002149E7">
      <w:pPr>
        <w:rPr>
          <w:lang w:val="en-GB" w:eastAsia="zh-CN"/>
        </w:rPr>
      </w:pPr>
      <w:r>
        <w:rPr>
          <w:lang w:val="en-GB" w:eastAsia="zh-CN"/>
        </w:rPr>
        <w:t>W</w:t>
      </w:r>
      <w:r w:rsidR="00D916CD">
        <w:rPr>
          <w:lang w:val="en-GB" w:eastAsia="zh-CN"/>
        </w:rPr>
        <w:t>e propose the following</w:t>
      </w:r>
      <w:r w:rsidR="007D38AF">
        <w:rPr>
          <w:lang w:val="en-GB" w:eastAsia="zh-CN"/>
        </w:rPr>
        <w:t>:</w:t>
      </w:r>
    </w:p>
    <w:p w14:paraId="1385DC33" w14:textId="2645B15A" w:rsidR="00AB7E38" w:rsidRDefault="007223F8" w:rsidP="00AB7E38">
      <w:pPr>
        <w:pStyle w:val="BodyText"/>
        <w:rPr>
          <w:b/>
          <w:u w:val="single"/>
        </w:rPr>
      </w:pPr>
      <w:r>
        <w:rPr>
          <w:b/>
          <w:u w:val="single"/>
        </w:rPr>
        <w:t>Observation</w:t>
      </w:r>
      <w:r w:rsidR="00AB7E38" w:rsidRPr="00CE08A1">
        <w:rPr>
          <w:b/>
          <w:u w:val="single"/>
        </w:rPr>
        <w:t xml:space="preserve"> </w:t>
      </w:r>
      <w:r>
        <w:rPr>
          <w:b/>
          <w:u w:val="single"/>
        </w:rPr>
        <w:t>1</w:t>
      </w:r>
    </w:p>
    <w:p w14:paraId="639C7ACE" w14:textId="77777777" w:rsidR="0073226E" w:rsidRPr="0073226E" w:rsidRDefault="0073226E" w:rsidP="00AB7E38">
      <w:pPr>
        <w:pStyle w:val="BodyText"/>
        <w:numPr>
          <w:ilvl w:val="0"/>
          <w:numId w:val="22"/>
        </w:numPr>
        <w:spacing w:after="120" w:line="240" w:lineRule="auto"/>
        <w:jc w:val="both"/>
        <w:rPr>
          <w:b/>
          <w:u w:val="single"/>
        </w:rPr>
      </w:pPr>
      <w:r>
        <w:rPr>
          <w:lang w:bidi="bn-IN"/>
        </w:rPr>
        <w:t xml:space="preserve">Regarding power sharing between LTE and NR for intra-band EN-DC </w:t>
      </w:r>
    </w:p>
    <w:p w14:paraId="115D5AC9" w14:textId="6261F90E" w:rsidR="00AB7E38" w:rsidRPr="0073226E" w:rsidRDefault="0073226E" w:rsidP="0073226E">
      <w:pPr>
        <w:pStyle w:val="BodyText"/>
        <w:numPr>
          <w:ilvl w:val="1"/>
          <w:numId w:val="22"/>
        </w:numPr>
        <w:spacing w:after="120" w:line="240" w:lineRule="auto"/>
        <w:jc w:val="both"/>
        <w:rPr>
          <w:b/>
          <w:u w:val="single"/>
        </w:rPr>
      </w:pPr>
      <w:proofErr w:type="spellStart"/>
      <w:proofErr w:type="gramStart"/>
      <w:r w:rsidRPr="00505539">
        <w:rPr>
          <w:lang w:bidi="bn-IN"/>
        </w:rPr>
        <w:t>P</w:t>
      </w:r>
      <w:r w:rsidRPr="00505539">
        <w:rPr>
          <w:vertAlign w:val="subscript"/>
          <w:lang w:bidi="bn-IN"/>
        </w:rPr>
        <w:t>CMAX</w:t>
      </w:r>
      <w:r w:rsidRPr="00505539">
        <w:rPr>
          <w:rFonts w:cs="Vrinda"/>
          <w:vertAlign w:val="subscript"/>
          <w:lang w:bidi="bn-IN"/>
        </w:rPr>
        <w:t>,</w:t>
      </w:r>
      <w:r w:rsidRPr="00505539">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sidRPr="00FF7654">
        <w:rPr>
          <w:lang w:val="sv-SE"/>
        </w:rPr>
        <w:t>P</w:t>
      </w:r>
      <w:r w:rsidRPr="00FF7654">
        <w:rPr>
          <w:vertAlign w:val="subscript"/>
          <w:lang w:val="sv-SE"/>
        </w:rPr>
        <w:t>EN-DC</w:t>
      </w:r>
      <w:r>
        <w:rPr>
          <w:vertAlign w:val="subscript"/>
          <w:lang w:val="sv-SE"/>
        </w:rPr>
        <w:t>,tot</w:t>
      </w:r>
      <w:r>
        <w:rPr>
          <w:rFonts w:cs="Vrinda"/>
          <w:lang w:bidi="bn-IN"/>
        </w:rPr>
        <w:t xml:space="preserve"> can be defined in RAN4 such that they use the existing A-MPR formulas in 38.101-3, and take into account the assumption that NR transmission details are not used for </w:t>
      </w:r>
      <w:r w:rsidRPr="004E509D">
        <w:rPr>
          <w:rFonts w:cs="Vrinda"/>
          <w:lang w:bidi="bn-IN"/>
        </w:rPr>
        <w:t xml:space="preserve">calculation of transmission power </w:t>
      </w:r>
      <w:r>
        <w:rPr>
          <w:rFonts w:cs="Vrinda"/>
          <w:lang w:bidi="bn-IN"/>
        </w:rPr>
        <w:t xml:space="preserve">of </w:t>
      </w:r>
      <w:r w:rsidRPr="004E509D">
        <w:rPr>
          <w:rFonts w:cs="Vrinda"/>
          <w:lang w:bidi="bn-IN"/>
        </w:rPr>
        <w:t>LTE</w:t>
      </w:r>
      <w:r>
        <w:rPr>
          <w:rFonts w:cs="Vrinda"/>
          <w:lang w:bidi="bn-IN"/>
        </w:rPr>
        <w:t xml:space="preserve">. </w:t>
      </w:r>
    </w:p>
    <w:p w14:paraId="494B7B9F" w14:textId="4E170EA2" w:rsidR="0073226E" w:rsidRPr="00C1326F" w:rsidRDefault="0073226E" w:rsidP="0073226E">
      <w:pPr>
        <w:pStyle w:val="BodyText"/>
        <w:numPr>
          <w:ilvl w:val="1"/>
          <w:numId w:val="22"/>
        </w:numPr>
        <w:spacing w:after="120" w:line="240" w:lineRule="auto"/>
        <w:jc w:val="both"/>
        <w:rPr>
          <w:b/>
          <w:u w:val="single"/>
        </w:rPr>
      </w:pPr>
      <w:r>
        <w:rPr>
          <w:rFonts w:cs="Vrinda"/>
          <w:lang w:bidi="bn-IN"/>
        </w:rPr>
        <w:t>No changes are needed to RAN1 specifications.</w:t>
      </w:r>
    </w:p>
    <w:p w14:paraId="334702F6" w14:textId="68692687" w:rsidR="001206B3" w:rsidRDefault="001206B3" w:rsidP="001206B3">
      <w:pPr>
        <w:pStyle w:val="BodyText"/>
        <w:rPr>
          <w:b/>
          <w:u w:val="single"/>
        </w:rPr>
      </w:pPr>
      <w:r w:rsidRPr="00CE08A1">
        <w:rPr>
          <w:b/>
          <w:u w:val="single"/>
        </w:rPr>
        <w:t xml:space="preserve">Proposal </w:t>
      </w:r>
      <w:r w:rsidR="007223F8">
        <w:rPr>
          <w:b/>
          <w:u w:val="single"/>
        </w:rPr>
        <w:t>1</w:t>
      </w:r>
    </w:p>
    <w:p w14:paraId="46496212" w14:textId="77777777" w:rsidR="001206B3" w:rsidRPr="00DD389A" w:rsidRDefault="001206B3" w:rsidP="001206B3">
      <w:pPr>
        <w:pStyle w:val="BodyText"/>
        <w:numPr>
          <w:ilvl w:val="0"/>
          <w:numId w:val="22"/>
        </w:numPr>
        <w:spacing w:after="120" w:line="240" w:lineRule="auto"/>
        <w:jc w:val="both"/>
        <w:rPr>
          <w:b/>
          <w:u w:val="single"/>
        </w:rPr>
      </w:pPr>
      <w:r w:rsidRPr="00DD389A">
        <w:t>P_LTE and P_NR signaling defined for EN-DC should be reused for Option 4/4A</w:t>
      </w:r>
    </w:p>
    <w:p w14:paraId="08442A0E" w14:textId="77777777" w:rsidR="001206B3" w:rsidRPr="00DD389A" w:rsidRDefault="001206B3" w:rsidP="001206B3">
      <w:pPr>
        <w:pStyle w:val="BodyText"/>
        <w:numPr>
          <w:ilvl w:val="0"/>
          <w:numId w:val="22"/>
        </w:numPr>
        <w:spacing w:after="120" w:line="240" w:lineRule="auto"/>
        <w:jc w:val="both"/>
        <w:rPr>
          <w:b/>
          <w:u w:val="single"/>
        </w:rPr>
      </w:pPr>
      <w:r w:rsidRPr="00DD389A">
        <w:t>Dynamic power sharing capability should be supported for Option 4/4A</w:t>
      </w:r>
    </w:p>
    <w:p w14:paraId="468590AD" w14:textId="54F6F258" w:rsidR="001206B3" w:rsidRPr="00DD389A" w:rsidRDefault="001206B3" w:rsidP="00430754">
      <w:pPr>
        <w:pStyle w:val="BodyText"/>
        <w:numPr>
          <w:ilvl w:val="1"/>
          <w:numId w:val="22"/>
        </w:numPr>
        <w:spacing w:after="120" w:line="240" w:lineRule="auto"/>
        <w:jc w:val="both"/>
        <w:rPr>
          <w:b/>
          <w:u w:val="single"/>
        </w:rPr>
      </w:pPr>
      <w:r w:rsidRPr="00DD389A">
        <w:t>UE should scale down/drop LTE (SCG) transmissions when power limited, and the details of scaling/dropping can be left to UE implementation.</w:t>
      </w:r>
    </w:p>
    <w:p w14:paraId="265B05D6" w14:textId="13DDD658" w:rsidR="004266EE" w:rsidRPr="00DD389A" w:rsidRDefault="004266EE" w:rsidP="001206B3">
      <w:pPr>
        <w:pStyle w:val="BodyText"/>
        <w:numPr>
          <w:ilvl w:val="0"/>
          <w:numId w:val="22"/>
        </w:numPr>
        <w:spacing w:after="120" w:line="240" w:lineRule="auto"/>
        <w:jc w:val="both"/>
        <w:rPr>
          <w:b/>
          <w:u w:val="single"/>
        </w:rPr>
      </w:pPr>
      <w:r w:rsidRPr="00DD389A">
        <w:t xml:space="preserve">For support of semi-static partitioning of LTE and NR UL transmissions </w:t>
      </w:r>
      <w:proofErr w:type="gramStart"/>
      <w:r w:rsidRPr="00DD389A">
        <w:t>similar to</w:t>
      </w:r>
      <w:proofErr w:type="gramEnd"/>
      <w:r w:rsidRPr="00DD389A">
        <w:t xml:space="preserve"> Case1-OperationA agreed for EN-DC (for UEs not supporting dynamic power sharing)</w:t>
      </w:r>
      <w:r w:rsidR="00B2764C" w:rsidRPr="00DD389A">
        <w:t>,</w:t>
      </w:r>
      <w:r w:rsidRPr="00DD389A">
        <w:t xml:space="preserve"> the changes agreed so far for LTE </w:t>
      </w:r>
      <w:proofErr w:type="spellStart"/>
      <w:r w:rsidRPr="00DD389A">
        <w:t>Pcell</w:t>
      </w:r>
      <w:proofErr w:type="spellEnd"/>
      <w:r w:rsidRPr="00DD389A">
        <w:t xml:space="preserve"> UE behavior can be replicated for LTE </w:t>
      </w:r>
      <w:proofErr w:type="spellStart"/>
      <w:r w:rsidRPr="00DD389A">
        <w:t>PScell</w:t>
      </w:r>
      <w:proofErr w:type="spellEnd"/>
    </w:p>
    <w:p w14:paraId="7E24D454" w14:textId="77777777" w:rsidR="00F507D1" w:rsidRPr="00D53CED" w:rsidRDefault="00F507D1" w:rsidP="0009033B">
      <w:pPr>
        <w:pStyle w:val="Heading1"/>
      </w:pPr>
      <w:r w:rsidRPr="00D53CED">
        <w:t>References</w:t>
      </w:r>
    </w:p>
    <w:p w14:paraId="70234F4E" w14:textId="0309FF8F" w:rsidR="00382455" w:rsidRDefault="00382455" w:rsidP="00EE22C6">
      <w:pPr>
        <w:pStyle w:val="Reference"/>
        <w:numPr>
          <w:ilvl w:val="0"/>
          <w:numId w:val="0"/>
        </w:numPr>
        <w:ind w:left="567"/>
        <w:rPr>
          <w:rFonts w:ascii="Times New Roman"/>
        </w:rPr>
      </w:pPr>
    </w:p>
    <w:p w14:paraId="7BAB62A0" w14:textId="7B770823" w:rsidR="006A7922" w:rsidRPr="00C76897" w:rsidRDefault="006A7922" w:rsidP="006A7922">
      <w:pPr>
        <w:rPr>
          <w:rFonts w:eastAsia="MS Mincho"/>
          <w:lang w:val="fr-FR" w:eastAsia="ja-JP"/>
        </w:rPr>
      </w:pPr>
      <w:r w:rsidRPr="00C76897">
        <w:rPr>
          <w:lang w:val="en-GB" w:eastAsia="zh-CN"/>
        </w:rPr>
        <w:t xml:space="preserve">[1] </w:t>
      </w:r>
      <w:r w:rsidR="00C76897">
        <w:rPr>
          <w:lang w:val="en-AU"/>
        </w:rPr>
        <w:t>R1-1807805 – “</w:t>
      </w:r>
      <w:r w:rsidR="00C76897" w:rsidRPr="00B92AF6">
        <w:rPr>
          <w:lang w:eastAsia="x-none"/>
        </w:rPr>
        <w:t xml:space="preserve">LS on RAN4 agreement on </w:t>
      </w:r>
      <w:proofErr w:type="spellStart"/>
      <w:r w:rsidR="00C76897" w:rsidRPr="00B92AF6">
        <w:rPr>
          <w:lang w:eastAsia="x-none"/>
        </w:rPr>
        <w:t>intraband</w:t>
      </w:r>
      <w:proofErr w:type="spellEnd"/>
      <w:r w:rsidR="00C76897" w:rsidRPr="00B92AF6">
        <w:rPr>
          <w:lang w:eastAsia="x-none"/>
        </w:rPr>
        <w:t xml:space="preserve"> EN-DC A-MPR</w:t>
      </w:r>
      <w:r w:rsidR="00C76897">
        <w:rPr>
          <w:lang w:val="en-AU"/>
        </w:rPr>
        <w:t xml:space="preserve">”, RAN4 to RAN1, </w:t>
      </w:r>
      <w:r w:rsidR="00DD389A">
        <w:rPr>
          <w:lang w:val="en-AU"/>
        </w:rPr>
        <w:t>RAN1#93, Busan, Korea, May 2018.</w:t>
      </w:r>
    </w:p>
    <w:p w14:paraId="78F39214" w14:textId="2BEBFF8F" w:rsidR="006A7922" w:rsidRPr="00C76897" w:rsidRDefault="006A7922" w:rsidP="006A7922">
      <w:pPr>
        <w:rPr>
          <w:rFonts w:eastAsia="MS Mincho"/>
          <w:lang w:eastAsia="ja-JP"/>
        </w:rPr>
      </w:pPr>
      <w:r w:rsidRPr="00C76897">
        <w:rPr>
          <w:rFonts w:eastAsia="MS Mincho"/>
          <w:lang w:eastAsia="ja-JP"/>
        </w:rPr>
        <w:t>[2]</w:t>
      </w:r>
      <w:r w:rsidR="00CF3355" w:rsidRPr="00C76897">
        <w:rPr>
          <w:rFonts w:eastAsia="MS Mincho"/>
          <w:lang w:eastAsia="ja-JP"/>
        </w:rPr>
        <w:t xml:space="preserve"> </w:t>
      </w:r>
      <w:r w:rsidR="00232509" w:rsidRPr="00C76897">
        <w:rPr>
          <w:rFonts w:eastAsia="MS Mincho"/>
          <w:lang w:eastAsia="ja-JP"/>
        </w:rPr>
        <w:t>R</w:t>
      </w:r>
      <w:r w:rsidR="00DD389A">
        <w:rPr>
          <w:rFonts w:eastAsia="MS Mincho"/>
          <w:lang w:eastAsia="ja-JP"/>
        </w:rPr>
        <w:t>1-1807974 – “</w:t>
      </w:r>
      <w:r w:rsidR="00DD389A" w:rsidRPr="00DD389A">
        <w:rPr>
          <w:rFonts w:eastAsia="MS Mincho"/>
          <w:lang w:eastAsia="ja-JP"/>
        </w:rPr>
        <w:t xml:space="preserve">Reply LS on RAN4 agreement on </w:t>
      </w:r>
      <w:proofErr w:type="spellStart"/>
      <w:r w:rsidR="00DD389A" w:rsidRPr="00DD389A">
        <w:rPr>
          <w:rFonts w:eastAsia="MS Mincho"/>
          <w:lang w:eastAsia="ja-JP"/>
        </w:rPr>
        <w:t>intraband</w:t>
      </w:r>
      <w:proofErr w:type="spellEnd"/>
      <w:r w:rsidR="00DD389A" w:rsidRPr="00DD389A">
        <w:rPr>
          <w:rFonts w:eastAsia="MS Mincho"/>
          <w:lang w:eastAsia="ja-JP"/>
        </w:rPr>
        <w:t xml:space="preserve"> EN-DC A-MPR</w:t>
      </w:r>
      <w:r w:rsidR="00DD389A">
        <w:rPr>
          <w:rFonts w:eastAsia="MS Mincho"/>
          <w:lang w:eastAsia="ja-JP"/>
        </w:rPr>
        <w:t>”, RAN1 to RAN4, RAN1#93, Busan, Korea, May 2018.</w:t>
      </w:r>
    </w:p>
    <w:p w14:paraId="1C224326" w14:textId="5D686FA0" w:rsidR="000F65A0" w:rsidRPr="00C76897" w:rsidRDefault="000F65A0" w:rsidP="006A7922">
      <w:pPr>
        <w:rPr>
          <w:rFonts w:eastAsia="MS Mincho"/>
          <w:lang w:val="fr-FR" w:eastAsia="ja-JP"/>
        </w:rPr>
      </w:pPr>
      <w:r w:rsidRPr="00C76897">
        <w:rPr>
          <w:lang w:val="en-GB" w:eastAsia="zh-CN"/>
        </w:rPr>
        <w:t>[</w:t>
      </w:r>
      <w:r w:rsidR="00232509" w:rsidRPr="00C76897">
        <w:rPr>
          <w:lang w:val="en-GB" w:eastAsia="zh-CN"/>
        </w:rPr>
        <w:t>3</w:t>
      </w:r>
      <w:r w:rsidRPr="00C76897">
        <w:rPr>
          <w:lang w:val="en-GB" w:eastAsia="zh-CN"/>
        </w:rPr>
        <w:t>]</w:t>
      </w:r>
      <w:r w:rsidR="00232509" w:rsidRPr="00C76897">
        <w:rPr>
          <w:lang w:val="en-GB" w:eastAsia="zh-CN"/>
        </w:rPr>
        <w:t xml:space="preserve"> R4-1810058</w:t>
      </w:r>
      <w:r w:rsidR="00DD389A">
        <w:rPr>
          <w:lang w:val="en-GB" w:eastAsia="zh-CN"/>
        </w:rPr>
        <w:t xml:space="preserve"> – CR to 38.101-3 on “</w:t>
      </w:r>
      <w:r w:rsidR="00DD389A">
        <w:rPr>
          <w:noProof/>
        </w:rPr>
        <w:t>Configured maximum power for EN-DC</w:t>
      </w:r>
      <w:r w:rsidR="00DD389A">
        <w:rPr>
          <w:lang w:val="en-GB" w:eastAsia="zh-CN"/>
        </w:rPr>
        <w:t>”, Ericsson, RAN4#88, Gothenburg, Sweden, August 2018.</w:t>
      </w:r>
    </w:p>
    <w:p w14:paraId="2F58C905" w14:textId="5124E603" w:rsidR="00DD389A" w:rsidRPr="00C76897" w:rsidRDefault="00232509" w:rsidP="00DD389A">
      <w:pPr>
        <w:rPr>
          <w:rFonts w:eastAsia="MS Mincho"/>
          <w:lang w:val="fr-FR" w:eastAsia="ja-JP"/>
        </w:rPr>
      </w:pPr>
      <w:r w:rsidRPr="00C76897">
        <w:rPr>
          <w:rFonts w:eastAsia="MS Mincho"/>
          <w:lang w:val="fr-FR" w:eastAsia="ja-JP"/>
        </w:rPr>
        <w:t xml:space="preserve">[4] </w:t>
      </w:r>
      <w:r w:rsidRPr="00C76897">
        <w:rPr>
          <w:lang w:val="en-GB" w:eastAsia="zh-CN"/>
        </w:rPr>
        <w:t>R4-1810056</w:t>
      </w:r>
      <w:r w:rsidR="00DD389A">
        <w:rPr>
          <w:lang w:val="en-GB" w:eastAsia="zh-CN"/>
        </w:rPr>
        <w:t xml:space="preserve"> – “</w:t>
      </w:r>
      <w:r w:rsidR="00DD389A" w:rsidRPr="00DD389A">
        <w:rPr>
          <w:lang w:val="en-GB" w:eastAsia="zh-CN"/>
        </w:rPr>
        <w:t>Power control for EN-</w:t>
      </w:r>
      <w:proofErr w:type="gramStart"/>
      <w:r w:rsidR="00DD389A" w:rsidRPr="00DD389A">
        <w:rPr>
          <w:lang w:val="en-GB" w:eastAsia="zh-CN"/>
        </w:rPr>
        <w:t>DC:</w:t>
      </w:r>
      <w:proofErr w:type="gramEnd"/>
      <w:r w:rsidR="00DD389A" w:rsidRPr="00DD389A">
        <w:rPr>
          <w:lang w:val="en-GB" w:eastAsia="zh-CN"/>
        </w:rPr>
        <w:t xml:space="preserve"> power back-off and UL timing</w:t>
      </w:r>
      <w:r w:rsidR="00DD389A">
        <w:rPr>
          <w:lang w:val="en-GB" w:eastAsia="zh-CN"/>
        </w:rPr>
        <w:t>”,</w:t>
      </w:r>
      <w:r w:rsidR="00DD389A" w:rsidRPr="00DD389A">
        <w:rPr>
          <w:lang w:val="en-GB" w:eastAsia="zh-CN"/>
        </w:rPr>
        <w:t xml:space="preserve"> </w:t>
      </w:r>
      <w:r w:rsidR="00DD389A">
        <w:rPr>
          <w:lang w:val="en-GB" w:eastAsia="zh-CN"/>
        </w:rPr>
        <w:t>Ericsson, RAN4#88, Gothenburg, Sweden, August 2018.</w:t>
      </w:r>
    </w:p>
    <w:p w14:paraId="01ADDB86" w14:textId="0F70B377" w:rsidR="00232509" w:rsidRPr="00C76897" w:rsidRDefault="00232509" w:rsidP="006A7922">
      <w:pPr>
        <w:rPr>
          <w:rFonts w:eastAsia="MS Mincho"/>
          <w:lang w:val="fr-FR" w:eastAsia="ja-JP"/>
        </w:rPr>
      </w:pPr>
      <w:r w:rsidRPr="00C76897">
        <w:rPr>
          <w:rFonts w:eastAsia="MS Mincho"/>
          <w:lang w:val="fr-FR" w:eastAsia="ja-JP"/>
        </w:rPr>
        <w:t xml:space="preserve">[5] </w:t>
      </w:r>
      <w:r w:rsidRPr="00C76897">
        <w:rPr>
          <w:lang w:val="en-GB" w:eastAsia="zh-CN"/>
        </w:rPr>
        <w:t>R4-1810057</w:t>
      </w:r>
      <w:r w:rsidR="00DD389A">
        <w:rPr>
          <w:lang w:val="en-GB" w:eastAsia="zh-CN"/>
        </w:rPr>
        <w:t xml:space="preserve"> – “</w:t>
      </w:r>
      <w:proofErr w:type="spellStart"/>
      <w:r w:rsidR="00DD389A" w:rsidRPr="00DD389A">
        <w:rPr>
          <w:lang w:val="en-GB" w:eastAsia="zh-CN"/>
        </w:rPr>
        <w:t>Pcmax</w:t>
      </w:r>
      <w:proofErr w:type="spellEnd"/>
      <w:r w:rsidR="00DD389A" w:rsidRPr="00DD389A">
        <w:rPr>
          <w:lang w:val="en-GB" w:eastAsia="zh-CN"/>
        </w:rPr>
        <w:t xml:space="preserve"> for EN-DC</w:t>
      </w:r>
      <w:r w:rsidR="00DD389A">
        <w:rPr>
          <w:lang w:val="en-GB" w:eastAsia="zh-CN"/>
        </w:rPr>
        <w:t>”, Ericsson, RAN4#88, Gothenburg, Sweden, August 2018.</w:t>
      </w:r>
    </w:p>
    <w:p w14:paraId="0E90752A" w14:textId="2492D555" w:rsidR="001B616C" w:rsidRDefault="001B616C" w:rsidP="001B616C">
      <w:pPr>
        <w:rPr>
          <w:lang w:val="en-GB" w:eastAsia="zh-CN"/>
        </w:rPr>
      </w:pPr>
      <w:r>
        <w:rPr>
          <w:lang w:val="en-GB" w:eastAsia="zh-CN"/>
        </w:rPr>
        <w:t>[6] R1-1805203 – “</w:t>
      </w:r>
      <w:r w:rsidRPr="00901394">
        <w:t xml:space="preserve">Remaining issues for </w:t>
      </w:r>
      <w:r>
        <w:t>CA and power sharing</w:t>
      </w:r>
      <w:r>
        <w:rPr>
          <w:lang w:val="en-GB" w:eastAsia="zh-CN"/>
        </w:rPr>
        <w:t xml:space="preserve">”, </w:t>
      </w:r>
      <w:r>
        <w:rPr>
          <w:rFonts w:eastAsia="MS Mincho"/>
          <w:lang w:eastAsia="ja-JP"/>
        </w:rPr>
        <w:t xml:space="preserve">Ericsson, RAN1#92bis, </w:t>
      </w:r>
      <w:proofErr w:type="spellStart"/>
      <w:r>
        <w:rPr>
          <w:rFonts w:eastAsia="MS Mincho"/>
          <w:lang w:eastAsia="ja-JP"/>
        </w:rPr>
        <w:t>Sanya</w:t>
      </w:r>
      <w:proofErr w:type="spellEnd"/>
      <w:r>
        <w:rPr>
          <w:rFonts w:eastAsia="MS Mincho"/>
          <w:lang w:eastAsia="ja-JP"/>
        </w:rPr>
        <w:t>, P</w:t>
      </w:r>
      <w:r>
        <w:rPr>
          <w:rFonts w:eastAsia="MS Mincho"/>
          <w:lang w:val="fr-FR" w:eastAsia="ja-JP"/>
        </w:rPr>
        <w:t>.R. China, April 2018.</w:t>
      </w:r>
    </w:p>
    <w:p w14:paraId="24A94354" w14:textId="0706663D" w:rsidR="00D20766" w:rsidRDefault="00D20766" w:rsidP="00E24AEA">
      <w:pPr>
        <w:pStyle w:val="Heading1"/>
      </w:pPr>
      <w:r>
        <w:lastRenderedPageBreak/>
        <w:t>Annex A – Relevant RAN</w:t>
      </w:r>
      <w:r w:rsidR="00A16157">
        <w:t>1</w:t>
      </w:r>
      <w:r>
        <w:t xml:space="preserve"> Agreements </w:t>
      </w:r>
    </w:p>
    <w:p w14:paraId="756BEA34" w14:textId="77777777" w:rsidR="00D20766" w:rsidRDefault="00D20766" w:rsidP="00D20766">
      <w:pPr>
        <w:rPr>
          <w:u w:val="single"/>
        </w:rPr>
      </w:pPr>
    </w:p>
    <w:p w14:paraId="4804C12E" w14:textId="77777777" w:rsidR="00D20766" w:rsidRPr="00650611" w:rsidRDefault="00D20766" w:rsidP="00D20766">
      <w:pPr>
        <w:rPr>
          <w:u w:val="single"/>
        </w:rPr>
      </w:pPr>
      <w:r w:rsidRPr="00650611">
        <w:rPr>
          <w:u w:val="single"/>
        </w:rPr>
        <w:t>In RAN1 NR AH#2, the following was agreed</w:t>
      </w:r>
    </w:p>
    <w:p w14:paraId="7973D7F3" w14:textId="77777777" w:rsidR="00D20766" w:rsidRPr="00AF20FF" w:rsidRDefault="00D20766" w:rsidP="00D20766">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14:paraId="6C30881A" w14:textId="77777777" w:rsidR="00D20766" w:rsidRPr="008023BE" w:rsidRDefault="00D20766" w:rsidP="00D20766">
      <w:pPr>
        <w:numPr>
          <w:ilvl w:val="0"/>
          <w:numId w:val="24"/>
        </w:numPr>
        <w:spacing w:after="0" w:line="240" w:lineRule="auto"/>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14:paraId="1CE22CFB" w14:textId="77777777" w:rsidR="00D20766" w:rsidRPr="006F26E3" w:rsidRDefault="00D20766" w:rsidP="00D20766">
      <w:pPr>
        <w:numPr>
          <w:ilvl w:val="1"/>
          <w:numId w:val="24"/>
        </w:numPr>
        <w:spacing w:after="0" w:line="240" w:lineRule="auto"/>
        <w:rPr>
          <w:rFonts w:eastAsia="MS Mincho"/>
          <w:szCs w:val="20"/>
          <w:lang w:eastAsia="ja-JP"/>
        </w:rPr>
      </w:pPr>
      <w:r w:rsidRPr="006F26E3">
        <w:rPr>
          <w:rFonts w:eastAsia="MS Mincho"/>
          <w:szCs w:val="20"/>
          <w:lang w:eastAsia="ja-JP"/>
        </w:rPr>
        <w:t>FFS details</w:t>
      </w:r>
    </w:p>
    <w:p w14:paraId="2BE4637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 xml:space="preserve">Discuss further </w:t>
      </w:r>
      <w:proofErr w:type="gramStart"/>
      <w:r w:rsidRPr="00510CE6">
        <w:rPr>
          <w:rFonts w:eastAsia="MS Mincho"/>
          <w:szCs w:val="20"/>
          <w:lang w:eastAsia="ja-JP"/>
        </w:rPr>
        <w:t>whether or not</w:t>
      </w:r>
      <w:proofErr w:type="gramEnd"/>
      <w:r w:rsidRPr="00510CE6">
        <w:rPr>
          <w:rFonts w:eastAsia="MS Mincho"/>
          <w:szCs w:val="20"/>
          <w:lang w:eastAsia="ja-JP"/>
        </w:rPr>
        <w:t xml:space="preserve"> to support dynamic power sharing between LTE and NR</w:t>
      </w:r>
    </w:p>
    <w:p w14:paraId="73C799C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4B624154" w14:textId="77777777" w:rsidR="00D20766" w:rsidRDefault="00D20766" w:rsidP="00D20766"/>
    <w:p w14:paraId="1371009F" w14:textId="77777777" w:rsidR="00D20766" w:rsidRPr="00650611" w:rsidRDefault="00D20766" w:rsidP="00D20766">
      <w:pPr>
        <w:rPr>
          <w:u w:val="single"/>
        </w:rPr>
      </w:pPr>
      <w:r w:rsidRPr="00650611">
        <w:rPr>
          <w:u w:val="single"/>
        </w:rPr>
        <w:t>In RAN1#90, the following was agreed</w:t>
      </w:r>
    </w:p>
    <w:p w14:paraId="713183B7" w14:textId="77777777" w:rsidR="00D20766" w:rsidRPr="00AB4A6D" w:rsidRDefault="00D20766" w:rsidP="00D20766">
      <w:pPr>
        <w:rPr>
          <w:rFonts w:eastAsia="MS Mincho"/>
          <w:lang w:eastAsia="ja-JP"/>
        </w:rPr>
      </w:pPr>
      <w:r w:rsidRPr="004C49B2">
        <w:rPr>
          <w:rFonts w:eastAsia="MS Mincho"/>
          <w:highlight w:val="green"/>
          <w:lang w:eastAsia="ja-JP"/>
        </w:rPr>
        <w:t>Agreements:</w:t>
      </w:r>
    </w:p>
    <w:p w14:paraId="1396E6EA" w14:textId="77777777" w:rsidR="00D20766" w:rsidRPr="00AB4A6D" w:rsidRDefault="00D20766" w:rsidP="00D20766">
      <w:pPr>
        <w:numPr>
          <w:ilvl w:val="0"/>
          <w:numId w:val="25"/>
        </w:numPr>
        <w:tabs>
          <w:tab w:val="left" w:pos="1440"/>
        </w:tabs>
        <w:spacing w:after="0" w:line="240" w:lineRule="auto"/>
        <w:rPr>
          <w:rFonts w:eastAsia="MS Mincho"/>
          <w:lang w:eastAsia="ja-JP"/>
        </w:rPr>
      </w:pPr>
      <w:r w:rsidRPr="00AB4A6D">
        <w:rPr>
          <w:rFonts w:eastAsia="MS Mincho"/>
          <w:lang w:eastAsia="ja-JP"/>
        </w:rPr>
        <w:t>At least for LTE-NR NSA operation</w:t>
      </w:r>
    </w:p>
    <w:p w14:paraId="1F2553F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Maximum allowed power values for LTE (P_LTE) and NR (P_NR) are set separately</w:t>
      </w:r>
    </w:p>
    <w:p w14:paraId="7613AE21"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 xml:space="preserve">i.e., when UE is configured for NR, P_LTE can be configured up to </w:t>
      </w:r>
      <w:proofErr w:type="spellStart"/>
      <w:r w:rsidRPr="00AB4A6D">
        <w:rPr>
          <w:rFonts w:eastAsia="MS Mincho"/>
          <w:lang w:eastAsia="ja-JP"/>
        </w:rPr>
        <w:t>P_cmax</w:t>
      </w:r>
      <w:proofErr w:type="spellEnd"/>
      <w:r w:rsidRPr="00AB4A6D">
        <w:rPr>
          <w:rFonts w:eastAsia="MS Mincho"/>
          <w:lang w:eastAsia="ja-JP"/>
        </w:rPr>
        <w:t xml:space="preserve"> </w:t>
      </w:r>
      <w:proofErr w:type="gramStart"/>
      <w:r w:rsidRPr="00AB4A6D">
        <w:rPr>
          <w:rFonts w:eastAsia="MS Mincho"/>
          <w:lang w:eastAsia="ja-JP"/>
        </w:rPr>
        <w:t>and  P</w:t>
      </w:r>
      <w:proofErr w:type="gramEnd"/>
      <w:r w:rsidRPr="00AB4A6D">
        <w:rPr>
          <w:rFonts w:eastAsia="MS Mincho"/>
          <w:lang w:eastAsia="ja-JP"/>
        </w:rPr>
        <w:t xml:space="preserve">_NR can be configured up to </w:t>
      </w:r>
      <w:proofErr w:type="spellStart"/>
      <w:r w:rsidRPr="00AB4A6D">
        <w:rPr>
          <w:rFonts w:eastAsia="MS Mincho"/>
          <w:lang w:eastAsia="ja-JP"/>
        </w:rPr>
        <w:t>P_cmax</w:t>
      </w:r>
      <w:proofErr w:type="spellEnd"/>
      <w:r w:rsidRPr="00AB4A6D">
        <w:rPr>
          <w:rFonts w:eastAsia="MS Mincho"/>
          <w:lang w:eastAsia="ja-JP"/>
        </w:rPr>
        <w:t xml:space="preserve">. </w:t>
      </w:r>
    </w:p>
    <w:p w14:paraId="6C0C220B"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 xml:space="preserve">e.g. P_LTE + P_NR &gt; </w:t>
      </w:r>
      <w:proofErr w:type="spellStart"/>
      <w:r w:rsidRPr="00AB4A6D">
        <w:rPr>
          <w:rFonts w:eastAsia="MS Mincho"/>
          <w:lang w:eastAsia="ja-JP"/>
        </w:rPr>
        <w:t>P_cmax</w:t>
      </w:r>
      <w:proofErr w:type="spellEnd"/>
      <w:r w:rsidRPr="00AB4A6D">
        <w:rPr>
          <w:rFonts w:eastAsia="MS Mincho"/>
          <w:lang w:eastAsia="ja-JP"/>
        </w:rPr>
        <w:t xml:space="preserve"> or P_LTE + P_NR = </w:t>
      </w:r>
      <w:proofErr w:type="spellStart"/>
      <w:r w:rsidRPr="00AB4A6D">
        <w:rPr>
          <w:rFonts w:eastAsia="MS Mincho"/>
          <w:lang w:eastAsia="ja-JP"/>
        </w:rPr>
        <w:t>P_cmax</w:t>
      </w:r>
      <w:proofErr w:type="spellEnd"/>
    </w:p>
    <w:p w14:paraId="2882FC27"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Signaling details for P_LTE, P_NR are left to RAN2, RAN4.</w:t>
      </w:r>
    </w:p>
    <w:p w14:paraId="44103D42"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w:t>
      </w:r>
      <w:proofErr w:type="spellStart"/>
      <w:r w:rsidRPr="00AB4A6D">
        <w:rPr>
          <w:rFonts w:eastAsia="MS Mincho"/>
          <w:lang w:eastAsia="ja-JP"/>
        </w:rPr>
        <w:t>P_cmax</w:t>
      </w:r>
      <w:proofErr w:type="spellEnd"/>
      <w:r w:rsidRPr="00AB4A6D">
        <w:rPr>
          <w:rFonts w:eastAsia="MS Mincho"/>
          <w:lang w:eastAsia="ja-JP"/>
        </w:rPr>
        <w:t xml:space="preserve">’ is a limit that is </w:t>
      </w:r>
      <w:proofErr w:type="gramStart"/>
      <w:r w:rsidRPr="00AB4A6D">
        <w:rPr>
          <w:rFonts w:eastAsia="MS Mincho"/>
          <w:lang w:eastAsia="ja-JP"/>
        </w:rPr>
        <w:t>similar to</w:t>
      </w:r>
      <w:proofErr w:type="gramEnd"/>
      <w:r w:rsidRPr="00AB4A6D">
        <w:rPr>
          <w:rFonts w:eastAsia="MS Mincho"/>
          <w:lang w:eastAsia="ja-JP"/>
        </w:rPr>
        <w:t xml:space="preserve"> ‘The configured maximum UE output power’ that was specified for LTE.</w:t>
      </w:r>
    </w:p>
    <w:p w14:paraId="3E0AE5B1" w14:textId="77777777" w:rsidR="00D20766"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31A938A" w14:textId="77777777" w:rsidR="00D20766" w:rsidRPr="00AB4A6D" w:rsidRDefault="00D20766" w:rsidP="00D20766">
      <w:pPr>
        <w:numPr>
          <w:ilvl w:val="1"/>
          <w:numId w:val="25"/>
        </w:numPr>
        <w:tabs>
          <w:tab w:val="left" w:pos="1440"/>
        </w:tabs>
        <w:spacing w:after="0" w:line="240" w:lineRule="auto"/>
        <w:rPr>
          <w:rFonts w:eastAsia="MS Mincho"/>
          <w:lang w:eastAsia="ja-JP"/>
        </w:rPr>
      </w:pPr>
      <w:r>
        <w:rPr>
          <w:rFonts w:eastAsia="MS Mincho"/>
          <w:lang w:eastAsia="ja-JP"/>
        </w:rPr>
        <w:t xml:space="preserve">All UEs are mandated to handle </w:t>
      </w:r>
      <w:r w:rsidRPr="00AB4A6D">
        <w:rPr>
          <w:rFonts w:eastAsia="MS Mincho"/>
          <w:lang w:eastAsia="ja-JP"/>
        </w:rPr>
        <w:t xml:space="preserve">P_LTE + P_NR = </w:t>
      </w:r>
      <w:proofErr w:type="spellStart"/>
      <w:r w:rsidRPr="00AB4A6D">
        <w:rPr>
          <w:rFonts w:eastAsia="MS Mincho"/>
          <w:lang w:eastAsia="ja-JP"/>
        </w:rPr>
        <w:t>P_cmax</w:t>
      </w:r>
      <w:proofErr w:type="spellEnd"/>
      <w:r>
        <w:rPr>
          <w:rFonts w:eastAsia="MS Mincho"/>
          <w:lang w:eastAsia="ja-JP"/>
        </w:rPr>
        <w:t xml:space="preserve"> while handling of </w:t>
      </w:r>
      <w:r w:rsidRPr="00AB4A6D">
        <w:rPr>
          <w:rFonts w:eastAsia="MS Mincho"/>
          <w:lang w:eastAsia="ja-JP"/>
        </w:rPr>
        <w:t xml:space="preserve">P_LTE + P_NR &gt; </w:t>
      </w:r>
      <w:proofErr w:type="spellStart"/>
      <w:r w:rsidRPr="00AB4A6D">
        <w:rPr>
          <w:rFonts w:eastAsia="MS Mincho"/>
          <w:lang w:eastAsia="ja-JP"/>
        </w:rPr>
        <w:t>P_cmax</w:t>
      </w:r>
      <w:proofErr w:type="spellEnd"/>
      <w:r>
        <w:rPr>
          <w:rFonts w:eastAsia="MS Mincho"/>
          <w:lang w:eastAsia="ja-JP"/>
        </w:rPr>
        <w:t xml:space="preserve"> depends on UE capability</w:t>
      </w:r>
    </w:p>
    <w:p w14:paraId="6D9ADF9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 xml:space="preserve">At least,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not configured for the UE, if total transmit power exceeds </w:t>
      </w:r>
      <w:proofErr w:type="spellStart"/>
      <w:r w:rsidRPr="00AB4A6D">
        <w:rPr>
          <w:rFonts w:eastAsia="MS Mincho"/>
          <w:lang w:eastAsia="ja-JP"/>
        </w:rPr>
        <w:t>P_cmax</w:t>
      </w:r>
      <w:proofErr w:type="spellEnd"/>
      <w:r w:rsidRPr="00AB4A6D">
        <w:rPr>
          <w:rFonts w:eastAsia="MS Mincho"/>
          <w:lang w:eastAsia="ja-JP"/>
        </w:rPr>
        <w:t xml:space="preserve"> when there is simultaneous NR and LTE UL </w:t>
      </w:r>
      <w:proofErr w:type="spellStart"/>
      <w:r w:rsidRPr="00AB4A6D">
        <w:rPr>
          <w:rFonts w:eastAsia="MS Mincho"/>
          <w:lang w:eastAsia="ja-JP"/>
        </w:rPr>
        <w:t>tx</w:t>
      </w:r>
      <w:proofErr w:type="spellEnd"/>
      <w:r w:rsidRPr="00AB4A6D">
        <w:rPr>
          <w:rFonts w:eastAsia="MS Mincho"/>
          <w:lang w:eastAsia="ja-JP"/>
        </w:rPr>
        <w:t xml:space="preserve">, </w:t>
      </w:r>
    </w:p>
    <w:p w14:paraId="698152A3"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214C37DE" w14:textId="77777777" w:rsidR="00D20766" w:rsidRPr="004C49B2" w:rsidRDefault="00D20766" w:rsidP="00D20766">
      <w:pPr>
        <w:numPr>
          <w:ilvl w:val="3"/>
          <w:numId w:val="25"/>
        </w:numPr>
        <w:tabs>
          <w:tab w:val="left" w:pos="1440"/>
        </w:tabs>
        <w:spacing w:after="0" w:line="240" w:lineRule="auto"/>
        <w:rPr>
          <w:rFonts w:eastAsia="MS Mincho"/>
          <w:lang w:eastAsia="ja-JP"/>
        </w:rPr>
      </w:pPr>
      <w:r w:rsidRPr="004C49B2">
        <w:rPr>
          <w:rFonts w:eastAsia="MS Mincho"/>
          <w:lang w:eastAsia="ja-JP"/>
        </w:rPr>
        <w:t xml:space="preserve">If there are two or more UL carriers, the power scaling or </w:t>
      </w:r>
      <w:proofErr w:type="spellStart"/>
      <w:r w:rsidRPr="004C49B2">
        <w:rPr>
          <w:rFonts w:eastAsia="MS Mincho"/>
          <w:lang w:eastAsia="ja-JP"/>
        </w:rPr>
        <w:t>tx</w:t>
      </w:r>
      <w:proofErr w:type="spellEnd"/>
      <w:r w:rsidRPr="004C49B2">
        <w:rPr>
          <w:rFonts w:eastAsia="MS Mincho"/>
          <w:lang w:eastAsia="ja-JP"/>
        </w:rPr>
        <w:t xml:space="preserve"> dropping can be performed for each of the UL carriers separately or jointly up to UE implementation</w:t>
      </w:r>
    </w:p>
    <w:p w14:paraId="040814C5"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LTE, no change in power control procedure</w:t>
      </w:r>
    </w:p>
    <w:p w14:paraId="45118A3B"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 xml:space="preserve">FFS the case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configured for the UE</w:t>
      </w:r>
    </w:p>
    <w:p w14:paraId="4CF0C9E8"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The following is FFS</w:t>
      </w:r>
    </w:p>
    <w:p w14:paraId="4C7EA644"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 xml:space="preserve">The case when P_NR is configured such that P_NR &lt; </w:t>
      </w:r>
      <w:proofErr w:type="spellStart"/>
      <w:r w:rsidRPr="00AB4A6D">
        <w:rPr>
          <w:rFonts w:eastAsia="MS Mincho"/>
          <w:lang w:eastAsia="ja-JP"/>
        </w:rPr>
        <w:t>P_cmax</w:t>
      </w:r>
      <w:proofErr w:type="spellEnd"/>
      <w:r w:rsidRPr="00AB4A6D">
        <w:rPr>
          <w:rFonts w:eastAsia="MS Mincho"/>
          <w:lang w:eastAsia="ja-JP"/>
        </w:rPr>
        <w:t xml:space="preserve">, and UE can use power up to </w:t>
      </w:r>
      <w:proofErr w:type="spellStart"/>
      <w:r w:rsidRPr="00AB4A6D">
        <w:rPr>
          <w:rFonts w:eastAsia="MS Mincho"/>
          <w:lang w:eastAsia="ja-JP"/>
        </w:rPr>
        <w:t>P_cmax</w:t>
      </w:r>
      <w:proofErr w:type="spellEnd"/>
      <w:r w:rsidRPr="00AB4A6D">
        <w:rPr>
          <w:rFonts w:eastAsia="MS Mincho"/>
          <w:lang w:eastAsia="ja-JP"/>
        </w:rPr>
        <w:t xml:space="preserve"> in NR when it knows that there will be no UL transmission in LTE by semi-static configuration (e.g., measurement gap, DL/UL configuration)</w:t>
      </w:r>
    </w:p>
    <w:p w14:paraId="31BD6881" w14:textId="77777777" w:rsidR="00D20766" w:rsidRDefault="00D20766" w:rsidP="00D20766"/>
    <w:p w14:paraId="4A5EE29F" w14:textId="77777777" w:rsidR="00D20766" w:rsidRPr="00650611" w:rsidRDefault="00D20766" w:rsidP="00D20766">
      <w:pPr>
        <w:rPr>
          <w:u w:val="single"/>
        </w:rPr>
      </w:pPr>
      <w:r w:rsidRPr="00650611">
        <w:rPr>
          <w:u w:val="single"/>
        </w:rPr>
        <w:t>In RAN1#91, the following was agreed</w:t>
      </w:r>
    </w:p>
    <w:p w14:paraId="3528CBB9" w14:textId="77777777" w:rsidR="00D20766" w:rsidRDefault="00D20766" w:rsidP="00D20766">
      <w:pPr>
        <w:pStyle w:val="text"/>
        <w:rPr>
          <w:rFonts w:hAnsi="Times New Roman"/>
          <w:sz w:val="20"/>
        </w:rPr>
      </w:pPr>
      <w:r w:rsidRPr="00581C25">
        <w:rPr>
          <w:rFonts w:hAnsi="Times New Roman"/>
          <w:b/>
          <w:sz w:val="20"/>
          <w:highlight w:val="green"/>
        </w:rPr>
        <w:t>Agreement:</w:t>
      </w:r>
      <w:r>
        <w:rPr>
          <w:rFonts w:hAnsi="Times New Roman"/>
          <w:b/>
          <w:sz w:val="20"/>
        </w:rPr>
        <w:br/>
      </w:r>
      <w:r w:rsidRPr="00581C25">
        <w:rPr>
          <w:rFonts w:hAnsi="Times New Roman"/>
          <w:sz w:val="20"/>
        </w:rPr>
        <w:t>For LTE/NR NSA operation,</w:t>
      </w:r>
    </w:p>
    <w:p w14:paraId="791C4980" w14:textId="77777777" w:rsidR="00D20766" w:rsidRPr="00581C25" w:rsidRDefault="00D20766" w:rsidP="00D20766">
      <w:pPr>
        <w:pStyle w:val="text"/>
        <w:numPr>
          <w:ilvl w:val="0"/>
          <w:numId w:val="24"/>
        </w:numPr>
        <w:overflowPunct/>
        <w:autoSpaceDE/>
        <w:autoSpaceDN/>
        <w:adjustRightInd/>
        <w:spacing w:line="240" w:lineRule="auto"/>
        <w:jc w:val="both"/>
        <w:textAlignment w:val="auto"/>
        <w:rPr>
          <w:rFonts w:hAnsi="Times New Roman"/>
          <w:sz w:val="20"/>
        </w:rPr>
      </w:pPr>
      <w:r w:rsidRPr="00581C25">
        <w:rPr>
          <w:rFonts w:hAnsi="Times New Roman"/>
          <w:sz w:val="20"/>
        </w:rPr>
        <w:lastRenderedPageBreak/>
        <w:t xml:space="preserve">If this UE supports dual UL operation </w:t>
      </w:r>
      <w:proofErr w:type="gramStart"/>
      <w:r w:rsidRPr="00581C25">
        <w:rPr>
          <w:rFonts w:hAnsi="Times New Roman"/>
          <w:sz w:val="20"/>
        </w:rPr>
        <w:t>and also</w:t>
      </w:r>
      <w:proofErr w:type="gramEnd"/>
      <w:r w:rsidRPr="00581C25">
        <w:rPr>
          <w:rFonts w:hAnsi="Times New Roman"/>
          <w:sz w:val="20"/>
        </w:rPr>
        <w:t xml:space="preserve"> supports single UL operation with Case 1 HARQ timing, RRC </w:t>
      </w:r>
      <w:proofErr w:type="spellStart"/>
      <w:r w:rsidRPr="00581C25">
        <w:rPr>
          <w:rFonts w:hAnsi="Times New Roman"/>
          <w:sz w:val="20"/>
        </w:rPr>
        <w:t>signaling</w:t>
      </w:r>
      <w:proofErr w:type="spellEnd"/>
      <w:r w:rsidRPr="00581C25">
        <w:rPr>
          <w:rFonts w:hAnsi="Times New Roman"/>
          <w:sz w:val="20"/>
        </w:rPr>
        <w:t xml:space="preserve"> can configure a UE to operate in one of the following modes:</w:t>
      </w:r>
    </w:p>
    <w:p w14:paraId="4D3CB6C6"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Dual UL operation</w:t>
      </w:r>
    </w:p>
    <w:p w14:paraId="2D3CACC3"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1 HARQ timing</w:t>
      </w:r>
    </w:p>
    <w:p w14:paraId="0BBC7EB9"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2 HARQ timing</w:t>
      </w:r>
    </w:p>
    <w:p w14:paraId="5956366E" w14:textId="77777777" w:rsidR="00D20766" w:rsidRPr="00581C25" w:rsidRDefault="00D20766" w:rsidP="00D20766">
      <w:pPr>
        <w:pStyle w:val="bullet1"/>
        <w:spacing w:line="240" w:lineRule="auto"/>
        <w:rPr>
          <w:rFonts w:ascii="Times New Roman" w:hAnsi="Times New Roman"/>
          <w:sz w:val="20"/>
          <w:szCs w:val="20"/>
          <w:lang w:val="en-US"/>
        </w:rPr>
      </w:pPr>
      <w:r w:rsidRPr="00581C25">
        <w:rPr>
          <w:rFonts w:ascii="Times New Roman" w:hAnsi="Times New Roman"/>
          <w:sz w:val="20"/>
          <w:szCs w:val="20"/>
          <w:lang w:val="en-US"/>
        </w:rPr>
        <w:t xml:space="preserve">For UE supporting single UL operation and with Case 1 HARQ timing if UE does not support </w:t>
      </w:r>
      <w:r w:rsidRPr="00581C25">
        <w:rPr>
          <w:rFonts w:ascii="Times New Roman" w:hAnsi="Times New Roman"/>
          <w:i/>
          <w:sz w:val="20"/>
          <w:szCs w:val="20"/>
          <w:lang w:val="en-US"/>
        </w:rPr>
        <w:t>power scaling for LTE-NR DC</w:t>
      </w:r>
      <w:r w:rsidRPr="00581C25">
        <w:rPr>
          <w:rFonts w:ascii="Times New Roman" w:hAnsi="Times New Roman"/>
          <w:sz w:val="20"/>
          <w:szCs w:val="20"/>
          <w:lang w:val="en-US"/>
        </w:rPr>
        <w:t xml:space="preserve"> with P_LTE+P_NR&gt;</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UE shall support the following two operations:</w:t>
      </w:r>
    </w:p>
    <w:p w14:paraId="5B72EEC7"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 xml:space="preserve">Operation A with Case1: P_LTE + P_NR &gt;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in which case the UE assumes that no NR UL transmission takes place in an UL subframe/slot that is designated as LTE UL in the Case 1 reference TDD configuration</w:t>
      </w:r>
    </w:p>
    <w:p w14:paraId="633F39CF"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lang w:val="en-US"/>
        </w:rPr>
        <w:t xml:space="preserve">Operation B with Case1: P_LTE + P_NR &lt;=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xml:space="preserve">, in which case NR UL can be scheduled in any UL subframe/slot (while </w:t>
      </w:r>
      <w:r w:rsidRPr="00581C25">
        <w:rPr>
          <w:rFonts w:ascii="Times New Roman" w:hAnsi="Times New Roman"/>
          <w:sz w:val="20"/>
          <w:szCs w:val="20"/>
        </w:rPr>
        <w:t xml:space="preserve">the UE behaviour in case of being simultaneously scheduled on LTE and NR uplinks is not specified) </w:t>
      </w:r>
    </w:p>
    <w:p w14:paraId="0B999B29"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The </w:t>
      </w:r>
      <w:r w:rsidRPr="00581C25">
        <w:rPr>
          <w:rFonts w:ascii="Times New Roman" w:hAnsi="Times New Roman"/>
          <w:sz w:val="20"/>
          <w:szCs w:val="20"/>
          <w:lang w:val="en-US"/>
        </w:rPr>
        <w:t>operation</w:t>
      </w:r>
      <w:r w:rsidRPr="00581C25">
        <w:rPr>
          <w:rFonts w:ascii="Times New Roman" w:hAnsi="Times New Roman"/>
          <w:sz w:val="20"/>
          <w:szCs w:val="20"/>
        </w:rPr>
        <w:t xml:space="preserve"> A vs </w:t>
      </w:r>
      <w:r w:rsidRPr="00581C25">
        <w:rPr>
          <w:rFonts w:ascii="Times New Roman" w:hAnsi="Times New Roman"/>
          <w:sz w:val="20"/>
          <w:szCs w:val="20"/>
          <w:lang w:val="en-US"/>
        </w:rPr>
        <w:t>operation</w:t>
      </w:r>
      <w:r w:rsidRPr="00581C25">
        <w:rPr>
          <w:rFonts w:ascii="Times New Roman" w:hAnsi="Times New Roman"/>
          <w:sz w:val="20"/>
          <w:szCs w:val="20"/>
        </w:rPr>
        <w:t xml:space="preserve"> B configuration is implicitly determined based on </w:t>
      </w:r>
      <w:r w:rsidRPr="00581C25">
        <w:rPr>
          <w:rFonts w:ascii="Times New Roman" w:hAnsi="Times New Roman"/>
          <w:sz w:val="20"/>
          <w:szCs w:val="20"/>
          <w:lang w:val="en-US"/>
        </w:rPr>
        <w:t>P_LTE and P_NR</w:t>
      </w:r>
    </w:p>
    <w:p w14:paraId="1EE22905"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does not affect the </w:t>
      </w:r>
      <w:proofErr w:type="gramStart"/>
      <w:r w:rsidRPr="00581C25">
        <w:rPr>
          <w:rFonts w:ascii="Times New Roman" w:hAnsi="Times New Roman"/>
          <w:sz w:val="20"/>
          <w:szCs w:val="20"/>
        </w:rPr>
        <w:t>current status</w:t>
      </w:r>
      <w:proofErr w:type="gramEnd"/>
      <w:r w:rsidRPr="00581C25">
        <w:rPr>
          <w:rFonts w:ascii="Times New Roman" w:hAnsi="Times New Roman"/>
          <w:sz w:val="20"/>
          <w:szCs w:val="20"/>
        </w:rPr>
        <w:t xml:space="preserve"> on the optional/mandatory support of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with </w:t>
      </w:r>
      <w:r w:rsidRPr="00581C25">
        <w:rPr>
          <w:rFonts w:ascii="Times New Roman" w:hAnsi="Times New Roman"/>
          <w:sz w:val="20"/>
          <w:szCs w:val="20"/>
          <w:lang w:val="en-US"/>
        </w:rPr>
        <w:t xml:space="preserve">P_LTE + P_NR &gt; </w:t>
      </w:r>
      <w:proofErr w:type="spellStart"/>
      <w:r w:rsidRPr="00581C25">
        <w:rPr>
          <w:rFonts w:ascii="Times New Roman" w:hAnsi="Times New Roman"/>
          <w:sz w:val="20"/>
          <w:szCs w:val="20"/>
          <w:lang w:val="en-US"/>
        </w:rPr>
        <w:t>Pcmax</w:t>
      </w:r>
      <w:proofErr w:type="spellEnd"/>
    </w:p>
    <w:p w14:paraId="654C7656"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can become obsolete if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is mandated to all UEs</w:t>
      </w:r>
    </w:p>
    <w:p w14:paraId="4164B30F" w14:textId="77777777" w:rsidR="00D20766" w:rsidRDefault="00D20766" w:rsidP="00D20766"/>
    <w:p w14:paraId="4F361CEA" w14:textId="77777777" w:rsidR="00D20766" w:rsidRPr="00650611" w:rsidRDefault="00D20766" w:rsidP="00D20766">
      <w:pPr>
        <w:rPr>
          <w:u w:val="single"/>
        </w:rPr>
      </w:pPr>
      <w:r w:rsidRPr="00650611">
        <w:rPr>
          <w:u w:val="single"/>
        </w:rPr>
        <w:t>In RAN#78 the following was endorsed</w:t>
      </w:r>
    </w:p>
    <w:p w14:paraId="6A002E5F" w14:textId="77777777" w:rsidR="00D20766" w:rsidRDefault="00D20766" w:rsidP="00D20766"/>
    <w:p w14:paraId="23FFEBE6" w14:textId="77777777" w:rsidR="00D20766" w:rsidRPr="00581C25" w:rsidRDefault="00D20766" w:rsidP="00D20766">
      <w:pPr>
        <w:numPr>
          <w:ilvl w:val="0"/>
          <w:numId w:val="26"/>
        </w:numPr>
        <w:tabs>
          <w:tab w:val="num" w:pos="720"/>
        </w:tabs>
        <w:spacing w:after="0" w:line="240" w:lineRule="auto"/>
      </w:pPr>
      <w:r w:rsidRPr="00581C25">
        <w:t>Proposal 1</w:t>
      </w:r>
    </w:p>
    <w:p w14:paraId="2C0993EC" w14:textId="77777777" w:rsidR="00D20766" w:rsidRPr="00581C25" w:rsidRDefault="00D20766" w:rsidP="00D20766">
      <w:pPr>
        <w:numPr>
          <w:ilvl w:val="1"/>
          <w:numId w:val="26"/>
        </w:numPr>
        <w:tabs>
          <w:tab w:val="num" w:pos="1440"/>
        </w:tabs>
        <w:spacing w:after="0" w:line="240" w:lineRule="auto"/>
      </w:pPr>
      <w:r w:rsidRPr="00581C25">
        <w:t>Agree to introduce Rel-15 capability signaling to indicate whether the UE supports dynamic EN-DC power sharing</w:t>
      </w:r>
    </w:p>
    <w:p w14:paraId="067C9583" w14:textId="77777777" w:rsidR="00D20766" w:rsidRPr="00581C25" w:rsidRDefault="00D20766" w:rsidP="00D20766">
      <w:pPr>
        <w:numPr>
          <w:ilvl w:val="2"/>
          <w:numId w:val="26"/>
        </w:numPr>
        <w:tabs>
          <w:tab w:val="num" w:pos="2160"/>
        </w:tabs>
        <w:spacing w:after="0" w:line="240" w:lineRule="auto"/>
      </w:pPr>
      <w:r w:rsidRPr="00581C25">
        <w:t xml:space="preserve">Dynamic power sharing means that the UE can operate with P_LTE + P_NR &gt; </w:t>
      </w:r>
      <w:proofErr w:type="spellStart"/>
      <w:r w:rsidRPr="00581C25">
        <w:t>P_powerclass</w:t>
      </w:r>
      <w:proofErr w:type="spellEnd"/>
      <w:r w:rsidRPr="00581C25">
        <w:t xml:space="preserve"> configuration </w:t>
      </w:r>
    </w:p>
    <w:p w14:paraId="74806EB8" w14:textId="77777777" w:rsidR="00D20766" w:rsidRPr="00581C25" w:rsidRDefault="00D20766" w:rsidP="00D20766">
      <w:pPr>
        <w:numPr>
          <w:ilvl w:val="1"/>
          <w:numId w:val="26"/>
        </w:numPr>
        <w:tabs>
          <w:tab w:val="num" w:pos="1440"/>
        </w:tabs>
        <w:spacing w:after="0" w:line="240" w:lineRule="auto"/>
      </w:pPr>
      <w:r w:rsidRPr="00581C25">
        <w:t>Agree that the intent is to make dynamic EN-DC power sharing mandatory at a future time</w:t>
      </w:r>
    </w:p>
    <w:p w14:paraId="7E248885" w14:textId="77777777" w:rsidR="00D20766" w:rsidRPr="00581C25" w:rsidRDefault="00D20766" w:rsidP="00D20766">
      <w:pPr>
        <w:numPr>
          <w:ilvl w:val="1"/>
          <w:numId w:val="26"/>
        </w:numPr>
        <w:tabs>
          <w:tab w:val="num" w:pos="1440"/>
        </w:tabs>
        <w:spacing w:after="0" w:line="240" w:lineRule="auto"/>
      </w:pPr>
      <w:r w:rsidRPr="00581C25">
        <w:t>Check any possible updates on status above in March</w:t>
      </w:r>
    </w:p>
    <w:p w14:paraId="5A9643EF" w14:textId="77777777" w:rsidR="00D20766" w:rsidRPr="00581C25" w:rsidRDefault="00D20766" w:rsidP="00D20766">
      <w:pPr>
        <w:numPr>
          <w:ilvl w:val="0"/>
          <w:numId w:val="26"/>
        </w:numPr>
        <w:tabs>
          <w:tab w:val="num" w:pos="720"/>
        </w:tabs>
        <w:spacing w:after="0" w:line="240" w:lineRule="auto"/>
      </w:pPr>
      <w:r w:rsidRPr="00581C25">
        <w:t>Proposal 2</w:t>
      </w:r>
    </w:p>
    <w:p w14:paraId="51B91E23" w14:textId="77777777" w:rsidR="00D20766" w:rsidRPr="00581C25" w:rsidRDefault="00D20766" w:rsidP="00D20766">
      <w:pPr>
        <w:numPr>
          <w:ilvl w:val="1"/>
          <w:numId w:val="26"/>
        </w:numPr>
        <w:tabs>
          <w:tab w:val="num" w:pos="1440"/>
        </w:tabs>
        <w:spacing w:after="0" w:line="240" w:lineRule="auto"/>
      </w:pPr>
      <w:r w:rsidRPr="00581C25">
        <w:t xml:space="preserve">For UEs without dynamic LTE-NR power sharing capability, the support of single UL operation (Operation A with Case 1 in Slide 5) is mandatory with capability </w:t>
      </w:r>
      <w:proofErr w:type="spellStart"/>
      <w:r w:rsidRPr="00581C25">
        <w:t>signalling</w:t>
      </w:r>
      <w:proofErr w:type="spellEnd"/>
    </w:p>
    <w:p w14:paraId="45C5F749" w14:textId="77777777" w:rsidR="00D20766" w:rsidRPr="00581C25" w:rsidRDefault="00D20766" w:rsidP="00D20766">
      <w:pPr>
        <w:numPr>
          <w:ilvl w:val="0"/>
          <w:numId w:val="26"/>
        </w:numPr>
        <w:tabs>
          <w:tab w:val="num" w:pos="720"/>
        </w:tabs>
        <w:spacing w:after="0" w:line="240" w:lineRule="auto"/>
      </w:pPr>
      <w:r w:rsidRPr="00581C25">
        <w:t>Single UL operation is optional for dynamic power sharing capable UEs</w:t>
      </w:r>
    </w:p>
    <w:p w14:paraId="56AC8BCD" w14:textId="77777777" w:rsidR="00D20766" w:rsidRDefault="00D20766" w:rsidP="00D20766">
      <w:pPr>
        <w:pStyle w:val="BodyText"/>
      </w:pPr>
    </w:p>
    <w:p w14:paraId="347C20F9" w14:textId="77777777" w:rsidR="00D20766" w:rsidRDefault="00D20766" w:rsidP="00D20766">
      <w:pPr>
        <w:pStyle w:val="BodyText"/>
        <w:rPr>
          <w:u w:val="single"/>
        </w:rPr>
      </w:pPr>
      <w:r w:rsidRPr="006F6856">
        <w:rPr>
          <w:u w:val="single"/>
        </w:rPr>
        <w:t>In RAN1 NR AH1801 the following was agreed</w:t>
      </w:r>
    </w:p>
    <w:p w14:paraId="1909C0B5" w14:textId="77777777" w:rsidR="00D20766" w:rsidRDefault="00D20766" w:rsidP="00D20766">
      <w:pPr>
        <w:rPr>
          <w:lang w:eastAsia="x-none"/>
        </w:rPr>
      </w:pPr>
      <w:r w:rsidRPr="00130F78">
        <w:rPr>
          <w:highlight w:val="green"/>
          <w:lang w:eastAsia="x-none"/>
        </w:rPr>
        <w:t>Agreement:</w:t>
      </w:r>
    </w:p>
    <w:p w14:paraId="2632A7D6" w14:textId="77777777" w:rsidR="00D20766" w:rsidRDefault="00D20766" w:rsidP="00D20766">
      <w:pPr>
        <w:pStyle w:val="BodyText"/>
        <w:numPr>
          <w:ilvl w:val="0"/>
          <w:numId w:val="28"/>
        </w:numPr>
        <w:spacing w:after="120" w:line="240" w:lineRule="auto"/>
        <w:jc w:val="both"/>
      </w:pPr>
      <w:r>
        <w:t>P_LTE and P_NR are configured separately via UE specific RRC (i.e., as dBm numbers with similar value range as p-Max in LTE)</w:t>
      </w:r>
    </w:p>
    <w:p w14:paraId="005D8C8C" w14:textId="77777777" w:rsidR="00D20766" w:rsidRDefault="00D20766" w:rsidP="00D20766">
      <w:pPr>
        <w:pStyle w:val="BodyText"/>
        <w:numPr>
          <w:ilvl w:val="1"/>
          <w:numId w:val="28"/>
        </w:numPr>
        <w:spacing w:after="120" w:line="240" w:lineRule="auto"/>
        <w:jc w:val="both"/>
      </w:pPr>
      <w:r>
        <w:t>P_LTE and P_NR are UE-specific</w:t>
      </w:r>
    </w:p>
    <w:p w14:paraId="1FE57522" w14:textId="77777777" w:rsidR="00D20766" w:rsidRDefault="00D20766" w:rsidP="00D20766">
      <w:pPr>
        <w:pStyle w:val="BodyText"/>
        <w:numPr>
          <w:ilvl w:val="0"/>
          <w:numId w:val="28"/>
        </w:numPr>
        <w:spacing w:after="120" w:line="240" w:lineRule="auto"/>
        <w:jc w:val="both"/>
      </w:pPr>
      <w:proofErr w:type="spellStart"/>
      <w:r>
        <w:t>P_cmax</w:t>
      </w:r>
      <w:proofErr w:type="spellEnd"/>
      <w:r>
        <w:t xml:space="preserve"> for LTE and </w:t>
      </w:r>
      <w:proofErr w:type="spellStart"/>
      <w:r>
        <w:t>P_cmax</w:t>
      </w:r>
      <w:proofErr w:type="spellEnd"/>
      <w:r>
        <w:t xml:space="preserve"> for NR are derived based on P_LTE and/or P_NR (details to be decided by RAN4)</w:t>
      </w:r>
    </w:p>
    <w:p w14:paraId="40CB5B84" w14:textId="77777777" w:rsidR="00D20766" w:rsidRDefault="00D20766" w:rsidP="00D20766">
      <w:pPr>
        <w:pStyle w:val="BodyText"/>
        <w:numPr>
          <w:ilvl w:val="0"/>
          <w:numId w:val="28"/>
        </w:numPr>
        <w:spacing w:after="120" w:line="240" w:lineRule="auto"/>
        <w:jc w:val="both"/>
      </w:pPr>
      <w:r>
        <w:t>RAN4 to define maximum total LTE and NR power in FR1 (</w:t>
      </w:r>
      <w:proofErr w:type="spellStart"/>
      <w:r>
        <w:t>X_total</w:t>
      </w:r>
      <w:proofErr w:type="spellEnd"/>
      <w:r>
        <w:t>) that the UE should never exceed.</w:t>
      </w:r>
    </w:p>
    <w:p w14:paraId="5482A7BA" w14:textId="77777777" w:rsidR="00D20766" w:rsidRDefault="00D20766" w:rsidP="00D20766">
      <w:pPr>
        <w:pStyle w:val="BodyText"/>
        <w:numPr>
          <w:ilvl w:val="0"/>
          <w:numId w:val="28"/>
        </w:numPr>
        <w:spacing w:after="120" w:line="240" w:lineRule="auto"/>
        <w:jc w:val="both"/>
      </w:pPr>
      <w:r>
        <w:t xml:space="preserve">When dynamic power sharing is used, </w:t>
      </w:r>
    </w:p>
    <w:p w14:paraId="33695D11" w14:textId="77777777" w:rsidR="00D20766" w:rsidRDefault="00D20766" w:rsidP="00D20766">
      <w:pPr>
        <w:pStyle w:val="BodyText"/>
        <w:numPr>
          <w:ilvl w:val="1"/>
          <w:numId w:val="28"/>
        </w:numPr>
        <w:spacing w:after="120" w:line="240" w:lineRule="auto"/>
        <w:jc w:val="both"/>
      </w:pPr>
      <w:r>
        <w:t xml:space="preserve">If total power for LTE and NR in FR1 exceeds </w:t>
      </w:r>
      <w:proofErr w:type="spellStart"/>
      <w:r>
        <w:t>X_total</w:t>
      </w:r>
      <w:proofErr w:type="spellEnd"/>
      <w:r>
        <w:t xml:space="preserve">, UE reduces NR transmission power or drops NR transmission so that total power does not exceed </w:t>
      </w:r>
      <w:proofErr w:type="spellStart"/>
      <w:r>
        <w:t>X_total</w:t>
      </w:r>
      <w:proofErr w:type="spellEnd"/>
    </w:p>
    <w:p w14:paraId="6C242E7D" w14:textId="77777777" w:rsidR="00D20766" w:rsidRDefault="00D20766" w:rsidP="00D20766">
      <w:pPr>
        <w:pStyle w:val="BodyText"/>
        <w:numPr>
          <w:ilvl w:val="2"/>
          <w:numId w:val="28"/>
        </w:numPr>
        <w:spacing w:after="120" w:line="240" w:lineRule="auto"/>
        <w:jc w:val="both"/>
      </w:pPr>
      <w:r>
        <w:t>Note: As per previous agreement LTE power control procedure is not changed</w:t>
      </w:r>
    </w:p>
    <w:p w14:paraId="503537C4" w14:textId="77777777" w:rsidR="00D20766" w:rsidRPr="006D12B1" w:rsidRDefault="00D20766">
      <w:pPr>
        <w:pStyle w:val="Reference"/>
        <w:numPr>
          <w:ilvl w:val="0"/>
          <w:numId w:val="0"/>
        </w:numPr>
        <w:rPr>
          <w:rFonts w:ascii="Times New Roman"/>
        </w:rPr>
      </w:pPr>
      <w:bookmarkStart w:id="4" w:name="_GoBack"/>
      <w:bookmarkEnd w:id="4"/>
    </w:p>
    <w:sectPr w:rsidR="00D20766"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761F4" w14:textId="77777777" w:rsidR="00D42994" w:rsidRDefault="00D42994">
      <w:r>
        <w:separator/>
      </w:r>
    </w:p>
  </w:endnote>
  <w:endnote w:type="continuationSeparator" w:id="0">
    <w:p w14:paraId="543EE93B" w14:textId="77777777" w:rsidR="00D42994" w:rsidRDefault="00D42994">
      <w:r>
        <w:continuationSeparator/>
      </w:r>
    </w:p>
  </w:endnote>
  <w:endnote w:type="continuationNotice" w:id="1">
    <w:p w14:paraId="1786488D" w14:textId="77777777" w:rsidR="00D42994" w:rsidRDefault="00D42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5EE30" w14:textId="77777777" w:rsidR="00D42994" w:rsidRDefault="00D42994">
      <w:r>
        <w:separator/>
      </w:r>
    </w:p>
  </w:footnote>
  <w:footnote w:type="continuationSeparator" w:id="0">
    <w:p w14:paraId="44A9F425" w14:textId="77777777" w:rsidR="00D42994" w:rsidRDefault="00D42994">
      <w:r>
        <w:continuationSeparator/>
      </w:r>
    </w:p>
  </w:footnote>
  <w:footnote w:type="continuationNotice" w:id="1">
    <w:p w14:paraId="1C8F275A" w14:textId="77777777" w:rsidR="00D42994" w:rsidRDefault="00D429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0297C"/>
    <w:multiLevelType w:val="hybridMultilevel"/>
    <w:tmpl w:val="25904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E5AFE"/>
    <w:multiLevelType w:val="hybridMultilevel"/>
    <w:tmpl w:val="06E4B60A"/>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B7876"/>
    <w:multiLevelType w:val="hybridMultilevel"/>
    <w:tmpl w:val="0C64BA54"/>
    <w:lvl w:ilvl="0" w:tplc="C2E2007A">
      <w:start w:val="1"/>
      <w:numFmt w:val="bullet"/>
      <w:lvlText w:val="•"/>
      <w:lvlJc w:val="left"/>
      <w:pPr>
        <w:tabs>
          <w:tab w:val="num" w:pos="360"/>
        </w:tabs>
        <w:ind w:left="360" w:hanging="360"/>
      </w:pPr>
      <w:rPr>
        <w:rFonts w:ascii="Arial" w:hAnsi="Arial" w:hint="default"/>
      </w:rPr>
    </w:lvl>
    <w:lvl w:ilvl="1" w:tplc="B770E8C4">
      <w:start w:val="57"/>
      <w:numFmt w:val="bullet"/>
      <w:lvlText w:val="–"/>
      <w:lvlJc w:val="left"/>
      <w:pPr>
        <w:tabs>
          <w:tab w:val="num" w:pos="1080"/>
        </w:tabs>
        <w:ind w:left="1080" w:hanging="360"/>
      </w:pPr>
      <w:rPr>
        <w:rFonts w:ascii="Arial" w:hAnsi="Arial" w:hint="default"/>
      </w:rPr>
    </w:lvl>
    <w:lvl w:ilvl="2" w:tplc="5DFE5CE8">
      <w:start w:val="57"/>
      <w:numFmt w:val="bullet"/>
      <w:lvlText w:val="•"/>
      <w:lvlJc w:val="left"/>
      <w:pPr>
        <w:tabs>
          <w:tab w:val="num" w:pos="1800"/>
        </w:tabs>
        <w:ind w:left="1800" w:hanging="360"/>
      </w:pPr>
      <w:rPr>
        <w:rFonts w:ascii="Arial" w:hAnsi="Arial" w:hint="default"/>
      </w:rPr>
    </w:lvl>
    <w:lvl w:ilvl="3" w:tplc="AB6240C8">
      <w:start w:val="57"/>
      <w:numFmt w:val="bullet"/>
      <w:lvlText w:val="–"/>
      <w:lvlJc w:val="left"/>
      <w:pPr>
        <w:tabs>
          <w:tab w:val="num" w:pos="2520"/>
        </w:tabs>
        <w:ind w:left="2520" w:hanging="360"/>
      </w:pPr>
      <w:rPr>
        <w:rFonts w:ascii="Arial" w:hAnsi="Arial" w:hint="default"/>
      </w:rPr>
    </w:lvl>
    <w:lvl w:ilvl="4" w:tplc="8D1C032A" w:tentative="1">
      <w:start w:val="1"/>
      <w:numFmt w:val="bullet"/>
      <w:lvlText w:val="•"/>
      <w:lvlJc w:val="left"/>
      <w:pPr>
        <w:tabs>
          <w:tab w:val="num" w:pos="3240"/>
        </w:tabs>
        <w:ind w:left="3240" w:hanging="360"/>
      </w:pPr>
      <w:rPr>
        <w:rFonts w:ascii="Arial" w:hAnsi="Arial" w:hint="default"/>
      </w:rPr>
    </w:lvl>
    <w:lvl w:ilvl="5" w:tplc="D542EFCC" w:tentative="1">
      <w:start w:val="1"/>
      <w:numFmt w:val="bullet"/>
      <w:lvlText w:val="•"/>
      <w:lvlJc w:val="left"/>
      <w:pPr>
        <w:tabs>
          <w:tab w:val="num" w:pos="3960"/>
        </w:tabs>
        <w:ind w:left="3960" w:hanging="360"/>
      </w:pPr>
      <w:rPr>
        <w:rFonts w:ascii="Arial" w:hAnsi="Arial" w:hint="default"/>
      </w:rPr>
    </w:lvl>
    <w:lvl w:ilvl="6" w:tplc="0CA697AA" w:tentative="1">
      <w:start w:val="1"/>
      <w:numFmt w:val="bullet"/>
      <w:lvlText w:val="•"/>
      <w:lvlJc w:val="left"/>
      <w:pPr>
        <w:tabs>
          <w:tab w:val="num" w:pos="4680"/>
        </w:tabs>
        <w:ind w:left="4680" w:hanging="360"/>
      </w:pPr>
      <w:rPr>
        <w:rFonts w:ascii="Arial" w:hAnsi="Arial" w:hint="default"/>
      </w:rPr>
    </w:lvl>
    <w:lvl w:ilvl="7" w:tplc="0388CB64" w:tentative="1">
      <w:start w:val="1"/>
      <w:numFmt w:val="bullet"/>
      <w:lvlText w:val="•"/>
      <w:lvlJc w:val="left"/>
      <w:pPr>
        <w:tabs>
          <w:tab w:val="num" w:pos="5400"/>
        </w:tabs>
        <w:ind w:left="5400" w:hanging="360"/>
      </w:pPr>
      <w:rPr>
        <w:rFonts w:ascii="Arial" w:hAnsi="Arial" w:hint="default"/>
      </w:rPr>
    </w:lvl>
    <w:lvl w:ilvl="8" w:tplc="6D46B1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445583"/>
    <w:multiLevelType w:val="hybridMultilevel"/>
    <w:tmpl w:val="7DFA7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F70B99"/>
    <w:multiLevelType w:val="multilevel"/>
    <w:tmpl w:val="05BE936A"/>
    <w:numStyleLink w:val="baseHeadings"/>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AD46B9"/>
    <w:multiLevelType w:val="hybridMultilevel"/>
    <w:tmpl w:val="E9727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825CE5"/>
    <w:multiLevelType w:val="hybridMultilevel"/>
    <w:tmpl w:val="21CC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656CD1"/>
    <w:multiLevelType w:val="hybridMultilevel"/>
    <w:tmpl w:val="DF60EE68"/>
    <w:lvl w:ilvl="0" w:tplc="CB528F0A">
      <w:start w:val="1"/>
      <w:numFmt w:val="bullet"/>
      <w:lvlText w:val="•"/>
      <w:lvlJc w:val="left"/>
      <w:pPr>
        <w:tabs>
          <w:tab w:val="num" w:pos="360"/>
        </w:tabs>
        <w:ind w:left="360" w:hanging="360"/>
      </w:pPr>
      <w:rPr>
        <w:rFonts w:ascii="Arial" w:hAnsi="Arial" w:hint="default"/>
      </w:rPr>
    </w:lvl>
    <w:lvl w:ilvl="1" w:tplc="FD287BD2">
      <w:numFmt w:val="bullet"/>
      <w:lvlText w:val="−"/>
      <w:lvlJc w:val="left"/>
      <w:pPr>
        <w:tabs>
          <w:tab w:val="num" w:pos="1080"/>
        </w:tabs>
        <w:ind w:left="1080" w:hanging="360"/>
      </w:pPr>
      <w:rPr>
        <w:rFonts w:ascii="Arial" w:hAnsi="Arial" w:hint="default"/>
      </w:rPr>
    </w:lvl>
    <w:lvl w:ilvl="2" w:tplc="84CAD922">
      <w:numFmt w:val="bullet"/>
      <w:lvlText w:val="−"/>
      <w:lvlJc w:val="left"/>
      <w:pPr>
        <w:tabs>
          <w:tab w:val="num" w:pos="1800"/>
        </w:tabs>
        <w:ind w:left="1800" w:hanging="360"/>
      </w:pPr>
      <w:rPr>
        <w:rFonts w:ascii="Arial" w:hAnsi="Arial" w:hint="default"/>
      </w:rPr>
    </w:lvl>
    <w:lvl w:ilvl="3" w:tplc="ACE8D71E" w:tentative="1">
      <w:start w:val="1"/>
      <w:numFmt w:val="bullet"/>
      <w:lvlText w:val="•"/>
      <w:lvlJc w:val="left"/>
      <w:pPr>
        <w:tabs>
          <w:tab w:val="num" w:pos="2520"/>
        </w:tabs>
        <w:ind w:left="2520" w:hanging="360"/>
      </w:pPr>
      <w:rPr>
        <w:rFonts w:ascii="Arial" w:hAnsi="Arial" w:hint="default"/>
      </w:rPr>
    </w:lvl>
    <w:lvl w:ilvl="4" w:tplc="58320E14" w:tentative="1">
      <w:start w:val="1"/>
      <w:numFmt w:val="bullet"/>
      <w:lvlText w:val="•"/>
      <w:lvlJc w:val="left"/>
      <w:pPr>
        <w:tabs>
          <w:tab w:val="num" w:pos="3240"/>
        </w:tabs>
        <w:ind w:left="3240" w:hanging="360"/>
      </w:pPr>
      <w:rPr>
        <w:rFonts w:ascii="Arial" w:hAnsi="Arial" w:hint="default"/>
      </w:rPr>
    </w:lvl>
    <w:lvl w:ilvl="5" w:tplc="85CC7FC8" w:tentative="1">
      <w:start w:val="1"/>
      <w:numFmt w:val="bullet"/>
      <w:lvlText w:val="•"/>
      <w:lvlJc w:val="left"/>
      <w:pPr>
        <w:tabs>
          <w:tab w:val="num" w:pos="3960"/>
        </w:tabs>
        <w:ind w:left="3960" w:hanging="360"/>
      </w:pPr>
      <w:rPr>
        <w:rFonts w:ascii="Arial" w:hAnsi="Arial" w:hint="default"/>
      </w:rPr>
    </w:lvl>
    <w:lvl w:ilvl="6" w:tplc="8856D152" w:tentative="1">
      <w:start w:val="1"/>
      <w:numFmt w:val="bullet"/>
      <w:lvlText w:val="•"/>
      <w:lvlJc w:val="left"/>
      <w:pPr>
        <w:tabs>
          <w:tab w:val="num" w:pos="4680"/>
        </w:tabs>
        <w:ind w:left="4680" w:hanging="360"/>
      </w:pPr>
      <w:rPr>
        <w:rFonts w:ascii="Arial" w:hAnsi="Arial" w:hint="default"/>
      </w:rPr>
    </w:lvl>
    <w:lvl w:ilvl="7" w:tplc="B0D0A3CE" w:tentative="1">
      <w:start w:val="1"/>
      <w:numFmt w:val="bullet"/>
      <w:lvlText w:val="•"/>
      <w:lvlJc w:val="left"/>
      <w:pPr>
        <w:tabs>
          <w:tab w:val="num" w:pos="5400"/>
        </w:tabs>
        <w:ind w:left="5400" w:hanging="360"/>
      </w:pPr>
      <w:rPr>
        <w:rFonts w:ascii="Arial" w:hAnsi="Arial" w:hint="default"/>
      </w:rPr>
    </w:lvl>
    <w:lvl w:ilvl="8" w:tplc="C5A867F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ED18BC"/>
    <w:multiLevelType w:val="multilevel"/>
    <w:tmpl w:val="4D80806E"/>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ascii="Arial" w:hAnsi="Arial" w:cs="Arial" w:hint="default"/>
        <w:sz w:val="20"/>
        <w:szCs w:val="20"/>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0"/>
  </w:num>
  <w:num w:numId="3">
    <w:abstractNumId w:val="11"/>
  </w:num>
  <w:num w:numId="4">
    <w:abstractNumId w:val="8"/>
  </w:num>
  <w:num w:numId="5">
    <w:abstractNumId w:val="15"/>
  </w:num>
  <w:num w:numId="6">
    <w:abstractNumId w:val="23"/>
  </w:num>
  <w:num w:numId="7">
    <w:abstractNumId w:val="9"/>
  </w:num>
  <w:num w:numId="8">
    <w:abstractNumId w:val="22"/>
  </w:num>
  <w:num w:numId="9">
    <w:abstractNumId w:val="21"/>
  </w:num>
  <w:num w:numId="10">
    <w:abstractNumId w:val="25"/>
  </w:num>
  <w:num w:numId="11">
    <w:abstractNumId w:val="18"/>
  </w:num>
  <w:num w:numId="12">
    <w:abstractNumId w:val="32"/>
  </w:num>
  <w:num w:numId="13">
    <w:abstractNumId w:val="19"/>
  </w:num>
  <w:num w:numId="14">
    <w:abstractNumId w:val="16"/>
  </w:num>
  <w:num w:numId="15">
    <w:abstractNumId w:val="30"/>
  </w:num>
  <w:num w:numId="16">
    <w:abstractNumId w:val="14"/>
  </w:num>
  <w:num w:numId="17">
    <w:abstractNumId w:val="26"/>
  </w:num>
  <w:num w:numId="18">
    <w:abstractNumId w:val="17"/>
  </w:num>
  <w:num w:numId="19">
    <w:abstractNumId w:val="6"/>
  </w:num>
  <w:num w:numId="20">
    <w:abstractNumId w:val="2"/>
  </w:num>
  <w:num w:numId="21">
    <w:abstractNumId w:val="12"/>
  </w:num>
  <w:num w:numId="22">
    <w:abstractNumId w:val="4"/>
  </w:num>
  <w:num w:numId="23">
    <w:abstractNumId w:val="31"/>
  </w:num>
  <w:num w:numId="24">
    <w:abstractNumId w:val="27"/>
  </w:num>
  <w:num w:numId="25">
    <w:abstractNumId w:val="0"/>
  </w:num>
  <w:num w:numId="26">
    <w:abstractNumId w:val="29"/>
  </w:num>
  <w:num w:numId="27">
    <w:abstractNumId w:val="28"/>
  </w:num>
  <w:num w:numId="28">
    <w:abstractNumId w:val="7"/>
  </w:num>
  <w:num w:numId="29">
    <w:abstractNumId w:val="25"/>
  </w:num>
  <w:num w:numId="30">
    <w:abstractNumId w:val="3"/>
  </w:num>
  <w:num w:numId="31">
    <w:abstractNumId w:val="1"/>
  </w:num>
  <w:num w:numId="32">
    <w:abstractNumId w:val="13"/>
  </w:num>
  <w:num w:numId="33">
    <w:abstractNumId w:val="24"/>
  </w:num>
  <w:num w:numId="3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26FD"/>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6803"/>
    <w:rsid w:val="000476CE"/>
    <w:rsid w:val="000506A7"/>
    <w:rsid w:val="00051684"/>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635"/>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E31CC"/>
    <w:rsid w:val="000F06D6"/>
    <w:rsid w:val="000F0839"/>
    <w:rsid w:val="000F0EB1"/>
    <w:rsid w:val="000F1106"/>
    <w:rsid w:val="000F3550"/>
    <w:rsid w:val="000F3BE9"/>
    <w:rsid w:val="000F3F6C"/>
    <w:rsid w:val="000F4CE5"/>
    <w:rsid w:val="000F65A0"/>
    <w:rsid w:val="000F6DF3"/>
    <w:rsid w:val="000F7070"/>
    <w:rsid w:val="00100068"/>
    <w:rsid w:val="001005FF"/>
    <w:rsid w:val="00101415"/>
    <w:rsid w:val="00103B10"/>
    <w:rsid w:val="00103EEB"/>
    <w:rsid w:val="00104326"/>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06B3"/>
    <w:rsid w:val="0012161C"/>
    <w:rsid w:val="001219F5"/>
    <w:rsid w:val="00121A20"/>
    <w:rsid w:val="00122B87"/>
    <w:rsid w:val="00122EDF"/>
    <w:rsid w:val="0012377F"/>
    <w:rsid w:val="00123DA1"/>
    <w:rsid w:val="00124314"/>
    <w:rsid w:val="00124D89"/>
    <w:rsid w:val="001259DC"/>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538"/>
    <w:rsid w:val="0016360E"/>
    <w:rsid w:val="00163F75"/>
    <w:rsid w:val="00164D4A"/>
    <w:rsid w:val="001657AA"/>
    <w:rsid w:val="001659C1"/>
    <w:rsid w:val="0016672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3A0D"/>
    <w:rsid w:val="00197A28"/>
    <w:rsid w:val="00197DF9"/>
    <w:rsid w:val="001A0C80"/>
    <w:rsid w:val="001A0FF8"/>
    <w:rsid w:val="001A1987"/>
    <w:rsid w:val="001A2564"/>
    <w:rsid w:val="001A319B"/>
    <w:rsid w:val="001A3BF5"/>
    <w:rsid w:val="001A3F58"/>
    <w:rsid w:val="001A6173"/>
    <w:rsid w:val="001A6ADF"/>
    <w:rsid w:val="001A6CBA"/>
    <w:rsid w:val="001A6FDD"/>
    <w:rsid w:val="001A7405"/>
    <w:rsid w:val="001B0552"/>
    <w:rsid w:val="001B089D"/>
    <w:rsid w:val="001B0D97"/>
    <w:rsid w:val="001B23E5"/>
    <w:rsid w:val="001B501F"/>
    <w:rsid w:val="001B5453"/>
    <w:rsid w:val="001B5A5D"/>
    <w:rsid w:val="001B616C"/>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4522"/>
    <w:rsid w:val="001F54C5"/>
    <w:rsid w:val="001F662C"/>
    <w:rsid w:val="001F6F78"/>
    <w:rsid w:val="001F7074"/>
    <w:rsid w:val="00200375"/>
    <w:rsid w:val="00200490"/>
    <w:rsid w:val="00201F3A"/>
    <w:rsid w:val="00202C20"/>
    <w:rsid w:val="0020323F"/>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509"/>
    <w:rsid w:val="00232C14"/>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677E"/>
    <w:rsid w:val="0026742B"/>
    <w:rsid w:val="00267C83"/>
    <w:rsid w:val="0027002C"/>
    <w:rsid w:val="00270CDB"/>
    <w:rsid w:val="0027144F"/>
    <w:rsid w:val="00271F3A"/>
    <w:rsid w:val="00272738"/>
    <w:rsid w:val="00273278"/>
    <w:rsid w:val="002737F4"/>
    <w:rsid w:val="00275251"/>
    <w:rsid w:val="002805F5"/>
    <w:rsid w:val="00280751"/>
    <w:rsid w:val="0028280A"/>
    <w:rsid w:val="00283D05"/>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1A4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5269"/>
    <w:rsid w:val="003266B4"/>
    <w:rsid w:val="003268E0"/>
    <w:rsid w:val="00331751"/>
    <w:rsid w:val="00333A8B"/>
    <w:rsid w:val="00334579"/>
    <w:rsid w:val="00334971"/>
    <w:rsid w:val="00335858"/>
    <w:rsid w:val="0033662A"/>
    <w:rsid w:val="00336BDA"/>
    <w:rsid w:val="0033719B"/>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58F"/>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38F"/>
    <w:rsid w:val="003A596A"/>
    <w:rsid w:val="003A5B0A"/>
    <w:rsid w:val="003A5C65"/>
    <w:rsid w:val="003A5E71"/>
    <w:rsid w:val="003A6BAC"/>
    <w:rsid w:val="003A74D2"/>
    <w:rsid w:val="003A7BB9"/>
    <w:rsid w:val="003A7EF3"/>
    <w:rsid w:val="003B0883"/>
    <w:rsid w:val="003B13F1"/>
    <w:rsid w:val="003B159C"/>
    <w:rsid w:val="003B23AD"/>
    <w:rsid w:val="003B34DC"/>
    <w:rsid w:val="003B369F"/>
    <w:rsid w:val="003B36A3"/>
    <w:rsid w:val="003B3982"/>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66EE"/>
    <w:rsid w:val="00427248"/>
    <w:rsid w:val="00427D26"/>
    <w:rsid w:val="00430754"/>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05B"/>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09D"/>
    <w:rsid w:val="004E56DC"/>
    <w:rsid w:val="004E5829"/>
    <w:rsid w:val="004E6B56"/>
    <w:rsid w:val="004E7135"/>
    <w:rsid w:val="004E76F4"/>
    <w:rsid w:val="004F08C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588D"/>
    <w:rsid w:val="00557D7C"/>
    <w:rsid w:val="0056092A"/>
    <w:rsid w:val="0056121F"/>
    <w:rsid w:val="00562566"/>
    <w:rsid w:val="0056318C"/>
    <w:rsid w:val="0056683B"/>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06EB"/>
    <w:rsid w:val="005B194E"/>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97E9B"/>
    <w:rsid w:val="006A152C"/>
    <w:rsid w:val="006A1C7C"/>
    <w:rsid w:val="006A46FB"/>
    <w:rsid w:val="006A5717"/>
    <w:rsid w:val="006A5A55"/>
    <w:rsid w:val="006A5E28"/>
    <w:rsid w:val="006A697B"/>
    <w:rsid w:val="006A7922"/>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C88"/>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5AA1"/>
    <w:rsid w:val="00706101"/>
    <w:rsid w:val="0070655A"/>
    <w:rsid w:val="00707072"/>
    <w:rsid w:val="00707D61"/>
    <w:rsid w:val="00711B0A"/>
    <w:rsid w:val="00712287"/>
    <w:rsid w:val="00712772"/>
    <w:rsid w:val="00713019"/>
    <w:rsid w:val="007148D3"/>
    <w:rsid w:val="0071565A"/>
    <w:rsid w:val="00715B9A"/>
    <w:rsid w:val="007162E9"/>
    <w:rsid w:val="007168FD"/>
    <w:rsid w:val="00716C3B"/>
    <w:rsid w:val="00716F2B"/>
    <w:rsid w:val="00720D98"/>
    <w:rsid w:val="00721A24"/>
    <w:rsid w:val="007223F8"/>
    <w:rsid w:val="007227B4"/>
    <w:rsid w:val="00722CB0"/>
    <w:rsid w:val="00725850"/>
    <w:rsid w:val="00726EA6"/>
    <w:rsid w:val="00727208"/>
    <w:rsid w:val="00727680"/>
    <w:rsid w:val="00730A5D"/>
    <w:rsid w:val="0073226E"/>
    <w:rsid w:val="00732D0F"/>
    <w:rsid w:val="007348B1"/>
    <w:rsid w:val="007362A6"/>
    <w:rsid w:val="007369A2"/>
    <w:rsid w:val="00736D7D"/>
    <w:rsid w:val="00740E58"/>
    <w:rsid w:val="00742371"/>
    <w:rsid w:val="007423BD"/>
    <w:rsid w:val="00742DA4"/>
    <w:rsid w:val="007445A0"/>
    <w:rsid w:val="0074524B"/>
    <w:rsid w:val="0074686B"/>
    <w:rsid w:val="0074716A"/>
    <w:rsid w:val="00747D8B"/>
    <w:rsid w:val="00750455"/>
    <w:rsid w:val="007506AB"/>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1C8B"/>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DFA"/>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524"/>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38AF"/>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3F5"/>
    <w:rsid w:val="00805E0E"/>
    <w:rsid w:val="0080605F"/>
    <w:rsid w:val="00807786"/>
    <w:rsid w:val="00811FCB"/>
    <w:rsid w:val="00812072"/>
    <w:rsid w:val="00814FE6"/>
    <w:rsid w:val="008158D6"/>
    <w:rsid w:val="0081590C"/>
    <w:rsid w:val="00817196"/>
    <w:rsid w:val="0081782A"/>
    <w:rsid w:val="008202F3"/>
    <w:rsid w:val="0082276B"/>
    <w:rsid w:val="008235DB"/>
    <w:rsid w:val="00824AB4"/>
    <w:rsid w:val="00825C42"/>
    <w:rsid w:val="00825D25"/>
    <w:rsid w:val="00826F90"/>
    <w:rsid w:val="00827236"/>
    <w:rsid w:val="00827D6F"/>
    <w:rsid w:val="00830A27"/>
    <w:rsid w:val="008318CE"/>
    <w:rsid w:val="00836B3D"/>
    <w:rsid w:val="00836CE9"/>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5953"/>
    <w:rsid w:val="00866538"/>
    <w:rsid w:val="008677FD"/>
    <w:rsid w:val="008706D4"/>
    <w:rsid w:val="00870F8A"/>
    <w:rsid w:val="0087144D"/>
    <w:rsid w:val="008719A4"/>
    <w:rsid w:val="00871D23"/>
    <w:rsid w:val="0087324C"/>
    <w:rsid w:val="00873E24"/>
    <w:rsid w:val="00874312"/>
    <w:rsid w:val="0087437C"/>
    <w:rsid w:val="00874536"/>
    <w:rsid w:val="00875CD7"/>
    <w:rsid w:val="00876B4D"/>
    <w:rsid w:val="00877F18"/>
    <w:rsid w:val="008804AE"/>
    <w:rsid w:val="00882787"/>
    <w:rsid w:val="00883405"/>
    <w:rsid w:val="00884FA0"/>
    <w:rsid w:val="008903FE"/>
    <w:rsid w:val="008913F1"/>
    <w:rsid w:val="008943D3"/>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6FD5"/>
    <w:rsid w:val="008A77D8"/>
    <w:rsid w:val="008A7A95"/>
    <w:rsid w:val="008A7D4F"/>
    <w:rsid w:val="008B0483"/>
    <w:rsid w:val="008B11C4"/>
    <w:rsid w:val="008B120C"/>
    <w:rsid w:val="008B16CD"/>
    <w:rsid w:val="008B3562"/>
    <w:rsid w:val="008B3F47"/>
    <w:rsid w:val="008B51A0"/>
    <w:rsid w:val="008B592A"/>
    <w:rsid w:val="008B7228"/>
    <w:rsid w:val="008B73A9"/>
    <w:rsid w:val="008B7B5C"/>
    <w:rsid w:val="008C0C99"/>
    <w:rsid w:val="008C15DF"/>
    <w:rsid w:val="008C2017"/>
    <w:rsid w:val="008C48E6"/>
    <w:rsid w:val="008C4958"/>
    <w:rsid w:val="008C4BAA"/>
    <w:rsid w:val="008C5A7F"/>
    <w:rsid w:val="008C6AE8"/>
    <w:rsid w:val="008C6EBF"/>
    <w:rsid w:val="008C7573"/>
    <w:rsid w:val="008D14AD"/>
    <w:rsid w:val="008D1A14"/>
    <w:rsid w:val="008D31B7"/>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4AAE"/>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97263"/>
    <w:rsid w:val="009A0FBA"/>
    <w:rsid w:val="009A1601"/>
    <w:rsid w:val="009A462D"/>
    <w:rsid w:val="009A5835"/>
    <w:rsid w:val="009A5CBA"/>
    <w:rsid w:val="009B1F30"/>
    <w:rsid w:val="009B3AC2"/>
    <w:rsid w:val="009B4D45"/>
    <w:rsid w:val="009B4DF4"/>
    <w:rsid w:val="009B4FF0"/>
    <w:rsid w:val="009B564E"/>
    <w:rsid w:val="009B7638"/>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5C71"/>
    <w:rsid w:val="009E6849"/>
    <w:rsid w:val="009F08F3"/>
    <w:rsid w:val="009F144F"/>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57"/>
    <w:rsid w:val="00A161FC"/>
    <w:rsid w:val="00A17F63"/>
    <w:rsid w:val="00A207DD"/>
    <w:rsid w:val="00A20CA4"/>
    <w:rsid w:val="00A217ED"/>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0901"/>
    <w:rsid w:val="00A60F3E"/>
    <w:rsid w:val="00A61499"/>
    <w:rsid w:val="00A62A77"/>
    <w:rsid w:val="00A63483"/>
    <w:rsid w:val="00A63CAC"/>
    <w:rsid w:val="00A653DB"/>
    <w:rsid w:val="00A657D7"/>
    <w:rsid w:val="00A65BE6"/>
    <w:rsid w:val="00A660AC"/>
    <w:rsid w:val="00A674B0"/>
    <w:rsid w:val="00A67E6C"/>
    <w:rsid w:val="00A71B99"/>
    <w:rsid w:val="00A72C46"/>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97022"/>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4AB8"/>
    <w:rsid w:val="00AB655E"/>
    <w:rsid w:val="00AB6B89"/>
    <w:rsid w:val="00AB7E38"/>
    <w:rsid w:val="00AC007F"/>
    <w:rsid w:val="00AC096A"/>
    <w:rsid w:val="00AC0E50"/>
    <w:rsid w:val="00AC2EBE"/>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3508"/>
    <w:rsid w:val="00B14A2C"/>
    <w:rsid w:val="00B157F9"/>
    <w:rsid w:val="00B160F5"/>
    <w:rsid w:val="00B20256"/>
    <w:rsid w:val="00B20D09"/>
    <w:rsid w:val="00B21E1B"/>
    <w:rsid w:val="00B23904"/>
    <w:rsid w:val="00B250EA"/>
    <w:rsid w:val="00B258B6"/>
    <w:rsid w:val="00B2763F"/>
    <w:rsid w:val="00B2764C"/>
    <w:rsid w:val="00B27A11"/>
    <w:rsid w:val="00B27AAC"/>
    <w:rsid w:val="00B30929"/>
    <w:rsid w:val="00B31848"/>
    <w:rsid w:val="00B35B1C"/>
    <w:rsid w:val="00B35FF8"/>
    <w:rsid w:val="00B367E9"/>
    <w:rsid w:val="00B36A91"/>
    <w:rsid w:val="00B372AA"/>
    <w:rsid w:val="00B40445"/>
    <w:rsid w:val="00B4086D"/>
    <w:rsid w:val="00B40A4A"/>
    <w:rsid w:val="00B41888"/>
    <w:rsid w:val="00B42099"/>
    <w:rsid w:val="00B4408D"/>
    <w:rsid w:val="00B45A52"/>
    <w:rsid w:val="00B46175"/>
    <w:rsid w:val="00B4692F"/>
    <w:rsid w:val="00B47E43"/>
    <w:rsid w:val="00B5198C"/>
    <w:rsid w:val="00B52376"/>
    <w:rsid w:val="00B52EA8"/>
    <w:rsid w:val="00B5335A"/>
    <w:rsid w:val="00B5576D"/>
    <w:rsid w:val="00B55FE7"/>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943"/>
    <w:rsid w:val="00BB5C77"/>
    <w:rsid w:val="00BB6429"/>
    <w:rsid w:val="00BB6E0C"/>
    <w:rsid w:val="00BC0FDC"/>
    <w:rsid w:val="00BC25A5"/>
    <w:rsid w:val="00BC2B48"/>
    <w:rsid w:val="00BC2B89"/>
    <w:rsid w:val="00BC3053"/>
    <w:rsid w:val="00BC3171"/>
    <w:rsid w:val="00BC4BEA"/>
    <w:rsid w:val="00BC4D2E"/>
    <w:rsid w:val="00BC565D"/>
    <w:rsid w:val="00BC580F"/>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326F"/>
    <w:rsid w:val="00C14D4B"/>
    <w:rsid w:val="00C154BB"/>
    <w:rsid w:val="00C15DFF"/>
    <w:rsid w:val="00C20166"/>
    <w:rsid w:val="00C231D0"/>
    <w:rsid w:val="00C239BA"/>
    <w:rsid w:val="00C25F2F"/>
    <w:rsid w:val="00C2722B"/>
    <w:rsid w:val="00C27624"/>
    <w:rsid w:val="00C279B5"/>
    <w:rsid w:val="00C27C45"/>
    <w:rsid w:val="00C309B3"/>
    <w:rsid w:val="00C357D7"/>
    <w:rsid w:val="00C362D8"/>
    <w:rsid w:val="00C3719D"/>
    <w:rsid w:val="00C43E70"/>
    <w:rsid w:val="00C4558A"/>
    <w:rsid w:val="00C47AED"/>
    <w:rsid w:val="00C5028B"/>
    <w:rsid w:val="00C50FD2"/>
    <w:rsid w:val="00C513E8"/>
    <w:rsid w:val="00C52D9B"/>
    <w:rsid w:val="00C54995"/>
    <w:rsid w:val="00C54D41"/>
    <w:rsid w:val="00C54FF4"/>
    <w:rsid w:val="00C573E8"/>
    <w:rsid w:val="00C57B03"/>
    <w:rsid w:val="00C60783"/>
    <w:rsid w:val="00C64672"/>
    <w:rsid w:val="00C6602E"/>
    <w:rsid w:val="00C66E8C"/>
    <w:rsid w:val="00C66FD4"/>
    <w:rsid w:val="00C704D9"/>
    <w:rsid w:val="00C70697"/>
    <w:rsid w:val="00C716B9"/>
    <w:rsid w:val="00C72EF4"/>
    <w:rsid w:val="00C75B21"/>
    <w:rsid w:val="00C75D2F"/>
    <w:rsid w:val="00C767BE"/>
    <w:rsid w:val="00C76897"/>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353D"/>
    <w:rsid w:val="00CD4BD7"/>
    <w:rsid w:val="00CD4C31"/>
    <w:rsid w:val="00CD4D32"/>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355"/>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0766"/>
    <w:rsid w:val="00D2323C"/>
    <w:rsid w:val="00D239A7"/>
    <w:rsid w:val="00D23F47"/>
    <w:rsid w:val="00D2450E"/>
    <w:rsid w:val="00D3107A"/>
    <w:rsid w:val="00D31A4C"/>
    <w:rsid w:val="00D34D96"/>
    <w:rsid w:val="00D3599B"/>
    <w:rsid w:val="00D36BB2"/>
    <w:rsid w:val="00D36E71"/>
    <w:rsid w:val="00D37186"/>
    <w:rsid w:val="00D37D87"/>
    <w:rsid w:val="00D40B33"/>
    <w:rsid w:val="00D42994"/>
    <w:rsid w:val="00D4318F"/>
    <w:rsid w:val="00D438BF"/>
    <w:rsid w:val="00D43A95"/>
    <w:rsid w:val="00D440F8"/>
    <w:rsid w:val="00D4644F"/>
    <w:rsid w:val="00D500FF"/>
    <w:rsid w:val="00D50E40"/>
    <w:rsid w:val="00D50F97"/>
    <w:rsid w:val="00D5231F"/>
    <w:rsid w:val="00D52419"/>
    <w:rsid w:val="00D53CED"/>
    <w:rsid w:val="00D546FF"/>
    <w:rsid w:val="00D55AD5"/>
    <w:rsid w:val="00D56D2D"/>
    <w:rsid w:val="00D576CA"/>
    <w:rsid w:val="00D61AF5"/>
    <w:rsid w:val="00D61F8F"/>
    <w:rsid w:val="00D622F8"/>
    <w:rsid w:val="00D63670"/>
    <w:rsid w:val="00D63913"/>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2F2"/>
    <w:rsid w:val="00DA7816"/>
    <w:rsid w:val="00DB0A9F"/>
    <w:rsid w:val="00DB1F9C"/>
    <w:rsid w:val="00DB2E53"/>
    <w:rsid w:val="00DB377D"/>
    <w:rsid w:val="00DB39D9"/>
    <w:rsid w:val="00DB562C"/>
    <w:rsid w:val="00DB6E61"/>
    <w:rsid w:val="00DB7191"/>
    <w:rsid w:val="00DC2D36"/>
    <w:rsid w:val="00DC2D80"/>
    <w:rsid w:val="00DC3716"/>
    <w:rsid w:val="00DC53EF"/>
    <w:rsid w:val="00DD000A"/>
    <w:rsid w:val="00DD021D"/>
    <w:rsid w:val="00DD11F7"/>
    <w:rsid w:val="00DD1310"/>
    <w:rsid w:val="00DD1F38"/>
    <w:rsid w:val="00DD2E2E"/>
    <w:rsid w:val="00DD389A"/>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1796"/>
    <w:rsid w:val="00DF31B7"/>
    <w:rsid w:val="00DF37A0"/>
    <w:rsid w:val="00DF3B23"/>
    <w:rsid w:val="00DF4917"/>
    <w:rsid w:val="00DF5998"/>
    <w:rsid w:val="00DF61FA"/>
    <w:rsid w:val="00DF6A67"/>
    <w:rsid w:val="00DF7BA6"/>
    <w:rsid w:val="00E03ED9"/>
    <w:rsid w:val="00E069B8"/>
    <w:rsid w:val="00E110E7"/>
    <w:rsid w:val="00E11A7C"/>
    <w:rsid w:val="00E11B20"/>
    <w:rsid w:val="00E13096"/>
    <w:rsid w:val="00E133E9"/>
    <w:rsid w:val="00E14FB8"/>
    <w:rsid w:val="00E17984"/>
    <w:rsid w:val="00E17FA2"/>
    <w:rsid w:val="00E20741"/>
    <w:rsid w:val="00E20F2D"/>
    <w:rsid w:val="00E21084"/>
    <w:rsid w:val="00E211A4"/>
    <w:rsid w:val="00E21714"/>
    <w:rsid w:val="00E22330"/>
    <w:rsid w:val="00E23EAA"/>
    <w:rsid w:val="00E24548"/>
    <w:rsid w:val="00E24AEA"/>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75E"/>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2640"/>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2F92"/>
    <w:rsid w:val="00EC4037"/>
    <w:rsid w:val="00EC4207"/>
    <w:rsid w:val="00EC4E30"/>
    <w:rsid w:val="00EC5653"/>
    <w:rsid w:val="00EC57C2"/>
    <w:rsid w:val="00EC5A81"/>
    <w:rsid w:val="00EC6117"/>
    <w:rsid w:val="00EC7041"/>
    <w:rsid w:val="00EC71CE"/>
    <w:rsid w:val="00EC78F2"/>
    <w:rsid w:val="00ED1006"/>
    <w:rsid w:val="00ED23E2"/>
    <w:rsid w:val="00ED29D4"/>
    <w:rsid w:val="00ED3BA3"/>
    <w:rsid w:val="00ED3EB3"/>
    <w:rsid w:val="00ED4531"/>
    <w:rsid w:val="00ED7F70"/>
    <w:rsid w:val="00EE22C6"/>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373"/>
    <w:rsid w:val="00F02DB2"/>
    <w:rsid w:val="00F02EAC"/>
    <w:rsid w:val="00F0320F"/>
    <w:rsid w:val="00F03BED"/>
    <w:rsid w:val="00F03D6C"/>
    <w:rsid w:val="00F0528D"/>
    <w:rsid w:val="00F060C8"/>
    <w:rsid w:val="00F06C67"/>
    <w:rsid w:val="00F06DFD"/>
    <w:rsid w:val="00F071D1"/>
    <w:rsid w:val="00F07533"/>
    <w:rsid w:val="00F078E5"/>
    <w:rsid w:val="00F10629"/>
    <w:rsid w:val="00F115D0"/>
    <w:rsid w:val="00F1318F"/>
    <w:rsid w:val="00F141ED"/>
    <w:rsid w:val="00F14EBB"/>
    <w:rsid w:val="00F15343"/>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3791"/>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538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A53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538F"/>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3422388">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52268105">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6546503">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7158225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534004037">
      <w:bodyDiv w:val="1"/>
      <w:marLeft w:val="0"/>
      <w:marRight w:val="0"/>
      <w:marTop w:val="0"/>
      <w:marBottom w:val="0"/>
      <w:divBdr>
        <w:top w:val="none" w:sz="0" w:space="0" w:color="auto"/>
        <w:left w:val="none" w:sz="0" w:space="0" w:color="auto"/>
        <w:bottom w:val="none" w:sz="0" w:space="0" w:color="auto"/>
        <w:right w:val="none" w:sz="0" w:space="0" w:color="auto"/>
      </w:divBdr>
    </w:div>
    <w:div w:id="1543206026">
      <w:bodyDiv w:val="1"/>
      <w:marLeft w:val="0"/>
      <w:marRight w:val="0"/>
      <w:marTop w:val="0"/>
      <w:marBottom w:val="0"/>
      <w:divBdr>
        <w:top w:val="none" w:sz="0" w:space="0" w:color="auto"/>
        <w:left w:val="none" w:sz="0" w:space="0" w:color="auto"/>
        <w:bottom w:val="none" w:sz="0" w:space="0" w:color="auto"/>
        <w:right w:val="none" w:sz="0" w:space="0" w:color="auto"/>
      </w:divBdr>
    </w:div>
    <w:div w:id="1591964290">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28992-2882-478D-9347-A23845FCB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1855</Words>
  <Characters>10578</Characters>
  <Application>Microsoft Office Word</Application>
  <DocSecurity>0</DocSecurity>
  <Lines>88</Lines>
  <Paragraphs>24</Paragraphs>
  <ScaleCrop>false</ScaleCrop>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2018-08-11T04:04:00Z</dcterms:created>
  <dcterms:modified xsi:type="dcterms:W3CDTF">2018-08-11T04:11:00Z</dcterms:modified>
</cp:coreProperties>
</file>