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C58D9" w14:textId="4E2FA78E" w:rsidR="00F96AEC" w:rsidRPr="00F96AEC" w:rsidRDefault="009B0DBB" w:rsidP="009B0DBB">
      <w:pPr>
        <w:pStyle w:val="3GPPHeader"/>
        <w:spacing w:after="60"/>
        <w:rPr>
          <w:sz w:val="32"/>
          <w:szCs w:val="32"/>
          <w:lang w:val="en-US"/>
        </w:rPr>
      </w:pPr>
      <w:r w:rsidRPr="00E85AA4">
        <w:rPr>
          <w:lang w:val="en-US"/>
        </w:rPr>
        <w:t xml:space="preserve">3GPP TSG-RAN </w:t>
      </w:r>
      <w:proofErr w:type="spellStart"/>
      <w:r w:rsidRPr="00E85AA4">
        <w:rPr>
          <w:lang w:val="en-US"/>
        </w:rPr>
        <w:t>WG1</w:t>
      </w:r>
      <w:proofErr w:type="spellEnd"/>
      <w:r w:rsidRPr="00E85AA4">
        <w:rPr>
          <w:lang w:val="en-US"/>
        </w:rPr>
        <w:t xml:space="preserve"> Meeting #9</w:t>
      </w:r>
      <w:r w:rsidR="00F96AEC">
        <w:rPr>
          <w:lang w:val="en-US"/>
        </w:rPr>
        <w:t>4</w:t>
      </w:r>
      <w:r w:rsidRPr="00E85AA4">
        <w:rPr>
          <w:lang w:val="en-US"/>
        </w:rPr>
        <w:tab/>
      </w:r>
      <w:proofErr w:type="spellStart"/>
      <w:r w:rsidRPr="00E85AA4">
        <w:rPr>
          <w:sz w:val="32"/>
          <w:szCs w:val="32"/>
          <w:lang w:val="en-US"/>
        </w:rPr>
        <w:t>R1</w:t>
      </w:r>
      <w:proofErr w:type="spellEnd"/>
      <w:r w:rsidRPr="00E85AA4">
        <w:rPr>
          <w:sz w:val="32"/>
          <w:szCs w:val="32"/>
          <w:lang w:val="en-US"/>
        </w:rPr>
        <w:t>-</w:t>
      </w:r>
      <w:r w:rsidR="00C51E69">
        <w:rPr>
          <w:sz w:val="32"/>
          <w:szCs w:val="32"/>
          <w:lang w:val="en-US"/>
        </w:rPr>
        <w:t>1809233</w:t>
      </w:r>
    </w:p>
    <w:p w14:paraId="1651D847" w14:textId="329B07A2" w:rsidR="009B0DBB" w:rsidRPr="00E85AA4" w:rsidRDefault="00F96AEC" w:rsidP="009B0DBB">
      <w:pPr>
        <w:pStyle w:val="3GPPHeader"/>
        <w:rPr>
          <w:lang w:val="en-US"/>
        </w:rPr>
      </w:pPr>
      <w:r>
        <w:rPr>
          <w:lang w:val="en-US"/>
        </w:rPr>
        <w:t>Gothenburg</w:t>
      </w:r>
      <w:r w:rsidR="009B0DBB" w:rsidRPr="00E85AA4">
        <w:rPr>
          <w:lang w:val="en-US"/>
        </w:rPr>
        <w:t>,</w:t>
      </w:r>
      <w:r>
        <w:rPr>
          <w:lang w:val="en-US"/>
        </w:rPr>
        <w:t xml:space="preserve"> Kingdom of Sweden</w:t>
      </w:r>
      <w:r w:rsidR="009B0DBB" w:rsidRPr="00E85AA4">
        <w:rPr>
          <w:lang w:val="en-US"/>
        </w:rPr>
        <w:t xml:space="preserve">, </w:t>
      </w:r>
      <w:r w:rsidR="00C51E69">
        <w:rPr>
          <w:lang w:val="en-US"/>
        </w:rPr>
        <w:t>20</w:t>
      </w:r>
      <w:r w:rsidR="009B0DBB" w:rsidRPr="00E85AA4">
        <w:rPr>
          <w:vertAlign w:val="superscript"/>
          <w:lang w:val="en-US"/>
        </w:rPr>
        <w:t>th</w:t>
      </w:r>
      <w:r w:rsidR="009B0DBB" w:rsidRPr="00E85AA4">
        <w:rPr>
          <w:lang w:val="en-US"/>
        </w:rPr>
        <w:t xml:space="preserve"> – </w:t>
      </w:r>
      <w:r w:rsidR="00C51E69">
        <w:rPr>
          <w:lang w:val="en-US"/>
        </w:rPr>
        <w:t>24</w:t>
      </w:r>
      <w:r w:rsidR="009B0DBB" w:rsidRPr="00E85AA4">
        <w:rPr>
          <w:vertAlign w:val="superscript"/>
          <w:lang w:val="en-US"/>
        </w:rPr>
        <w:t>th</w:t>
      </w:r>
      <w:r w:rsidR="009B0DBB" w:rsidRPr="00E85AA4">
        <w:rPr>
          <w:lang w:val="en-US"/>
        </w:rPr>
        <w:t xml:space="preserve"> A</w:t>
      </w:r>
      <w:r>
        <w:rPr>
          <w:lang w:val="en-US"/>
        </w:rPr>
        <w:t>ugust</w:t>
      </w:r>
      <w:r w:rsidR="009B0DBB" w:rsidRPr="00E85AA4">
        <w:rPr>
          <w:lang w:val="en-US"/>
        </w:rPr>
        <w:t xml:space="preserve"> 2018</w:t>
      </w:r>
    </w:p>
    <w:p w14:paraId="5CE2E97E" w14:textId="77777777" w:rsidR="009B0DBB" w:rsidRPr="00E85AA4" w:rsidRDefault="009B0DBB" w:rsidP="009B0DBB">
      <w:pPr>
        <w:pStyle w:val="3GPPHeader"/>
        <w:rPr>
          <w:lang w:val="en-US"/>
        </w:rPr>
      </w:pPr>
    </w:p>
    <w:p w14:paraId="08246E7A" w14:textId="4E77CB1D" w:rsidR="009B0DBB" w:rsidRPr="00016940" w:rsidRDefault="009B0DBB" w:rsidP="009B0DBB">
      <w:pPr>
        <w:pStyle w:val="3GPPHeader"/>
        <w:rPr>
          <w:sz w:val="22"/>
          <w:szCs w:val="22"/>
          <w:lang w:val="en-US"/>
        </w:rPr>
      </w:pPr>
      <w:r w:rsidRPr="00016940">
        <w:rPr>
          <w:sz w:val="22"/>
          <w:szCs w:val="22"/>
          <w:lang w:val="en-US"/>
        </w:rPr>
        <w:t>Agenda Item:</w:t>
      </w:r>
      <w:r w:rsidRPr="00016940">
        <w:rPr>
          <w:sz w:val="22"/>
          <w:szCs w:val="22"/>
          <w:lang w:val="en-US"/>
        </w:rPr>
        <w:tab/>
        <w:t>7</w:t>
      </w:r>
      <w:r w:rsidR="00C51E69">
        <w:rPr>
          <w:sz w:val="22"/>
          <w:szCs w:val="22"/>
          <w:lang w:val="en-US"/>
        </w:rPr>
        <w:t>.2.3.3</w:t>
      </w:r>
    </w:p>
    <w:p w14:paraId="78AF00C7" w14:textId="77777777" w:rsidR="009B0DBB" w:rsidRPr="00E85AA4" w:rsidRDefault="009B0DBB" w:rsidP="009B0DBB">
      <w:pPr>
        <w:pStyle w:val="3GPPHeader"/>
        <w:rPr>
          <w:sz w:val="22"/>
          <w:szCs w:val="22"/>
          <w:lang w:val="en-US"/>
        </w:rPr>
      </w:pPr>
      <w:r w:rsidRPr="00E85AA4">
        <w:rPr>
          <w:sz w:val="22"/>
          <w:szCs w:val="22"/>
          <w:lang w:val="en-US"/>
        </w:rPr>
        <w:t>Source:</w:t>
      </w:r>
      <w:r w:rsidRPr="00E85AA4">
        <w:rPr>
          <w:sz w:val="22"/>
          <w:szCs w:val="22"/>
          <w:lang w:val="en-US"/>
        </w:rPr>
        <w:tab/>
        <w:t>Ericsson</w:t>
      </w:r>
    </w:p>
    <w:p w14:paraId="6CBDD6EA" w14:textId="2D8877C3" w:rsidR="009B0DBB" w:rsidRPr="00E85AA4" w:rsidRDefault="009B0DBB" w:rsidP="009B0DBB">
      <w:pPr>
        <w:pStyle w:val="3GPPHeader"/>
        <w:ind w:left="1701" w:hanging="1701"/>
        <w:rPr>
          <w:sz w:val="22"/>
          <w:szCs w:val="22"/>
          <w:lang w:val="en-US"/>
        </w:rPr>
      </w:pPr>
      <w:r w:rsidRPr="00E85AA4">
        <w:rPr>
          <w:sz w:val="22"/>
          <w:szCs w:val="22"/>
          <w:lang w:val="en-US"/>
        </w:rPr>
        <w:t>Title:</w:t>
      </w:r>
      <w:r w:rsidRPr="00E85AA4">
        <w:rPr>
          <w:sz w:val="22"/>
          <w:szCs w:val="22"/>
          <w:lang w:val="en-US"/>
        </w:rPr>
        <w:tab/>
      </w:r>
      <w:r w:rsidR="00F96AEC">
        <w:rPr>
          <w:sz w:val="22"/>
          <w:szCs w:val="22"/>
        </w:rPr>
        <w:t xml:space="preserve">Transmission timing of </w:t>
      </w:r>
      <w:proofErr w:type="spellStart"/>
      <w:r w:rsidR="00F96AEC">
        <w:rPr>
          <w:sz w:val="22"/>
          <w:szCs w:val="22"/>
        </w:rPr>
        <w:t>IAB</w:t>
      </w:r>
      <w:proofErr w:type="spellEnd"/>
      <w:r w:rsidR="00F96AEC">
        <w:rPr>
          <w:sz w:val="22"/>
          <w:szCs w:val="22"/>
        </w:rPr>
        <w:t xml:space="preserve"> nodes. </w:t>
      </w:r>
    </w:p>
    <w:p w14:paraId="49EABC54" w14:textId="65AC5364" w:rsidR="009B0DBB" w:rsidRPr="00E85AA4" w:rsidRDefault="009B0DBB" w:rsidP="009B0DBB">
      <w:pPr>
        <w:pStyle w:val="3GPPHeader"/>
        <w:rPr>
          <w:sz w:val="22"/>
          <w:szCs w:val="22"/>
          <w:lang w:val="en-US"/>
        </w:rPr>
      </w:pPr>
      <w:r w:rsidRPr="00E85AA4">
        <w:rPr>
          <w:sz w:val="22"/>
          <w:szCs w:val="22"/>
          <w:lang w:val="en-US"/>
        </w:rPr>
        <w:t>Document for:</w:t>
      </w:r>
      <w:r w:rsidRPr="00E85AA4">
        <w:rPr>
          <w:sz w:val="22"/>
          <w:szCs w:val="22"/>
          <w:lang w:val="en-US"/>
        </w:rPr>
        <w:tab/>
        <w:t>Discussion</w:t>
      </w:r>
      <w:r>
        <w:rPr>
          <w:sz w:val="22"/>
          <w:szCs w:val="22"/>
          <w:lang w:val="en-US"/>
        </w:rPr>
        <w:t xml:space="preserve"> and decision</w:t>
      </w:r>
    </w:p>
    <w:p w14:paraId="76A9BC2F" w14:textId="7BC43B90" w:rsidR="00C24345" w:rsidRDefault="00A956E9" w:rsidP="00A2052C">
      <w:pPr>
        <w:pStyle w:val="Heading1"/>
      </w:pPr>
      <w:r>
        <w:t>Introduction and discussion</w:t>
      </w:r>
    </w:p>
    <w:p w14:paraId="06A71E20" w14:textId="3F7F7153" w:rsidR="00A956E9" w:rsidRPr="00A956E9" w:rsidRDefault="00A956E9" w:rsidP="00A956E9">
      <w:pPr>
        <w:spacing w:after="160" w:line="259" w:lineRule="auto"/>
        <w:jc w:val="left"/>
        <w:rPr>
          <w:rFonts w:cs="Arial"/>
        </w:rPr>
      </w:pPr>
      <w:r w:rsidRPr="00A956E9">
        <w:rPr>
          <w:rFonts w:cs="Arial"/>
        </w:rPr>
        <w:t>At RAN1 #93, the following cases regard</w:t>
      </w:r>
      <w:r>
        <w:rPr>
          <w:rFonts w:cs="Arial"/>
        </w:rPr>
        <w:t>ing</w:t>
      </w:r>
      <w:r w:rsidRPr="00A956E9">
        <w:rPr>
          <w:rFonts w:cs="Arial"/>
        </w:rPr>
        <w:t xml:space="preserve"> </w:t>
      </w:r>
      <w:r w:rsidR="00C21BBF">
        <w:rPr>
          <w:rFonts w:cs="Arial"/>
        </w:rPr>
        <w:t xml:space="preserve">the </w:t>
      </w:r>
      <w:r w:rsidRPr="00A956E9">
        <w:rPr>
          <w:rFonts w:cs="Arial"/>
        </w:rPr>
        <w:t xml:space="preserve">timing of </w:t>
      </w:r>
      <w:proofErr w:type="spellStart"/>
      <w:r w:rsidRPr="00A956E9">
        <w:rPr>
          <w:rFonts w:cs="Arial"/>
        </w:rPr>
        <w:t>IAB</w:t>
      </w:r>
      <w:proofErr w:type="spellEnd"/>
      <w:r w:rsidRPr="00A956E9">
        <w:rPr>
          <w:rFonts w:cs="Arial"/>
        </w:rPr>
        <w:t xml:space="preserve"> </w:t>
      </w:r>
      <w:r w:rsidR="00C21BBF">
        <w:rPr>
          <w:rFonts w:cs="Arial"/>
        </w:rPr>
        <w:t>transmissions</w:t>
      </w:r>
      <w:r>
        <w:rPr>
          <w:rFonts w:cs="Arial"/>
        </w:rPr>
        <w:t xml:space="preserve"> were</w:t>
      </w:r>
      <w:r w:rsidRPr="00A956E9">
        <w:rPr>
          <w:rFonts w:cs="Arial"/>
        </w:rPr>
        <w:t xml:space="preserve"> captured for further study: </w:t>
      </w:r>
    </w:p>
    <w:p w14:paraId="543B6C98" w14:textId="77777777" w:rsidR="00A956E9" w:rsidRPr="00C21BBF" w:rsidRDefault="00A956E9" w:rsidP="00A956E9">
      <w:pPr>
        <w:numPr>
          <w:ilvl w:val="0"/>
          <w:numId w:val="26"/>
        </w:numPr>
        <w:overflowPunct/>
        <w:autoSpaceDE/>
        <w:autoSpaceDN/>
        <w:adjustRightInd/>
        <w:spacing w:before="60"/>
        <w:textAlignment w:val="auto"/>
        <w:rPr>
          <w:rFonts w:cs="Arial"/>
          <w:i/>
        </w:rPr>
      </w:pPr>
      <w:r w:rsidRPr="00C21BBF">
        <w:rPr>
          <w:rFonts w:cs="Arial"/>
          <w:i/>
        </w:rPr>
        <w:t xml:space="preserve">Case 1: DL transmission timing alignment across </w:t>
      </w:r>
      <w:proofErr w:type="spellStart"/>
      <w:r w:rsidRPr="00C21BBF">
        <w:rPr>
          <w:rFonts w:cs="Arial"/>
          <w:i/>
        </w:rPr>
        <w:t>IAB</w:t>
      </w:r>
      <w:proofErr w:type="spellEnd"/>
      <w:r w:rsidRPr="00C21BBF">
        <w:rPr>
          <w:rFonts w:cs="Arial"/>
          <w:i/>
        </w:rPr>
        <w:t xml:space="preserve"> nodes and donor nodes</w:t>
      </w:r>
    </w:p>
    <w:p w14:paraId="06C1DB30" w14:textId="77777777" w:rsidR="00A956E9" w:rsidRPr="00C21BBF" w:rsidRDefault="00A956E9" w:rsidP="00A956E9">
      <w:pPr>
        <w:numPr>
          <w:ilvl w:val="0"/>
          <w:numId w:val="26"/>
        </w:numPr>
        <w:overflowPunct/>
        <w:autoSpaceDE/>
        <w:autoSpaceDN/>
        <w:adjustRightInd/>
        <w:spacing w:before="60"/>
        <w:textAlignment w:val="auto"/>
        <w:rPr>
          <w:rFonts w:cs="Arial"/>
          <w:i/>
        </w:rPr>
      </w:pPr>
      <w:r w:rsidRPr="00C21BBF">
        <w:rPr>
          <w:rFonts w:cs="Arial"/>
          <w:i/>
        </w:rPr>
        <w:t xml:space="preserve">Case 2: DL and UL transmission timing is aligned within an </w:t>
      </w:r>
      <w:proofErr w:type="spellStart"/>
      <w:r w:rsidRPr="00C21BBF">
        <w:rPr>
          <w:rFonts w:cs="Arial"/>
          <w:i/>
        </w:rPr>
        <w:t>IAB</w:t>
      </w:r>
      <w:proofErr w:type="spellEnd"/>
      <w:r w:rsidRPr="00C21BBF">
        <w:rPr>
          <w:rFonts w:cs="Arial"/>
          <w:i/>
        </w:rPr>
        <w:t xml:space="preserve"> node</w:t>
      </w:r>
    </w:p>
    <w:p w14:paraId="56027D5A" w14:textId="77777777" w:rsidR="00A956E9" w:rsidRPr="00C21BBF" w:rsidRDefault="00A956E9" w:rsidP="00A956E9">
      <w:pPr>
        <w:numPr>
          <w:ilvl w:val="0"/>
          <w:numId w:val="26"/>
        </w:numPr>
        <w:overflowPunct/>
        <w:autoSpaceDE/>
        <w:autoSpaceDN/>
        <w:adjustRightInd/>
        <w:spacing w:before="60"/>
        <w:textAlignment w:val="auto"/>
        <w:rPr>
          <w:rFonts w:cs="Arial"/>
          <w:i/>
        </w:rPr>
      </w:pPr>
      <w:r w:rsidRPr="00C21BBF">
        <w:rPr>
          <w:rFonts w:cs="Arial"/>
          <w:i/>
        </w:rPr>
        <w:t xml:space="preserve">Case 3: DL and UL reception timing is aligned within an </w:t>
      </w:r>
      <w:proofErr w:type="spellStart"/>
      <w:r w:rsidRPr="00C21BBF">
        <w:rPr>
          <w:rFonts w:cs="Arial"/>
          <w:i/>
        </w:rPr>
        <w:t>IAB</w:t>
      </w:r>
      <w:proofErr w:type="spellEnd"/>
      <w:r w:rsidRPr="00C21BBF">
        <w:rPr>
          <w:rFonts w:cs="Arial"/>
          <w:i/>
        </w:rPr>
        <w:t xml:space="preserve"> node</w:t>
      </w:r>
    </w:p>
    <w:p w14:paraId="388FD963" w14:textId="77777777" w:rsidR="00A956E9" w:rsidRPr="00C21BBF" w:rsidRDefault="00A956E9" w:rsidP="00A956E9">
      <w:pPr>
        <w:numPr>
          <w:ilvl w:val="0"/>
          <w:numId w:val="26"/>
        </w:numPr>
        <w:overflowPunct/>
        <w:autoSpaceDE/>
        <w:autoSpaceDN/>
        <w:adjustRightInd/>
        <w:spacing w:before="60"/>
        <w:textAlignment w:val="auto"/>
        <w:rPr>
          <w:rFonts w:cs="Arial"/>
          <w:i/>
        </w:rPr>
      </w:pPr>
      <w:r w:rsidRPr="00C21BBF">
        <w:rPr>
          <w:rFonts w:cs="Arial"/>
          <w:i/>
        </w:rPr>
        <w:t xml:space="preserve">Case 4: within an </w:t>
      </w:r>
      <w:proofErr w:type="spellStart"/>
      <w:r w:rsidRPr="00C21BBF">
        <w:rPr>
          <w:rFonts w:cs="Arial"/>
          <w:i/>
        </w:rPr>
        <w:t>IAB</w:t>
      </w:r>
      <w:proofErr w:type="spellEnd"/>
      <w:r w:rsidRPr="00C21BBF">
        <w:rPr>
          <w:rFonts w:cs="Arial"/>
          <w:i/>
        </w:rPr>
        <w:t xml:space="preserve"> node, when transmitting using case 2 while when receiving using case 3</w:t>
      </w:r>
    </w:p>
    <w:p w14:paraId="01936FD4" w14:textId="77777777" w:rsidR="00A956E9" w:rsidRPr="00C21BBF" w:rsidRDefault="00A956E9" w:rsidP="00A956E9">
      <w:pPr>
        <w:numPr>
          <w:ilvl w:val="0"/>
          <w:numId w:val="26"/>
        </w:numPr>
        <w:overflowPunct/>
        <w:autoSpaceDE/>
        <w:autoSpaceDN/>
        <w:adjustRightInd/>
        <w:spacing w:before="60"/>
        <w:textAlignment w:val="auto"/>
        <w:rPr>
          <w:rFonts w:cs="Arial"/>
          <w:i/>
        </w:rPr>
      </w:pPr>
      <w:r w:rsidRPr="00C21BBF">
        <w:rPr>
          <w:rFonts w:cs="Arial"/>
          <w:i/>
        </w:rPr>
        <w:t xml:space="preserve">Case 5: Case 1 for access link timing and Case 4 for backhaul link timing within an </w:t>
      </w:r>
      <w:proofErr w:type="spellStart"/>
      <w:r w:rsidRPr="00C21BBF">
        <w:rPr>
          <w:rFonts w:cs="Arial"/>
          <w:i/>
        </w:rPr>
        <w:t>IAB</w:t>
      </w:r>
      <w:proofErr w:type="spellEnd"/>
      <w:r w:rsidRPr="00C21BBF">
        <w:rPr>
          <w:rFonts w:cs="Arial"/>
          <w:i/>
        </w:rPr>
        <w:t xml:space="preserve"> node in different time slots</w:t>
      </w:r>
    </w:p>
    <w:p w14:paraId="1035C8B9" w14:textId="77777777" w:rsidR="00A956E9" w:rsidRPr="00A956E9" w:rsidRDefault="00A956E9" w:rsidP="00A956E9">
      <w:pPr>
        <w:spacing w:before="60"/>
        <w:rPr>
          <w:rFonts w:cs="Arial"/>
        </w:rPr>
      </w:pPr>
      <w:r w:rsidRPr="00A956E9">
        <w:rPr>
          <w:rFonts w:cs="Arial"/>
        </w:rPr>
        <w:t xml:space="preserve">The following is our view/understanding of these cases: </w:t>
      </w:r>
    </w:p>
    <w:p w14:paraId="7DDDBB14" w14:textId="5BF75C42" w:rsidR="00A956E9" w:rsidRPr="00A956E9" w:rsidRDefault="00604A24" w:rsidP="00A956E9">
      <w:pPr>
        <w:spacing w:before="60"/>
        <w:rPr>
          <w:rFonts w:cs="Arial"/>
        </w:rPr>
      </w:pPr>
      <w:r>
        <w:rPr>
          <w:rFonts w:cs="Arial"/>
        </w:rPr>
        <w:t>First, w</w:t>
      </w:r>
      <w:r w:rsidR="00A956E9" w:rsidRPr="00A956E9">
        <w:rPr>
          <w:rFonts w:cs="Arial"/>
        </w:rPr>
        <w:t xml:space="preserve">e do not see any reason for differentiating </w:t>
      </w:r>
      <w:r w:rsidR="00BD1738">
        <w:rPr>
          <w:rFonts w:cs="Arial"/>
        </w:rPr>
        <w:t xml:space="preserve">the timing of </w:t>
      </w:r>
      <w:r w:rsidR="00A956E9" w:rsidRPr="00A956E9">
        <w:rPr>
          <w:rFonts w:cs="Arial"/>
        </w:rPr>
        <w:t>access</w:t>
      </w:r>
      <w:r w:rsidR="003540C9">
        <w:rPr>
          <w:rFonts w:cs="Arial"/>
        </w:rPr>
        <w:t>-</w:t>
      </w:r>
      <w:r w:rsidR="00C21BBF">
        <w:rPr>
          <w:rFonts w:cs="Arial"/>
        </w:rPr>
        <w:t>links</w:t>
      </w:r>
      <w:r w:rsidR="00A956E9" w:rsidRPr="00A956E9">
        <w:rPr>
          <w:rFonts w:cs="Arial"/>
        </w:rPr>
        <w:t xml:space="preserve"> </w:t>
      </w:r>
      <w:r w:rsidR="00C21BBF">
        <w:rPr>
          <w:rFonts w:cs="Arial"/>
        </w:rPr>
        <w:t>transmissio</w:t>
      </w:r>
      <w:r w:rsidR="003540C9">
        <w:rPr>
          <w:rFonts w:cs="Arial"/>
        </w:rPr>
        <w:t>ns</w:t>
      </w:r>
      <w:r w:rsidR="00BD1738">
        <w:rPr>
          <w:rFonts w:cs="Arial"/>
        </w:rPr>
        <w:t xml:space="preserve"> </w:t>
      </w:r>
      <w:r w:rsidR="00A956E9" w:rsidRPr="00A956E9">
        <w:rPr>
          <w:rFonts w:cs="Arial"/>
        </w:rPr>
        <w:t xml:space="preserve">and backhaul </w:t>
      </w:r>
      <w:r w:rsidR="00C21BBF">
        <w:rPr>
          <w:rFonts w:cs="Arial"/>
        </w:rPr>
        <w:t>transmissions</w:t>
      </w:r>
      <w:r w:rsidR="003540C9">
        <w:rPr>
          <w:rFonts w:cs="Arial"/>
        </w:rPr>
        <w:t>, that is, for case 5 above.</w:t>
      </w:r>
    </w:p>
    <w:p w14:paraId="4826B88C" w14:textId="425018C0" w:rsidR="00A956E9" w:rsidRDefault="00A956E9" w:rsidP="00A956E9">
      <w:pPr>
        <w:spacing w:before="60"/>
        <w:rPr>
          <w:rFonts w:cs="Arial"/>
        </w:rPr>
      </w:pPr>
      <w:r>
        <w:rPr>
          <w:rFonts w:cs="Arial"/>
        </w:rPr>
        <w:t xml:space="preserve">In practice, case 1 </w:t>
      </w:r>
      <w:r w:rsidR="006C62D4">
        <w:rPr>
          <w:rFonts w:cs="Arial"/>
        </w:rPr>
        <w:t>can</w:t>
      </w:r>
      <w:r w:rsidR="00EB3B9A">
        <w:rPr>
          <w:rFonts w:cs="Arial"/>
        </w:rPr>
        <w:t xml:space="preserve"> </w:t>
      </w:r>
      <w:r w:rsidR="009338CE">
        <w:rPr>
          <w:rFonts w:cs="Arial"/>
        </w:rPr>
        <w:t>achieved by</w:t>
      </w:r>
      <w:r>
        <w:rPr>
          <w:rFonts w:cs="Arial"/>
        </w:rPr>
        <w:t xml:space="preserve"> </w:t>
      </w:r>
      <w:r w:rsidR="009338CE">
        <w:rPr>
          <w:rFonts w:cs="Arial"/>
        </w:rPr>
        <w:t>having</w:t>
      </w:r>
      <w:r>
        <w:rPr>
          <w:rFonts w:cs="Arial"/>
        </w:rPr>
        <w:t xml:space="preserve"> the downlink transmission</w:t>
      </w:r>
      <w:r w:rsidR="00C21BBF">
        <w:rPr>
          <w:rFonts w:cs="Arial"/>
        </w:rPr>
        <w:t xml:space="preserve"> timing of an </w:t>
      </w:r>
      <w:proofErr w:type="spellStart"/>
      <w:r w:rsidR="00C21BBF">
        <w:rPr>
          <w:rFonts w:cs="Arial"/>
        </w:rPr>
        <w:t>IAB</w:t>
      </w:r>
      <w:proofErr w:type="spellEnd"/>
      <w:r w:rsidR="00C21BBF">
        <w:rPr>
          <w:rFonts w:cs="Arial"/>
        </w:rPr>
        <w:t xml:space="preserve"> node </w:t>
      </w:r>
      <w:r w:rsidR="009338CE">
        <w:rPr>
          <w:rFonts w:cs="Arial"/>
        </w:rPr>
        <w:t>being</w:t>
      </w:r>
      <w:r>
        <w:rPr>
          <w:rFonts w:cs="Arial"/>
        </w:rPr>
        <w:t xml:space="preserve"> shifted </w:t>
      </w:r>
      <w:r w:rsidRPr="00BD1738">
        <w:rPr>
          <w:rFonts w:cs="Arial"/>
          <w:i/>
        </w:rPr>
        <w:t>T</w:t>
      </w:r>
      <w:r w:rsidR="00BD1738">
        <w:rPr>
          <w:rFonts w:cs="Arial"/>
          <w:vertAlign w:val="subscript"/>
        </w:rPr>
        <w:t>A</w:t>
      </w:r>
      <w:r>
        <w:rPr>
          <w:rFonts w:cs="Arial"/>
        </w:rPr>
        <w:t xml:space="preserve">/2 </w:t>
      </w:r>
      <w:r w:rsidR="00C21BBF">
        <w:rPr>
          <w:rFonts w:cs="Arial"/>
        </w:rPr>
        <w:t>relative to</w:t>
      </w:r>
      <w:r>
        <w:rPr>
          <w:rFonts w:cs="Arial"/>
        </w:rPr>
        <w:t xml:space="preserve"> the </w:t>
      </w:r>
      <w:r w:rsidR="00BD1738">
        <w:rPr>
          <w:rFonts w:cs="Arial"/>
        </w:rPr>
        <w:t xml:space="preserve">timing of the </w:t>
      </w:r>
      <w:r>
        <w:rPr>
          <w:rFonts w:cs="Arial"/>
        </w:rPr>
        <w:t xml:space="preserve">downlink reception (from the serving cell), where </w:t>
      </w:r>
      <w:r w:rsidR="00BD1738" w:rsidRPr="00BD1738">
        <w:rPr>
          <w:rFonts w:cs="Arial"/>
          <w:i/>
        </w:rPr>
        <w:t>T</w:t>
      </w:r>
      <w:r w:rsidR="00BD1738">
        <w:rPr>
          <w:rFonts w:cs="Arial"/>
          <w:vertAlign w:val="subscript"/>
        </w:rPr>
        <w:t>A</w:t>
      </w:r>
      <w:r w:rsidR="00BD1738">
        <w:rPr>
          <w:rFonts w:cs="Arial"/>
        </w:rPr>
        <w:t xml:space="preserve"> </w:t>
      </w:r>
      <w:r>
        <w:rPr>
          <w:rFonts w:cs="Arial"/>
        </w:rPr>
        <w:t xml:space="preserve">is the </w:t>
      </w:r>
      <w:r w:rsidR="00BD1738">
        <w:rPr>
          <w:rFonts w:cs="Arial"/>
        </w:rPr>
        <w:t xml:space="preserve">current </w:t>
      </w:r>
      <w:r>
        <w:rPr>
          <w:rFonts w:cs="Arial"/>
        </w:rPr>
        <w:t xml:space="preserve">time alignment of the </w:t>
      </w:r>
      <w:proofErr w:type="spellStart"/>
      <w:r>
        <w:rPr>
          <w:rFonts w:cs="Arial"/>
        </w:rPr>
        <w:t>IAB</w:t>
      </w:r>
      <w:proofErr w:type="spellEnd"/>
      <w:r>
        <w:rPr>
          <w:rFonts w:cs="Arial"/>
        </w:rPr>
        <w:t xml:space="preserve"> node</w:t>
      </w:r>
      <w:r w:rsidR="00BD1738">
        <w:rPr>
          <w:rFonts w:cs="Arial"/>
        </w:rPr>
        <w:t xml:space="preserve"> uplink transmission</w:t>
      </w:r>
      <w:r w:rsidR="00C21BBF">
        <w:rPr>
          <w:rFonts w:cs="Arial"/>
        </w:rPr>
        <w:t xml:space="preserve"> relative to the downlink reception</w:t>
      </w:r>
      <w:r w:rsidR="006C62D4">
        <w:rPr>
          <w:rFonts w:cs="Arial"/>
        </w:rPr>
        <w:t xml:space="preserve"> (controlled by the serving cell)</w:t>
      </w:r>
      <w:r>
        <w:rPr>
          <w:rFonts w:cs="Arial"/>
        </w:rPr>
        <w:t xml:space="preserve">. This </w:t>
      </w:r>
      <w:r w:rsidR="00BD1738">
        <w:rPr>
          <w:rFonts w:cs="Arial"/>
        </w:rPr>
        <w:t>ensures</w:t>
      </w:r>
      <w:r>
        <w:rPr>
          <w:rFonts w:cs="Arial"/>
        </w:rPr>
        <w:t xml:space="preserve"> approximate alignment between downlink transmissions of the </w:t>
      </w:r>
      <w:proofErr w:type="spellStart"/>
      <w:r>
        <w:rPr>
          <w:rFonts w:cs="Arial"/>
        </w:rPr>
        <w:t>IAB</w:t>
      </w:r>
      <w:proofErr w:type="spellEnd"/>
      <w:r>
        <w:rPr>
          <w:rFonts w:cs="Arial"/>
        </w:rPr>
        <w:t xml:space="preserve"> node and its parent cell, </w:t>
      </w:r>
      <w:proofErr w:type="gramStart"/>
      <w:r w:rsidRPr="00BD1738">
        <w:rPr>
          <w:rFonts w:cs="Arial"/>
          <w:i/>
        </w:rPr>
        <w:t>assuming that</w:t>
      </w:r>
      <w:proofErr w:type="gramEnd"/>
      <w:r w:rsidRPr="00BD1738">
        <w:rPr>
          <w:rFonts w:cs="Arial"/>
          <w:i/>
        </w:rPr>
        <w:t xml:space="preserve"> downlink transmission and </w:t>
      </w:r>
      <w:r w:rsidR="00BD1738" w:rsidRPr="00BD1738">
        <w:rPr>
          <w:rFonts w:cs="Arial"/>
          <w:i/>
        </w:rPr>
        <w:t>up</w:t>
      </w:r>
      <w:bookmarkStart w:id="0" w:name="_GoBack"/>
      <w:bookmarkEnd w:id="0"/>
      <w:r w:rsidRPr="00BD1738">
        <w:rPr>
          <w:rFonts w:cs="Arial"/>
          <w:i/>
        </w:rPr>
        <w:t>link reception is time aligned at the serving cell</w:t>
      </w:r>
      <w:r>
        <w:rPr>
          <w:rFonts w:cs="Arial"/>
        </w:rPr>
        <w:t>. Note that the latter, although a typical way of operating the system, is no</w:t>
      </w:r>
      <w:r w:rsidR="00C21BBF">
        <w:rPr>
          <w:rFonts w:cs="Arial"/>
        </w:rPr>
        <w:t>t</w:t>
      </w:r>
      <w:r>
        <w:rPr>
          <w:rFonts w:cs="Arial"/>
        </w:rPr>
        <w:t xml:space="preserve"> something that is </w:t>
      </w:r>
      <w:r w:rsidR="009338CE">
        <w:rPr>
          <w:rFonts w:cs="Arial"/>
        </w:rPr>
        <w:t>required by any specification</w:t>
      </w:r>
      <w:r>
        <w:rPr>
          <w:rFonts w:cs="Arial"/>
        </w:rPr>
        <w:t xml:space="preserve">s. </w:t>
      </w:r>
    </w:p>
    <w:p w14:paraId="0CE0DFB3" w14:textId="7509FB08" w:rsidR="009338CE" w:rsidRDefault="00A956E9" w:rsidP="00A956E9">
      <w:pPr>
        <w:spacing w:before="60"/>
        <w:rPr>
          <w:rFonts w:cs="Arial"/>
        </w:rPr>
      </w:pPr>
      <w:r w:rsidRPr="00A956E9">
        <w:rPr>
          <w:rFonts w:cs="Arial"/>
        </w:rPr>
        <w:t>Case 2 and 3 (and in practice also case 1</w:t>
      </w:r>
      <w:r w:rsidR="00BD1738">
        <w:rPr>
          <w:rFonts w:cs="Arial"/>
        </w:rPr>
        <w:t>, see above</w:t>
      </w:r>
      <w:r w:rsidRPr="00A956E9">
        <w:rPr>
          <w:rFonts w:cs="Arial"/>
        </w:rPr>
        <w:t xml:space="preserve">), inherently assumes that </w:t>
      </w:r>
      <w:r w:rsidR="00BD1738">
        <w:rPr>
          <w:rFonts w:cs="Arial"/>
        </w:rPr>
        <w:t xml:space="preserve">the timing of </w:t>
      </w:r>
      <w:proofErr w:type="spellStart"/>
      <w:r w:rsidR="00BD1738">
        <w:rPr>
          <w:rFonts w:cs="Arial"/>
        </w:rPr>
        <w:t>IAB</w:t>
      </w:r>
      <w:proofErr w:type="spellEnd"/>
      <w:r w:rsidR="00BD1738">
        <w:rPr>
          <w:rFonts w:cs="Arial"/>
        </w:rPr>
        <w:t xml:space="preserve"> node </w:t>
      </w:r>
      <w:r w:rsidRPr="00A956E9">
        <w:rPr>
          <w:rFonts w:cs="Arial"/>
        </w:rPr>
        <w:t>downlink transmission</w:t>
      </w:r>
      <w:r w:rsidR="00BD1738">
        <w:rPr>
          <w:rFonts w:cs="Arial"/>
        </w:rPr>
        <w:t>s</w:t>
      </w:r>
      <w:r w:rsidRPr="00A956E9">
        <w:rPr>
          <w:rFonts w:cs="Arial"/>
        </w:rPr>
        <w:t xml:space="preserve"> is (approximately) aligned with </w:t>
      </w:r>
      <w:r w:rsidR="00BD1738">
        <w:rPr>
          <w:rFonts w:cs="Arial"/>
        </w:rPr>
        <w:t xml:space="preserve">the timing of the </w:t>
      </w:r>
      <w:proofErr w:type="spellStart"/>
      <w:r w:rsidRPr="00A956E9">
        <w:rPr>
          <w:rFonts w:cs="Arial"/>
        </w:rPr>
        <w:t>IAB</w:t>
      </w:r>
      <w:proofErr w:type="spellEnd"/>
      <w:r w:rsidRPr="00A956E9">
        <w:rPr>
          <w:rFonts w:cs="Arial"/>
        </w:rPr>
        <w:t xml:space="preserve"> node uplink reception</w:t>
      </w:r>
      <w:r>
        <w:rPr>
          <w:rFonts w:cs="Arial"/>
        </w:rPr>
        <w:t xml:space="preserve">. </w:t>
      </w:r>
      <w:r w:rsidR="009338CE">
        <w:rPr>
          <w:rFonts w:cs="Arial"/>
        </w:rPr>
        <w:t xml:space="preserve">Thus, case 3 </w:t>
      </w:r>
      <w:r w:rsidR="00F40E0E">
        <w:rPr>
          <w:rFonts w:cs="Arial"/>
        </w:rPr>
        <w:t>can also be described</w:t>
      </w:r>
      <w:r w:rsidR="009338CE">
        <w:rPr>
          <w:rFonts w:cs="Arial"/>
        </w:rPr>
        <w:t xml:space="preserve"> </w:t>
      </w:r>
      <w:r w:rsidR="00F40E0E">
        <w:rPr>
          <w:rFonts w:cs="Arial"/>
        </w:rPr>
        <w:t xml:space="preserve">as </w:t>
      </w:r>
      <w:r w:rsidR="009338CE">
        <w:rPr>
          <w:rFonts w:cs="Arial"/>
        </w:rPr>
        <w:t xml:space="preserve">downlink transmissions from </w:t>
      </w:r>
      <w:r w:rsidR="00F40E0E">
        <w:rPr>
          <w:rFonts w:cs="Arial"/>
        </w:rPr>
        <w:t>an</w:t>
      </w:r>
      <w:r w:rsidR="009338CE">
        <w:rPr>
          <w:rFonts w:cs="Arial"/>
        </w:rPr>
        <w:t xml:space="preserve"> </w:t>
      </w:r>
      <w:proofErr w:type="spellStart"/>
      <w:r w:rsidR="009338CE">
        <w:rPr>
          <w:rFonts w:cs="Arial"/>
        </w:rPr>
        <w:t>IAB</w:t>
      </w:r>
      <w:proofErr w:type="spellEnd"/>
      <w:r w:rsidR="009338CE">
        <w:rPr>
          <w:rFonts w:cs="Arial"/>
        </w:rPr>
        <w:t xml:space="preserve"> node </w:t>
      </w:r>
      <w:proofErr w:type="spellStart"/>
      <w:r w:rsidR="00F40E0E">
        <w:rPr>
          <w:rFonts w:cs="Arial"/>
        </w:rPr>
        <w:t>beingh</w:t>
      </w:r>
      <w:proofErr w:type="spellEnd"/>
      <w:r w:rsidR="009338CE">
        <w:rPr>
          <w:rFonts w:cs="Arial"/>
        </w:rPr>
        <w:t xml:space="preserve"> (approximately)</w:t>
      </w:r>
      <w:r w:rsidR="009338CE" w:rsidRPr="009338CE">
        <w:rPr>
          <w:noProof/>
        </w:rPr>
        <w:t xml:space="preserve"> </w:t>
      </w:r>
      <w:r w:rsidR="009338CE">
        <w:rPr>
          <w:noProof/>
        </w:rPr>
        <w:t>time aligned with downlink reception (from the parent) at the IAB node</w:t>
      </w:r>
      <w:r w:rsidR="009338CE">
        <w:rPr>
          <w:rFonts w:cs="Arial"/>
        </w:rPr>
        <w:t>.</w:t>
      </w:r>
    </w:p>
    <w:p w14:paraId="2022165A" w14:textId="5FD6B74B" w:rsidR="00A956E9" w:rsidRDefault="00BD1738" w:rsidP="00A956E9">
      <w:pPr>
        <w:spacing w:before="60"/>
        <w:rPr>
          <w:rFonts w:cs="Arial"/>
        </w:rPr>
      </w:pPr>
      <w:r>
        <w:rPr>
          <w:rFonts w:cs="Arial"/>
        </w:rPr>
        <w:t>Case 4 is identical to case 2/3 with th</w:t>
      </w:r>
      <w:r w:rsidR="009338CE">
        <w:rPr>
          <w:rFonts w:cs="Arial"/>
        </w:rPr>
        <w:t xml:space="preserve">e </w:t>
      </w:r>
      <w:r>
        <w:rPr>
          <w:rFonts w:cs="Arial"/>
        </w:rPr>
        <w:t xml:space="preserve">assumption </w:t>
      </w:r>
      <w:r w:rsidR="009338CE">
        <w:rPr>
          <w:rFonts w:cs="Arial"/>
        </w:rPr>
        <w:t xml:space="preserve">of time-aligned downlink transmission / uplink reception being </w:t>
      </w:r>
      <w:r>
        <w:rPr>
          <w:rFonts w:cs="Arial"/>
        </w:rPr>
        <w:t xml:space="preserve">relaxed. </w:t>
      </w:r>
    </w:p>
    <w:p w14:paraId="417DBC9D" w14:textId="102BA45E" w:rsidR="009338CE" w:rsidRDefault="00F40E0E" w:rsidP="00A956E9">
      <w:pPr>
        <w:spacing w:before="60"/>
        <w:rPr>
          <w:rFonts w:cs="Arial"/>
        </w:rPr>
      </w:pPr>
      <w:r>
        <w:rPr>
          <w:rFonts w:cs="Arial"/>
        </w:rPr>
        <w:t>C</w:t>
      </w:r>
      <w:r w:rsidR="009338CE">
        <w:rPr>
          <w:rFonts w:cs="Arial"/>
        </w:rPr>
        <w:t xml:space="preserve">ase 1-4 can </w:t>
      </w:r>
      <w:r>
        <w:rPr>
          <w:rFonts w:cs="Arial"/>
        </w:rPr>
        <w:t xml:space="preserve">thus </w:t>
      </w:r>
      <w:r w:rsidR="006C62D4">
        <w:rPr>
          <w:rFonts w:cs="Arial"/>
        </w:rPr>
        <w:t xml:space="preserve">be </w:t>
      </w:r>
      <w:r w:rsidR="009338CE">
        <w:rPr>
          <w:rFonts w:cs="Arial"/>
        </w:rPr>
        <w:t>roughly illustrated according to Figure 1 below.</w:t>
      </w:r>
    </w:p>
    <w:p w14:paraId="7DCE1615" w14:textId="3C31CDB6" w:rsidR="00604A24" w:rsidRDefault="00C51E69" w:rsidP="00C51E69">
      <w:pPr>
        <w:spacing w:before="60"/>
        <w:jc w:val="center"/>
        <w:rPr>
          <w:rFonts w:cs="Arial"/>
        </w:rPr>
      </w:pPr>
      <w:r w:rsidRPr="00C51E69">
        <w:lastRenderedPageBreak/>
        <w:drawing>
          <wp:inline distT="0" distB="0" distL="0" distR="0" wp14:anchorId="15E36453" wp14:editId="61A03A80">
            <wp:extent cx="5267325" cy="2500055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112" cy="2502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001EC" w14:textId="35132907" w:rsidR="009338CE" w:rsidRDefault="009338CE" w:rsidP="009338CE">
      <w:pPr>
        <w:pStyle w:val="Caption"/>
        <w:rPr>
          <w:rFonts w:cs="Arial"/>
        </w:rPr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F40E0E">
        <w:rPr>
          <w:noProof/>
        </w:rPr>
        <w:t>1</w:t>
      </w:r>
      <w:r>
        <w:fldChar w:fldCharType="end"/>
      </w:r>
    </w:p>
    <w:p w14:paraId="4F2FEF8D" w14:textId="528ACAE6" w:rsidR="00A956E9" w:rsidRDefault="00A956E9" w:rsidP="00A956E9">
      <w:pPr>
        <w:spacing w:before="60"/>
        <w:rPr>
          <w:rFonts w:cs="Arial"/>
        </w:rPr>
      </w:pPr>
      <w:r>
        <w:rPr>
          <w:rFonts w:cs="Arial"/>
        </w:rPr>
        <w:t xml:space="preserve">The main arguments for </w:t>
      </w:r>
      <w:r w:rsidR="00C51E69">
        <w:rPr>
          <w:rFonts w:cs="Arial"/>
        </w:rPr>
        <w:t>case</w:t>
      </w:r>
      <w:r>
        <w:rPr>
          <w:rFonts w:cs="Arial"/>
        </w:rPr>
        <w:t xml:space="preserve"> 2 are </w:t>
      </w:r>
    </w:p>
    <w:p w14:paraId="049E2D11" w14:textId="1CDE6720" w:rsidR="00BD1738" w:rsidRDefault="00BD1738" w:rsidP="00EB7F30">
      <w:pPr>
        <w:pStyle w:val="ListParagraph"/>
        <w:numPr>
          <w:ilvl w:val="0"/>
          <w:numId w:val="27"/>
        </w:numPr>
        <w:spacing w:before="60"/>
        <w:ind w:left="714" w:hanging="357"/>
        <w:contextualSpacing w:val="0"/>
        <w:rPr>
          <w:rFonts w:cs="Arial"/>
        </w:rPr>
      </w:pPr>
      <w:r>
        <w:rPr>
          <w:rFonts w:cs="Arial"/>
        </w:rPr>
        <w:t xml:space="preserve">It allows for orthogonal frequency multiplexing of downlink and uplink </w:t>
      </w:r>
      <w:proofErr w:type="spellStart"/>
      <w:r>
        <w:rPr>
          <w:rFonts w:cs="Arial"/>
        </w:rPr>
        <w:t>IAB</w:t>
      </w:r>
      <w:proofErr w:type="spellEnd"/>
      <w:r>
        <w:rPr>
          <w:rFonts w:cs="Arial"/>
        </w:rPr>
        <w:t xml:space="preserve">-node transmissions. It has been argued that, at least for </w:t>
      </w:r>
      <w:proofErr w:type="spellStart"/>
      <w:r>
        <w:rPr>
          <w:rFonts w:cs="Arial"/>
        </w:rPr>
        <w:t>mmw</w:t>
      </w:r>
      <w:proofErr w:type="spellEnd"/>
      <w:r>
        <w:rPr>
          <w:rFonts w:cs="Arial"/>
        </w:rPr>
        <w:t xml:space="preserve"> </w:t>
      </w:r>
      <w:r w:rsidR="006C62D4">
        <w:rPr>
          <w:rFonts w:cs="Arial"/>
        </w:rPr>
        <w:t>operation</w:t>
      </w:r>
      <w:r>
        <w:rPr>
          <w:rFonts w:cs="Arial"/>
        </w:rPr>
        <w:t xml:space="preserve">, such frequency multiplexing is anyway not possible due to the use of analog beam-forming. Although </w:t>
      </w:r>
      <w:r w:rsidR="000076C0">
        <w:rPr>
          <w:rFonts w:cs="Arial"/>
        </w:rPr>
        <w:t>probably</w:t>
      </w:r>
      <w:r w:rsidR="00BB2479">
        <w:rPr>
          <w:rFonts w:cs="Arial"/>
        </w:rPr>
        <w:t xml:space="preserve"> true as of today, digital beam-forming also for </w:t>
      </w:r>
      <w:proofErr w:type="spellStart"/>
      <w:r w:rsidR="00BB2479">
        <w:rPr>
          <w:rFonts w:cs="Arial"/>
        </w:rPr>
        <w:t>mmw</w:t>
      </w:r>
      <w:proofErr w:type="spellEnd"/>
      <w:r w:rsidR="00BB2479">
        <w:rPr>
          <w:rFonts w:cs="Arial"/>
        </w:rPr>
        <w:t xml:space="preserve"> may </w:t>
      </w:r>
      <w:proofErr w:type="gramStart"/>
      <w:r w:rsidR="00BB2479">
        <w:rPr>
          <w:rFonts w:cs="Arial"/>
        </w:rPr>
        <w:t>definitely be</w:t>
      </w:r>
      <w:proofErr w:type="gramEnd"/>
      <w:r w:rsidR="00BB2479">
        <w:rPr>
          <w:rFonts w:cs="Arial"/>
        </w:rPr>
        <w:t xml:space="preserve"> an option for the future.</w:t>
      </w:r>
    </w:p>
    <w:p w14:paraId="3A05C6D4" w14:textId="344D9FFD" w:rsidR="00A956E9" w:rsidRDefault="00BD1738" w:rsidP="00EB7F30">
      <w:pPr>
        <w:pStyle w:val="ListParagraph"/>
        <w:numPr>
          <w:ilvl w:val="0"/>
          <w:numId w:val="27"/>
        </w:numPr>
        <w:spacing w:before="60"/>
        <w:ind w:left="714" w:hanging="357"/>
        <w:contextualSpacing w:val="0"/>
        <w:rPr>
          <w:rFonts w:cs="Arial"/>
        </w:rPr>
      </w:pPr>
      <w:r>
        <w:rPr>
          <w:rFonts w:cs="Arial"/>
        </w:rPr>
        <w:t xml:space="preserve">It provides a more </w:t>
      </w:r>
      <w:r w:rsidR="00A956E9">
        <w:rPr>
          <w:rFonts w:cs="Arial"/>
        </w:rPr>
        <w:t xml:space="preserve">aligned interference </w:t>
      </w:r>
      <w:r w:rsidR="00F40E0E">
        <w:rPr>
          <w:rFonts w:cs="Arial"/>
        </w:rPr>
        <w:t xml:space="preserve">from a given </w:t>
      </w:r>
      <w:proofErr w:type="spellStart"/>
      <w:r w:rsidR="00F40E0E">
        <w:rPr>
          <w:rFonts w:cs="Arial"/>
        </w:rPr>
        <w:t>IAB</w:t>
      </w:r>
      <w:proofErr w:type="spellEnd"/>
      <w:r w:rsidR="00F40E0E">
        <w:rPr>
          <w:rFonts w:cs="Arial"/>
        </w:rPr>
        <w:t xml:space="preserve"> node </w:t>
      </w:r>
      <w:r w:rsidR="00A956E9">
        <w:rPr>
          <w:rFonts w:cs="Arial"/>
        </w:rPr>
        <w:t xml:space="preserve">as </w:t>
      </w:r>
      <w:r w:rsidR="00A956E9" w:rsidRPr="00F40E0E">
        <w:rPr>
          <w:rFonts w:cs="Arial"/>
          <w:i/>
        </w:rPr>
        <w:t>all</w:t>
      </w:r>
      <w:r w:rsidR="00A956E9">
        <w:rPr>
          <w:rFonts w:cs="Arial"/>
        </w:rPr>
        <w:t xml:space="preserve"> transmissions from </w:t>
      </w:r>
      <w:r w:rsidR="00F40E0E">
        <w:rPr>
          <w:rFonts w:cs="Arial"/>
        </w:rPr>
        <w:t>the</w:t>
      </w:r>
      <w:r w:rsidR="00A956E9">
        <w:rPr>
          <w:rFonts w:cs="Arial"/>
        </w:rPr>
        <w:t xml:space="preserve"> </w:t>
      </w:r>
      <w:proofErr w:type="spellStart"/>
      <w:r w:rsidR="00A956E9">
        <w:rPr>
          <w:rFonts w:cs="Arial"/>
        </w:rPr>
        <w:t>IAB</w:t>
      </w:r>
      <w:proofErr w:type="spellEnd"/>
      <w:r w:rsidR="00A956E9">
        <w:rPr>
          <w:rFonts w:cs="Arial"/>
        </w:rPr>
        <w:t xml:space="preserve"> node (on the downlink to child nodes and </w:t>
      </w:r>
      <w:proofErr w:type="spellStart"/>
      <w:r w:rsidR="00A956E9">
        <w:rPr>
          <w:rFonts w:cs="Arial"/>
        </w:rPr>
        <w:t>UEs</w:t>
      </w:r>
      <w:proofErr w:type="spellEnd"/>
      <w:r w:rsidR="00A956E9">
        <w:rPr>
          <w:rFonts w:cs="Arial"/>
        </w:rPr>
        <w:t xml:space="preserve"> as well as on the uplink to the </w:t>
      </w:r>
      <w:r w:rsidR="006C62D4">
        <w:rPr>
          <w:rFonts w:cs="Arial"/>
        </w:rPr>
        <w:t>serving</w:t>
      </w:r>
      <w:r w:rsidR="00A956E9">
        <w:rPr>
          <w:rFonts w:cs="Arial"/>
        </w:rPr>
        <w:t xml:space="preserve"> cell) are aligned</w:t>
      </w:r>
      <w:r w:rsidR="00BB2479">
        <w:rPr>
          <w:rFonts w:cs="Arial"/>
        </w:rPr>
        <w:t>.</w:t>
      </w:r>
    </w:p>
    <w:p w14:paraId="7A5C7D74" w14:textId="5B2E9CEC" w:rsidR="00A956E9" w:rsidRDefault="00BD1738" w:rsidP="00A956E9">
      <w:pPr>
        <w:pStyle w:val="ListParagraph"/>
        <w:numPr>
          <w:ilvl w:val="0"/>
          <w:numId w:val="27"/>
        </w:numPr>
        <w:spacing w:before="60"/>
        <w:rPr>
          <w:rFonts w:cs="Arial"/>
        </w:rPr>
      </w:pPr>
      <w:r>
        <w:rPr>
          <w:rFonts w:cs="Arial"/>
        </w:rPr>
        <w:t xml:space="preserve">It </w:t>
      </w:r>
      <w:r w:rsidR="00F40E0E">
        <w:rPr>
          <w:rFonts w:cs="Arial"/>
        </w:rPr>
        <w:t xml:space="preserve">may </w:t>
      </w:r>
      <w:r>
        <w:rPr>
          <w:rFonts w:cs="Arial"/>
        </w:rPr>
        <w:t>allow for s</w:t>
      </w:r>
      <w:r w:rsidR="00A956E9">
        <w:rPr>
          <w:rFonts w:cs="Arial"/>
        </w:rPr>
        <w:t xml:space="preserve">omewhat lower </w:t>
      </w:r>
      <w:r w:rsidR="006C62D4">
        <w:rPr>
          <w:rFonts w:cs="Arial"/>
        </w:rPr>
        <w:t xml:space="preserve">transmitter-side </w:t>
      </w:r>
      <w:r w:rsidR="00A956E9">
        <w:rPr>
          <w:rFonts w:cs="Arial"/>
        </w:rPr>
        <w:t xml:space="preserve">complexity of the </w:t>
      </w:r>
      <w:proofErr w:type="spellStart"/>
      <w:r w:rsidR="00A956E9">
        <w:rPr>
          <w:rFonts w:cs="Arial"/>
        </w:rPr>
        <w:t>IAB</w:t>
      </w:r>
      <w:proofErr w:type="spellEnd"/>
      <w:r w:rsidR="00A956E9">
        <w:rPr>
          <w:rFonts w:cs="Arial"/>
        </w:rPr>
        <w:t xml:space="preserve"> node</w:t>
      </w:r>
      <w:r w:rsidR="006C62D4">
        <w:rPr>
          <w:rFonts w:cs="Arial"/>
        </w:rPr>
        <w:t>.</w:t>
      </w:r>
    </w:p>
    <w:p w14:paraId="22C3F7BC" w14:textId="45C85BAC" w:rsidR="009338CE" w:rsidRDefault="00F40E0E" w:rsidP="00A956E9">
      <w:pPr>
        <w:rPr>
          <w:rFonts w:cs="Arial"/>
        </w:rPr>
      </w:pPr>
      <w:r>
        <w:rPr>
          <w:rFonts w:cs="Arial"/>
        </w:rPr>
        <w:t>In contrast,</w:t>
      </w:r>
      <w:r w:rsidR="009338CE">
        <w:rPr>
          <w:rFonts w:cs="Arial"/>
        </w:rPr>
        <w:t xml:space="preserve"> case 3 </w:t>
      </w:r>
      <w:r w:rsidR="006C62D4">
        <w:rPr>
          <w:rFonts w:cs="Arial"/>
        </w:rPr>
        <w:t xml:space="preserve">allows for </w:t>
      </w:r>
      <w:r w:rsidR="00F91C32">
        <w:rPr>
          <w:rFonts w:cs="Arial"/>
        </w:rPr>
        <w:t xml:space="preserve">orthogonal frequency multiplexing of downlink and uplink </w:t>
      </w:r>
      <w:proofErr w:type="spellStart"/>
      <w:r w:rsidR="00F91C32">
        <w:rPr>
          <w:rFonts w:cs="Arial"/>
        </w:rPr>
        <w:t>IAB</w:t>
      </w:r>
      <w:proofErr w:type="spellEnd"/>
      <w:r w:rsidR="00F91C32">
        <w:rPr>
          <w:rFonts w:cs="Arial"/>
        </w:rPr>
        <w:t xml:space="preserve">-node </w:t>
      </w:r>
      <w:r w:rsidR="00F91C32" w:rsidRPr="00F91C32">
        <w:rPr>
          <w:rFonts w:cs="Arial"/>
          <w:i/>
        </w:rPr>
        <w:t>receptions</w:t>
      </w:r>
      <w:r w:rsidR="00F91C32">
        <w:rPr>
          <w:rFonts w:cs="Arial"/>
        </w:rPr>
        <w:t>.</w:t>
      </w:r>
    </w:p>
    <w:p w14:paraId="56C049BE" w14:textId="78AF0FBF" w:rsidR="00A956E9" w:rsidRPr="00A956E9" w:rsidRDefault="00A956E9" w:rsidP="00A956E9">
      <w:pPr>
        <w:rPr>
          <w:rFonts w:cs="Arial"/>
        </w:rPr>
      </w:pPr>
      <w:r w:rsidRPr="00A956E9">
        <w:rPr>
          <w:rFonts w:cs="Arial"/>
        </w:rPr>
        <w:t xml:space="preserve">The main argument for </w:t>
      </w:r>
      <w:r w:rsidR="00BB2479">
        <w:rPr>
          <w:rFonts w:cs="Arial"/>
        </w:rPr>
        <w:t xml:space="preserve">case </w:t>
      </w:r>
      <w:r w:rsidRPr="00A956E9">
        <w:rPr>
          <w:rFonts w:cs="Arial"/>
        </w:rPr>
        <w:t xml:space="preserve">1 is that current specifications </w:t>
      </w:r>
      <w:r w:rsidRPr="00A956E9">
        <w:rPr>
          <w:rFonts w:cs="Arial"/>
          <w:i/>
        </w:rPr>
        <w:t>require</w:t>
      </w:r>
      <w:r w:rsidRPr="00A956E9">
        <w:rPr>
          <w:rFonts w:cs="Arial"/>
        </w:rPr>
        <w:t xml:space="preserve"> that downlink transmissions from different cells with overlapping coverage should be frame aligned</w:t>
      </w:r>
      <w:r w:rsidR="00723090">
        <w:rPr>
          <w:rFonts w:cs="Arial"/>
        </w:rPr>
        <w:t xml:space="preserve"> [2]</w:t>
      </w:r>
      <w:r w:rsidRPr="00A956E9">
        <w:rPr>
          <w:rFonts w:cs="Arial"/>
        </w:rPr>
        <w:t>.</w:t>
      </w:r>
      <w:r w:rsidRPr="00A956E9">
        <w:rPr>
          <w:rStyle w:val="FootnoteReference"/>
          <w:rFonts w:cs="Arial"/>
        </w:rPr>
        <w:footnoteReference w:id="1"/>
      </w:r>
      <w:r w:rsidRPr="00A956E9">
        <w:rPr>
          <w:rFonts w:cs="Arial"/>
        </w:rPr>
        <w:t xml:space="preserve"> If this requirement should be carried forward into the specification for </w:t>
      </w:r>
      <w:proofErr w:type="spellStart"/>
      <w:r w:rsidRPr="00A956E9">
        <w:rPr>
          <w:rFonts w:cs="Arial"/>
        </w:rPr>
        <w:t>IAB</w:t>
      </w:r>
      <w:proofErr w:type="spellEnd"/>
      <w:r w:rsidRPr="00A956E9">
        <w:rPr>
          <w:rFonts w:cs="Arial"/>
        </w:rPr>
        <w:t xml:space="preserve"> nodes</w:t>
      </w:r>
      <w:r w:rsidR="00BB2479">
        <w:rPr>
          <w:rFonts w:cs="Arial"/>
        </w:rPr>
        <w:t>,</w:t>
      </w:r>
      <w:r w:rsidRPr="00A956E9">
        <w:rPr>
          <w:rFonts w:cs="Arial"/>
        </w:rPr>
        <w:t xml:space="preserve"> </w:t>
      </w:r>
      <w:r w:rsidR="00BB2479">
        <w:rPr>
          <w:rFonts w:cs="Arial"/>
        </w:rPr>
        <w:t xml:space="preserve">alternative </w:t>
      </w:r>
      <w:r w:rsidRPr="00A956E9">
        <w:rPr>
          <w:rFonts w:cs="Arial"/>
        </w:rPr>
        <w:t xml:space="preserve">1 would, in practice, be the only </w:t>
      </w:r>
      <w:r w:rsidR="00EB7F30">
        <w:rPr>
          <w:rFonts w:cs="Arial"/>
        </w:rPr>
        <w:t>possible</w:t>
      </w:r>
      <w:r w:rsidRPr="00A956E9">
        <w:rPr>
          <w:rFonts w:cs="Arial"/>
        </w:rPr>
        <w:t xml:space="preserve"> </w:t>
      </w:r>
      <w:r w:rsidR="00BB2479">
        <w:rPr>
          <w:rFonts w:cs="Arial"/>
        </w:rPr>
        <w:t>alternative</w:t>
      </w:r>
      <w:r w:rsidRPr="00A956E9">
        <w:rPr>
          <w:rFonts w:cs="Arial"/>
        </w:rPr>
        <w:t xml:space="preserve"> unless one is prepared to accept </w:t>
      </w:r>
      <w:r w:rsidR="000076C0">
        <w:rPr>
          <w:rFonts w:cs="Arial"/>
        </w:rPr>
        <w:t>severe</w:t>
      </w:r>
      <w:r w:rsidRPr="00A956E9">
        <w:rPr>
          <w:rFonts w:cs="Arial"/>
        </w:rPr>
        <w:t xml:space="preserve"> (unacceptable?) restrictions on </w:t>
      </w:r>
      <w:proofErr w:type="spellStart"/>
      <w:r w:rsidRPr="00A956E9">
        <w:rPr>
          <w:rFonts w:cs="Arial"/>
        </w:rPr>
        <w:t>IAB</w:t>
      </w:r>
      <w:proofErr w:type="spellEnd"/>
      <w:r w:rsidRPr="00A956E9">
        <w:rPr>
          <w:rFonts w:cs="Arial"/>
        </w:rPr>
        <w:t xml:space="preserve">-node </w:t>
      </w:r>
      <w:r w:rsidR="00F40E0E">
        <w:rPr>
          <w:rFonts w:cs="Arial"/>
        </w:rPr>
        <w:t xml:space="preserve">maximum </w:t>
      </w:r>
      <w:r w:rsidRPr="00A956E9">
        <w:rPr>
          <w:rFonts w:cs="Arial"/>
        </w:rPr>
        <w:t xml:space="preserve">cell size and number of </w:t>
      </w:r>
      <w:proofErr w:type="spellStart"/>
      <w:r w:rsidRPr="00A956E9">
        <w:rPr>
          <w:rFonts w:cs="Arial"/>
        </w:rPr>
        <w:t>IAB</w:t>
      </w:r>
      <w:proofErr w:type="spellEnd"/>
      <w:r w:rsidRPr="00A956E9">
        <w:rPr>
          <w:rFonts w:cs="Arial"/>
        </w:rPr>
        <w:t xml:space="preserve"> hops.  </w:t>
      </w:r>
    </w:p>
    <w:p w14:paraId="277BBFDA" w14:textId="20D77CE5" w:rsidR="00EB7F30" w:rsidRDefault="00A956E9" w:rsidP="00BB2479">
      <w:pPr>
        <w:rPr>
          <w:rFonts w:cs="Arial"/>
        </w:rPr>
      </w:pPr>
      <w:r w:rsidRPr="00A956E9">
        <w:rPr>
          <w:rFonts w:cs="Arial"/>
        </w:rPr>
        <w:t xml:space="preserve">The requirement on inter-cell </w:t>
      </w:r>
      <w:r w:rsidR="00F40E0E">
        <w:rPr>
          <w:rFonts w:cs="Arial"/>
        </w:rPr>
        <w:t xml:space="preserve">transmission </w:t>
      </w:r>
      <w:r w:rsidRPr="00A956E9">
        <w:rPr>
          <w:rFonts w:cs="Arial"/>
        </w:rPr>
        <w:t>time alignment</w:t>
      </w:r>
      <w:r w:rsidR="00BB2479">
        <w:rPr>
          <w:rFonts w:cs="Arial"/>
        </w:rPr>
        <w:t xml:space="preserve"> originates from the basic assumption on DL/UL alignment between cells</w:t>
      </w:r>
      <w:r w:rsidR="00EB7F30">
        <w:rPr>
          <w:rFonts w:cs="Arial"/>
        </w:rPr>
        <w:t xml:space="preserve"> and the corresponding avoidance of DL-to-UL and UL-to-DL interference</w:t>
      </w:r>
      <w:r w:rsidR="00BB2479">
        <w:rPr>
          <w:rFonts w:cs="Arial"/>
        </w:rPr>
        <w:t xml:space="preserve">. </w:t>
      </w:r>
      <w:r w:rsidR="00EB7F30">
        <w:rPr>
          <w:rFonts w:cs="Arial"/>
        </w:rPr>
        <w:t>The following should be noted</w:t>
      </w:r>
      <w:r w:rsidR="000076C0">
        <w:rPr>
          <w:rFonts w:cs="Arial"/>
        </w:rPr>
        <w:t xml:space="preserve"> though</w:t>
      </w:r>
      <w:r w:rsidR="00EB7F30">
        <w:rPr>
          <w:rFonts w:cs="Arial"/>
        </w:rPr>
        <w:t>:</w:t>
      </w:r>
    </w:p>
    <w:p w14:paraId="15165223" w14:textId="03A20BB5" w:rsidR="00EB7F30" w:rsidRDefault="00EB7F30" w:rsidP="000076C0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cs="Arial"/>
        </w:rPr>
      </w:pPr>
      <w:r>
        <w:rPr>
          <w:rFonts w:cs="Arial"/>
        </w:rPr>
        <w:t xml:space="preserve">In general, this is a somewhat strange requirement as, typically, requirements (except those related to regulatory requirements) are not expressed as requirements on base-station transmissions but rather as what a UE can assume regarding signals </w:t>
      </w:r>
      <w:r w:rsidRPr="00EB7F30">
        <w:rPr>
          <w:rFonts w:cs="Arial"/>
          <w:i/>
        </w:rPr>
        <w:t>received</w:t>
      </w:r>
      <w:r>
        <w:rPr>
          <w:rFonts w:cs="Arial"/>
        </w:rPr>
        <w:t xml:space="preserve"> from base stations. Time alignment between transmissions from differen</w:t>
      </w:r>
      <w:r w:rsidR="00F40E0E">
        <w:rPr>
          <w:rFonts w:cs="Arial"/>
        </w:rPr>
        <w:t>t</w:t>
      </w:r>
      <w:r>
        <w:rPr>
          <w:rFonts w:cs="Arial"/>
        </w:rPr>
        <w:t xml:space="preserve"> cells will obviously not </w:t>
      </w:r>
      <w:r w:rsidR="00F40E0E">
        <w:rPr>
          <w:rFonts w:cs="Arial"/>
        </w:rPr>
        <w:t xml:space="preserve">necessarily </w:t>
      </w:r>
      <w:r>
        <w:rPr>
          <w:rFonts w:cs="Arial"/>
        </w:rPr>
        <w:t xml:space="preserve">imply the same time alignment between the corresponding receptions at the UE due to different propagation delays. </w:t>
      </w:r>
    </w:p>
    <w:p w14:paraId="28DB8130" w14:textId="440A60C2" w:rsidR="00A956E9" w:rsidRPr="00EB7F30" w:rsidRDefault="00EB7F30" w:rsidP="000076C0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cs="Arial"/>
        </w:rPr>
      </w:pPr>
      <w:r>
        <w:rPr>
          <w:rFonts w:cs="Arial"/>
        </w:rPr>
        <w:t>F</w:t>
      </w:r>
      <w:r w:rsidR="00BB2479" w:rsidRPr="00EB7F30">
        <w:rPr>
          <w:rFonts w:cs="Arial"/>
        </w:rPr>
        <w:t xml:space="preserve">or </w:t>
      </w:r>
      <w:proofErr w:type="spellStart"/>
      <w:r w:rsidR="00BB2479" w:rsidRPr="00EB7F30">
        <w:rPr>
          <w:rFonts w:cs="Arial"/>
        </w:rPr>
        <w:t>IAB</w:t>
      </w:r>
      <w:proofErr w:type="spellEnd"/>
      <w:r w:rsidR="00BB2479" w:rsidRPr="00EB7F30">
        <w:rPr>
          <w:rFonts w:cs="Arial"/>
        </w:rPr>
        <w:t xml:space="preserve">, the </w:t>
      </w:r>
      <w:r>
        <w:rPr>
          <w:rFonts w:cs="Arial"/>
        </w:rPr>
        <w:t xml:space="preserve">issue of DL-to-UL and UL-to-DL interference is anyway much more complex. It is, e.g. not clear if an </w:t>
      </w:r>
      <w:proofErr w:type="spellStart"/>
      <w:r>
        <w:rPr>
          <w:rFonts w:cs="Arial"/>
        </w:rPr>
        <w:t>IAB</w:t>
      </w:r>
      <w:proofErr w:type="spellEnd"/>
      <w:r>
        <w:rPr>
          <w:rFonts w:cs="Arial"/>
        </w:rPr>
        <w:t xml:space="preserve"> node uplink transmission should </w:t>
      </w:r>
      <w:proofErr w:type="gramStart"/>
      <w:r>
        <w:rPr>
          <w:rFonts w:cs="Arial"/>
        </w:rPr>
        <w:t>be seen as</w:t>
      </w:r>
      <w:proofErr w:type="gramEnd"/>
      <w:r>
        <w:rPr>
          <w:rFonts w:cs="Arial"/>
        </w:rPr>
        <w:t xml:space="preserve"> an uplink transmission or a downlink transmission from an interference point-of-view, see e.g. [1]. As indicated above, o</w:t>
      </w:r>
      <w:r w:rsidR="00BB2479" w:rsidRPr="00EB7F30">
        <w:rPr>
          <w:rFonts w:cs="Arial"/>
        </w:rPr>
        <w:t xml:space="preserve">ne could even argue that, from an interference point-of-view, </w:t>
      </w:r>
      <w:r w:rsidR="00A956E9" w:rsidRPr="00EB7F30">
        <w:rPr>
          <w:rFonts w:cs="Arial"/>
        </w:rPr>
        <w:t xml:space="preserve">alternative 2 may make more sense as </w:t>
      </w:r>
      <w:r w:rsidR="00BB2479" w:rsidRPr="00EB7F30">
        <w:rPr>
          <w:rFonts w:cs="Arial"/>
        </w:rPr>
        <w:t>it</w:t>
      </w:r>
      <w:r w:rsidR="00A956E9" w:rsidRPr="00EB7F30">
        <w:rPr>
          <w:rFonts w:cs="Arial"/>
        </w:rPr>
        <w:t xml:space="preserve"> aligns all transmissions from the </w:t>
      </w:r>
      <w:proofErr w:type="spellStart"/>
      <w:r w:rsidR="00A956E9" w:rsidRPr="00EB7F30">
        <w:rPr>
          <w:rFonts w:cs="Arial"/>
        </w:rPr>
        <w:t>IAB</w:t>
      </w:r>
      <w:proofErr w:type="spellEnd"/>
      <w:r w:rsidR="00A956E9" w:rsidRPr="00EB7F30">
        <w:rPr>
          <w:rFonts w:cs="Arial"/>
        </w:rPr>
        <w:t xml:space="preserve"> nod</w:t>
      </w:r>
      <w:r>
        <w:rPr>
          <w:rFonts w:cs="Arial"/>
        </w:rPr>
        <w:t>e.</w:t>
      </w:r>
    </w:p>
    <w:p w14:paraId="07F7CD15" w14:textId="05892304" w:rsidR="00A956E9" w:rsidRPr="00A956E9" w:rsidRDefault="00EB7F30" w:rsidP="00A956E9">
      <w:pPr>
        <w:rPr>
          <w:rFonts w:cs="Arial"/>
        </w:rPr>
      </w:pPr>
      <w:r>
        <w:rPr>
          <w:rFonts w:cs="Arial"/>
        </w:rPr>
        <w:t>In our view, t</w:t>
      </w:r>
      <w:r w:rsidR="00A956E9" w:rsidRPr="00A956E9">
        <w:rPr>
          <w:rFonts w:cs="Arial"/>
        </w:rPr>
        <w:t xml:space="preserve">he key </w:t>
      </w:r>
      <w:r w:rsidR="00BB2479">
        <w:rPr>
          <w:rFonts w:cs="Arial"/>
        </w:rPr>
        <w:t xml:space="preserve">issue that would decide in favour of alternative 1 </w:t>
      </w:r>
      <w:r w:rsidR="00A956E9" w:rsidRPr="00A956E9">
        <w:rPr>
          <w:rFonts w:cs="Arial"/>
        </w:rPr>
        <w:t xml:space="preserve">is therefore if a deviation from the requirement on inter-cell synchronization for </w:t>
      </w:r>
      <w:proofErr w:type="spellStart"/>
      <w:r w:rsidR="00A956E9" w:rsidRPr="00A956E9">
        <w:rPr>
          <w:rFonts w:cs="Arial"/>
        </w:rPr>
        <w:t>IAB</w:t>
      </w:r>
      <w:proofErr w:type="spellEnd"/>
      <w:r w:rsidR="00A956E9" w:rsidRPr="00A956E9">
        <w:rPr>
          <w:rFonts w:cs="Arial"/>
        </w:rPr>
        <w:t xml:space="preserve"> nodes goes against the basic </w:t>
      </w:r>
      <w:proofErr w:type="spellStart"/>
      <w:r w:rsidR="00A956E9" w:rsidRPr="00A956E9">
        <w:rPr>
          <w:rFonts w:cs="Arial"/>
        </w:rPr>
        <w:t>IAB</w:t>
      </w:r>
      <w:proofErr w:type="spellEnd"/>
      <w:r w:rsidR="00A956E9" w:rsidRPr="00A956E9">
        <w:rPr>
          <w:rFonts w:cs="Arial"/>
        </w:rPr>
        <w:t xml:space="preserve"> requirement on backwards compatibility, i.e. if a deviation from the from the requirement on inter-cell synchronization for </w:t>
      </w:r>
      <w:proofErr w:type="spellStart"/>
      <w:r w:rsidR="00A956E9" w:rsidRPr="00A956E9">
        <w:rPr>
          <w:rFonts w:cs="Arial"/>
        </w:rPr>
        <w:t>IAB</w:t>
      </w:r>
      <w:proofErr w:type="spellEnd"/>
      <w:r w:rsidR="00A956E9" w:rsidRPr="00A956E9">
        <w:rPr>
          <w:rFonts w:cs="Arial"/>
        </w:rPr>
        <w:t xml:space="preserve"> nodes would negatively impact the ability of legacy </w:t>
      </w:r>
      <w:proofErr w:type="spellStart"/>
      <w:r w:rsidR="00A956E9" w:rsidRPr="00A956E9">
        <w:rPr>
          <w:rFonts w:cs="Arial"/>
        </w:rPr>
        <w:t>UEs</w:t>
      </w:r>
      <w:proofErr w:type="spellEnd"/>
      <w:r w:rsidR="00A956E9" w:rsidRPr="00A956E9">
        <w:rPr>
          <w:rFonts w:cs="Arial"/>
        </w:rPr>
        <w:t xml:space="preserve"> to access the system via an </w:t>
      </w:r>
      <w:proofErr w:type="spellStart"/>
      <w:r w:rsidR="00A956E9" w:rsidRPr="00A956E9">
        <w:rPr>
          <w:rFonts w:cs="Arial"/>
        </w:rPr>
        <w:t>IAB</w:t>
      </w:r>
      <w:proofErr w:type="spellEnd"/>
      <w:r w:rsidR="00A956E9" w:rsidRPr="00A956E9">
        <w:rPr>
          <w:rFonts w:cs="Arial"/>
        </w:rPr>
        <w:t xml:space="preserve"> node</w:t>
      </w:r>
      <w:r w:rsidR="00F40E0E">
        <w:rPr>
          <w:rFonts w:cs="Arial"/>
        </w:rPr>
        <w:t xml:space="preserve">. </w:t>
      </w:r>
      <w:r w:rsidR="00A956E9" w:rsidRPr="00A956E9">
        <w:rPr>
          <w:rFonts w:cs="Arial"/>
        </w:rPr>
        <w:t xml:space="preserve">If the answer is yes, </w:t>
      </w:r>
      <w:r w:rsidR="000076C0">
        <w:rPr>
          <w:rFonts w:cs="Arial"/>
        </w:rPr>
        <w:t xml:space="preserve">we believe that alternative/case 1 is the only choice. If not, </w:t>
      </w:r>
      <w:r w:rsidR="006C62D4">
        <w:rPr>
          <w:rFonts w:cs="Arial"/>
        </w:rPr>
        <w:t>ou</w:t>
      </w:r>
      <w:r w:rsidR="00F40E0E">
        <w:rPr>
          <w:rFonts w:cs="Arial"/>
        </w:rPr>
        <w:t xml:space="preserve">r </w:t>
      </w:r>
      <w:r w:rsidR="006C62D4">
        <w:rPr>
          <w:rFonts w:cs="Arial"/>
        </w:rPr>
        <w:t>view is</w:t>
      </w:r>
      <w:r w:rsidR="000076C0">
        <w:rPr>
          <w:rFonts w:cs="Arial"/>
        </w:rPr>
        <w:t xml:space="preserve"> that alternative 2 is preferred. </w:t>
      </w:r>
      <w:r w:rsidR="00A956E9" w:rsidRPr="00A956E9">
        <w:rPr>
          <w:rFonts w:cs="Arial"/>
        </w:rPr>
        <w:t xml:space="preserve"> </w:t>
      </w:r>
    </w:p>
    <w:p w14:paraId="7017314E" w14:textId="7FB82B69" w:rsidR="00A956E9" w:rsidRDefault="00BB2479" w:rsidP="00BB2479">
      <w:pPr>
        <w:pStyle w:val="Heading1"/>
      </w:pPr>
      <w:r>
        <w:t>Proposal</w:t>
      </w:r>
    </w:p>
    <w:p w14:paraId="5C49D280" w14:textId="1BADED01" w:rsidR="006C62D4" w:rsidRPr="006C62D4" w:rsidRDefault="006C62D4" w:rsidP="00BB2479">
      <w:pPr>
        <w:rPr>
          <w:b/>
        </w:rPr>
      </w:pPr>
      <w:r w:rsidRPr="006C62D4">
        <w:rPr>
          <w:b/>
        </w:rPr>
        <w:t>Proposal:</w:t>
      </w:r>
    </w:p>
    <w:p w14:paraId="5D059A98" w14:textId="66A8296B" w:rsidR="00BB2479" w:rsidRDefault="00BB2479" w:rsidP="00BB2479">
      <w:pPr>
        <w:rPr>
          <w:rFonts w:cs="Arial"/>
        </w:rPr>
      </w:pPr>
      <w:r>
        <w:t xml:space="preserve">Conclude on </w:t>
      </w:r>
      <w:r w:rsidRPr="00A956E9">
        <w:rPr>
          <w:rFonts w:cs="Arial"/>
        </w:rPr>
        <w:t xml:space="preserve">if a deviation from the requirement on inter-cell synchronization for </w:t>
      </w:r>
      <w:proofErr w:type="spellStart"/>
      <w:r w:rsidRPr="00A956E9">
        <w:rPr>
          <w:rFonts w:cs="Arial"/>
        </w:rPr>
        <w:t>IAB</w:t>
      </w:r>
      <w:proofErr w:type="spellEnd"/>
      <w:r w:rsidRPr="00A956E9">
        <w:rPr>
          <w:rFonts w:cs="Arial"/>
        </w:rPr>
        <w:t xml:space="preserve"> nodes goes against the basic </w:t>
      </w:r>
      <w:proofErr w:type="spellStart"/>
      <w:r w:rsidRPr="00A956E9">
        <w:rPr>
          <w:rFonts w:cs="Arial"/>
        </w:rPr>
        <w:t>IAB</w:t>
      </w:r>
      <w:proofErr w:type="spellEnd"/>
      <w:r w:rsidRPr="00A956E9">
        <w:rPr>
          <w:rFonts w:cs="Arial"/>
        </w:rPr>
        <w:t xml:space="preserve"> requirement on backwards compatibility</w:t>
      </w:r>
    </w:p>
    <w:p w14:paraId="10C46725" w14:textId="27BF6144" w:rsidR="00BB2479" w:rsidRDefault="00BB2479" w:rsidP="00BB2479">
      <w:pPr>
        <w:pStyle w:val="ListParagraph"/>
        <w:numPr>
          <w:ilvl w:val="0"/>
          <w:numId w:val="27"/>
        </w:numPr>
        <w:spacing w:before="60"/>
        <w:rPr>
          <w:rFonts w:cs="Arial"/>
        </w:rPr>
      </w:pPr>
      <w:r w:rsidRPr="00F40E0E">
        <w:rPr>
          <w:rFonts w:cs="Arial"/>
          <w:b/>
        </w:rPr>
        <w:t>Yes</w:t>
      </w:r>
      <w:r>
        <w:rPr>
          <w:rFonts w:cs="Arial"/>
        </w:rPr>
        <w:t>: Agree on</w:t>
      </w:r>
      <w:r w:rsidR="00C51E69">
        <w:rPr>
          <w:rFonts w:cs="Arial"/>
        </w:rPr>
        <w:t xml:space="preserve"> case</w:t>
      </w:r>
      <w:r>
        <w:rPr>
          <w:rFonts w:cs="Arial"/>
        </w:rPr>
        <w:t xml:space="preserve"> 1, i.e. downlink transmissions of the </w:t>
      </w:r>
      <w:proofErr w:type="spellStart"/>
      <w:r>
        <w:rPr>
          <w:rFonts w:cs="Arial"/>
        </w:rPr>
        <w:t>IAB</w:t>
      </w:r>
      <w:proofErr w:type="spellEnd"/>
      <w:r>
        <w:rPr>
          <w:rFonts w:cs="Arial"/>
        </w:rPr>
        <w:t xml:space="preserve"> node is (approximately) time aligned with the downlink transmissions of the serving cell. This is achieved by shifting the downlink transmission of the </w:t>
      </w:r>
      <w:proofErr w:type="spellStart"/>
      <w:r>
        <w:rPr>
          <w:rFonts w:cs="Arial"/>
        </w:rPr>
        <w:t>IAB</w:t>
      </w:r>
      <w:proofErr w:type="spellEnd"/>
      <w:r>
        <w:rPr>
          <w:rFonts w:cs="Arial"/>
        </w:rPr>
        <w:t xml:space="preserve"> node </w:t>
      </w:r>
      <w:r w:rsidRPr="00BD1738">
        <w:rPr>
          <w:rFonts w:cs="Arial"/>
          <w:i/>
        </w:rPr>
        <w:t>T</w:t>
      </w:r>
      <w:r>
        <w:rPr>
          <w:rFonts w:cs="Arial"/>
          <w:vertAlign w:val="subscript"/>
        </w:rPr>
        <w:t>A</w:t>
      </w:r>
      <w:r>
        <w:rPr>
          <w:rFonts w:cs="Arial"/>
        </w:rPr>
        <w:t>/2 relative to the downlink reception from the serving cell.</w:t>
      </w:r>
    </w:p>
    <w:p w14:paraId="057657C5" w14:textId="1B0B03C3" w:rsidR="00BB2479" w:rsidRPr="00BB2479" w:rsidRDefault="00BB2479" w:rsidP="00BB2479">
      <w:pPr>
        <w:pStyle w:val="ListParagraph"/>
        <w:numPr>
          <w:ilvl w:val="0"/>
          <w:numId w:val="27"/>
        </w:numPr>
        <w:spacing w:before="60"/>
        <w:rPr>
          <w:rFonts w:cs="Arial"/>
        </w:rPr>
      </w:pPr>
      <w:r w:rsidRPr="00F40E0E">
        <w:rPr>
          <w:rFonts w:cs="Arial"/>
          <w:b/>
        </w:rPr>
        <w:t>No</w:t>
      </w:r>
      <w:r>
        <w:rPr>
          <w:rFonts w:cs="Arial"/>
        </w:rPr>
        <w:t xml:space="preserve">: Agree on </w:t>
      </w:r>
      <w:r w:rsidR="00C51E69">
        <w:rPr>
          <w:rFonts w:cs="Arial"/>
        </w:rPr>
        <w:t>case</w:t>
      </w:r>
      <w:r>
        <w:rPr>
          <w:rFonts w:cs="Arial"/>
        </w:rPr>
        <w:t xml:space="preserve"> 2, i.e. downlink transmission of the </w:t>
      </w:r>
      <w:proofErr w:type="spellStart"/>
      <w:r>
        <w:rPr>
          <w:rFonts w:cs="Arial"/>
        </w:rPr>
        <w:t>IAB</w:t>
      </w:r>
      <w:proofErr w:type="spellEnd"/>
      <w:r>
        <w:rPr>
          <w:rFonts w:cs="Arial"/>
        </w:rPr>
        <w:t xml:space="preserve"> node is time aligned with the uplink transmission of the </w:t>
      </w:r>
      <w:proofErr w:type="spellStart"/>
      <w:r>
        <w:rPr>
          <w:rFonts w:cs="Arial"/>
        </w:rPr>
        <w:t>IAB</w:t>
      </w:r>
      <w:proofErr w:type="spellEnd"/>
      <w:r>
        <w:rPr>
          <w:rFonts w:cs="Arial"/>
        </w:rPr>
        <w:t xml:space="preserve"> node</w:t>
      </w:r>
    </w:p>
    <w:p w14:paraId="2A0A38C3" w14:textId="6C6C0762" w:rsidR="00BB2479" w:rsidRDefault="00BB2479" w:rsidP="00BB2479"/>
    <w:p w14:paraId="01E4E3AE" w14:textId="50FAD893" w:rsidR="00404853" w:rsidRDefault="00404853" w:rsidP="00404853">
      <w:pPr>
        <w:pStyle w:val="Heading1"/>
      </w:pPr>
      <w:r>
        <w:t>References</w:t>
      </w:r>
    </w:p>
    <w:p w14:paraId="1F093964" w14:textId="4C83279C" w:rsidR="00404853" w:rsidRDefault="00B0298C" w:rsidP="00AB7883">
      <w:pPr>
        <w:pStyle w:val="Reference"/>
        <w:rPr>
          <w:rFonts w:cs="Arial"/>
          <w:lang w:val="en-US"/>
        </w:rPr>
      </w:pPr>
      <w:bookmarkStart w:id="1" w:name="_Ref509935955"/>
      <w:bookmarkStart w:id="2" w:name="_Ref509846991"/>
      <w:bookmarkStart w:id="3" w:name="_Ref454459437"/>
      <w:bookmarkStart w:id="4" w:name="_Ref174151459"/>
      <w:bookmarkStart w:id="5" w:name="_Ref189809556"/>
      <w:proofErr w:type="spellStart"/>
      <w:r>
        <w:rPr>
          <w:rFonts w:cs="Arial"/>
          <w:lang w:val="en-US"/>
        </w:rPr>
        <w:t>R1</w:t>
      </w:r>
      <w:proofErr w:type="spellEnd"/>
      <w:r>
        <w:rPr>
          <w:rFonts w:cs="Arial"/>
          <w:lang w:val="en-US"/>
        </w:rPr>
        <w:t>-1</w:t>
      </w:r>
      <w:r w:rsidR="00A956E9">
        <w:rPr>
          <w:rFonts w:cs="Arial"/>
          <w:lang w:val="en-US"/>
        </w:rPr>
        <w:t>807769</w:t>
      </w:r>
      <w:r>
        <w:rPr>
          <w:rFonts w:cs="Arial"/>
          <w:lang w:val="en-US"/>
        </w:rPr>
        <w:t>, “</w:t>
      </w:r>
      <w:r w:rsidR="00A956E9">
        <w:rPr>
          <w:rFonts w:cs="Arial"/>
          <w:lang w:val="en-US"/>
        </w:rPr>
        <w:t>Summary of 7.7.1 Enhancements to support NR backhaul links</w:t>
      </w:r>
      <w:r>
        <w:rPr>
          <w:rFonts w:cs="Arial"/>
          <w:lang w:val="en-US"/>
        </w:rPr>
        <w:t>”</w:t>
      </w:r>
      <w:bookmarkEnd w:id="1"/>
      <w:r w:rsidR="00AB7883" w:rsidRPr="00E85AA4">
        <w:rPr>
          <w:rFonts w:cs="Arial"/>
          <w:lang w:val="en-US"/>
        </w:rPr>
        <w:t xml:space="preserve"> </w:t>
      </w:r>
      <w:bookmarkEnd w:id="2"/>
      <w:bookmarkEnd w:id="3"/>
      <w:bookmarkEnd w:id="4"/>
      <w:bookmarkEnd w:id="5"/>
    </w:p>
    <w:p w14:paraId="5E937133" w14:textId="49688E40" w:rsidR="00F40E0E" w:rsidRDefault="00723090" w:rsidP="00AB7883">
      <w:pPr>
        <w:pStyle w:val="Reference"/>
        <w:rPr>
          <w:rFonts w:cs="Arial"/>
          <w:lang w:val="en-US"/>
        </w:rPr>
      </w:pPr>
      <w:r>
        <w:rPr>
          <w:rFonts w:cs="Arial"/>
          <w:lang w:val="en-US"/>
        </w:rPr>
        <w:t>TS 38.133</w:t>
      </w:r>
    </w:p>
    <w:p w14:paraId="554F6343" w14:textId="05CA34A8" w:rsidR="00F40E0E" w:rsidRDefault="00F40E0E" w:rsidP="00F40E0E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</w:p>
    <w:p w14:paraId="4ED96C88" w14:textId="693C5C73" w:rsidR="000076C0" w:rsidRPr="00A956E9" w:rsidRDefault="000076C0" w:rsidP="006C62D4">
      <w:pPr>
        <w:pStyle w:val="Reference"/>
        <w:numPr>
          <w:ilvl w:val="0"/>
          <w:numId w:val="0"/>
        </w:numPr>
        <w:ind w:left="567"/>
        <w:rPr>
          <w:rFonts w:cs="Arial"/>
          <w:lang w:val="en-US"/>
        </w:rPr>
      </w:pPr>
    </w:p>
    <w:sectPr w:rsidR="000076C0" w:rsidRPr="00A956E9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1D1D8" w14:textId="77777777" w:rsidR="00713126" w:rsidRDefault="00713126">
      <w:r>
        <w:separator/>
      </w:r>
    </w:p>
  </w:endnote>
  <w:endnote w:type="continuationSeparator" w:id="0">
    <w:p w14:paraId="6E368566" w14:textId="77777777" w:rsidR="00713126" w:rsidRDefault="00713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141233E9" w:rsidR="00BD6737" w:rsidRDefault="00BD673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11C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11C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D9E53" w14:textId="77777777" w:rsidR="00713126" w:rsidRDefault="00713126">
      <w:r>
        <w:separator/>
      </w:r>
    </w:p>
  </w:footnote>
  <w:footnote w:type="continuationSeparator" w:id="0">
    <w:p w14:paraId="644890EF" w14:textId="77777777" w:rsidR="00713126" w:rsidRDefault="00713126">
      <w:r>
        <w:continuationSeparator/>
      </w:r>
    </w:p>
  </w:footnote>
  <w:footnote w:id="1">
    <w:p w14:paraId="7ADB2C7E" w14:textId="0C31A852" w:rsidR="00A956E9" w:rsidRPr="00E250EF" w:rsidRDefault="00A956E9" w:rsidP="00A956E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E250EF">
        <w:rPr>
          <w:lang w:val="en-US"/>
        </w:rPr>
        <w:t xml:space="preserve"> Note that this </w:t>
      </w:r>
      <w:r w:rsidR="00C51E69">
        <w:rPr>
          <w:lang w:val="en-US"/>
        </w:rPr>
        <w:t>is a specified requirement</w:t>
      </w:r>
      <w:r>
        <w:t xml:space="preserve"> only for unpaired spectrum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BD6737" w:rsidRDefault="00BD673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</w:t>
    </w:r>
    <w:proofErr w:type="spellStart"/>
    <w:r>
      <w:t>YYYY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4D7397"/>
    <w:multiLevelType w:val="hybridMultilevel"/>
    <w:tmpl w:val="C8A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617932"/>
    <w:multiLevelType w:val="hybridMultilevel"/>
    <w:tmpl w:val="8234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FB0466"/>
    <w:multiLevelType w:val="hybridMultilevel"/>
    <w:tmpl w:val="B91C1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D746F"/>
    <w:multiLevelType w:val="hybridMultilevel"/>
    <w:tmpl w:val="308006E2"/>
    <w:lvl w:ilvl="0" w:tplc="0F0698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C7A72"/>
    <w:multiLevelType w:val="hybridMultilevel"/>
    <w:tmpl w:val="4678CE60"/>
    <w:lvl w:ilvl="0" w:tplc="21BA5C5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F6100"/>
    <w:multiLevelType w:val="hybridMultilevel"/>
    <w:tmpl w:val="2E70E072"/>
    <w:lvl w:ilvl="0" w:tplc="A6ACC1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B27BC1"/>
    <w:multiLevelType w:val="hybridMultilevel"/>
    <w:tmpl w:val="AEAEB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E613D"/>
    <w:multiLevelType w:val="hybridMultilevel"/>
    <w:tmpl w:val="BB1CAD60"/>
    <w:lvl w:ilvl="0" w:tplc="A6ACC1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B90132"/>
    <w:multiLevelType w:val="hybridMultilevel"/>
    <w:tmpl w:val="597090FA"/>
    <w:lvl w:ilvl="0" w:tplc="931893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97038"/>
    <w:multiLevelType w:val="hybridMultilevel"/>
    <w:tmpl w:val="C4AEBE9A"/>
    <w:lvl w:ilvl="0" w:tplc="32DA467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5"/>
  </w:num>
  <w:num w:numId="4">
    <w:abstractNumId w:val="16"/>
  </w:num>
  <w:num w:numId="5">
    <w:abstractNumId w:val="13"/>
  </w:num>
  <w:num w:numId="6">
    <w:abstractNumId w:val="17"/>
  </w:num>
  <w:num w:numId="7">
    <w:abstractNumId w:val="22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25"/>
  </w:num>
  <w:num w:numId="16">
    <w:abstractNumId w:val="8"/>
  </w:num>
  <w:num w:numId="17">
    <w:abstractNumId w:val="21"/>
  </w:num>
  <w:num w:numId="18">
    <w:abstractNumId w:val="26"/>
  </w:num>
  <w:num w:numId="19">
    <w:abstractNumId w:val="7"/>
  </w:num>
  <w:num w:numId="20">
    <w:abstractNumId w:val="6"/>
  </w:num>
  <w:num w:numId="21">
    <w:abstractNumId w:val="19"/>
  </w:num>
  <w:num w:numId="22">
    <w:abstractNumId w:val="23"/>
  </w:num>
  <w:num w:numId="23">
    <w:abstractNumId w:val="11"/>
  </w:num>
  <w:num w:numId="24">
    <w:abstractNumId w:val="24"/>
  </w:num>
  <w:num w:numId="25">
    <w:abstractNumId w:val="10"/>
  </w:num>
  <w:num w:numId="26">
    <w:abstractNumId w:val="4"/>
  </w:num>
  <w:num w:numId="27">
    <w:abstractNumId w:val="9"/>
  </w:num>
  <w:num w:numId="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4D9"/>
    <w:rsid w:val="000039F4"/>
    <w:rsid w:val="00006446"/>
    <w:rsid w:val="00006896"/>
    <w:rsid w:val="000076C0"/>
    <w:rsid w:val="00007CDC"/>
    <w:rsid w:val="00011B28"/>
    <w:rsid w:val="00013642"/>
    <w:rsid w:val="000145D6"/>
    <w:rsid w:val="00015D15"/>
    <w:rsid w:val="00017DCE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D7B"/>
    <w:rsid w:val="00057117"/>
    <w:rsid w:val="00060391"/>
    <w:rsid w:val="000616E7"/>
    <w:rsid w:val="0006487E"/>
    <w:rsid w:val="00065E1A"/>
    <w:rsid w:val="000768B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AE0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5ABD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46DB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EC7"/>
    <w:rsid w:val="001551B5"/>
    <w:rsid w:val="00157655"/>
    <w:rsid w:val="001639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2825"/>
    <w:rsid w:val="001A6173"/>
    <w:rsid w:val="001A6CBA"/>
    <w:rsid w:val="001B0D97"/>
    <w:rsid w:val="001B5A5D"/>
    <w:rsid w:val="001C1CE5"/>
    <w:rsid w:val="001C3D2A"/>
    <w:rsid w:val="001C7876"/>
    <w:rsid w:val="001D3883"/>
    <w:rsid w:val="001D51BA"/>
    <w:rsid w:val="001D56BB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1A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595C"/>
    <w:rsid w:val="00236867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260"/>
    <w:rsid w:val="0029777D"/>
    <w:rsid w:val="002A055E"/>
    <w:rsid w:val="002A1D4E"/>
    <w:rsid w:val="002A2869"/>
    <w:rsid w:val="002A3881"/>
    <w:rsid w:val="002B24D6"/>
    <w:rsid w:val="002C11C2"/>
    <w:rsid w:val="002C41E6"/>
    <w:rsid w:val="002C5E68"/>
    <w:rsid w:val="002C6A87"/>
    <w:rsid w:val="002D071A"/>
    <w:rsid w:val="002D34B2"/>
    <w:rsid w:val="002D7637"/>
    <w:rsid w:val="002E17F2"/>
    <w:rsid w:val="002E5C05"/>
    <w:rsid w:val="002E7CAE"/>
    <w:rsid w:val="002F2771"/>
    <w:rsid w:val="002F37A9"/>
    <w:rsid w:val="002F406D"/>
    <w:rsid w:val="00301408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0DC4"/>
    <w:rsid w:val="003220D3"/>
    <w:rsid w:val="00322C9F"/>
    <w:rsid w:val="00324D23"/>
    <w:rsid w:val="00331751"/>
    <w:rsid w:val="00334579"/>
    <w:rsid w:val="00335858"/>
    <w:rsid w:val="00336BDA"/>
    <w:rsid w:val="00341F6D"/>
    <w:rsid w:val="00342BD7"/>
    <w:rsid w:val="00343A07"/>
    <w:rsid w:val="00345FE8"/>
    <w:rsid w:val="00346DB5"/>
    <w:rsid w:val="003477B1"/>
    <w:rsid w:val="003540C9"/>
    <w:rsid w:val="0035491B"/>
    <w:rsid w:val="00357380"/>
    <w:rsid w:val="003602D9"/>
    <w:rsid w:val="003604CE"/>
    <w:rsid w:val="00370E47"/>
    <w:rsid w:val="003742AC"/>
    <w:rsid w:val="00377CE1"/>
    <w:rsid w:val="00382707"/>
    <w:rsid w:val="0038349F"/>
    <w:rsid w:val="00385BF0"/>
    <w:rsid w:val="003870D2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851"/>
    <w:rsid w:val="003B7C88"/>
    <w:rsid w:val="003B7FE5"/>
    <w:rsid w:val="003C11C8"/>
    <w:rsid w:val="003C2702"/>
    <w:rsid w:val="003C50D4"/>
    <w:rsid w:val="003C7806"/>
    <w:rsid w:val="003D109F"/>
    <w:rsid w:val="003D2478"/>
    <w:rsid w:val="003D3C45"/>
    <w:rsid w:val="003D5B1F"/>
    <w:rsid w:val="003E15FA"/>
    <w:rsid w:val="003E35FB"/>
    <w:rsid w:val="003E481B"/>
    <w:rsid w:val="003E55E4"/>
    <w:rsid w:val="003E74E3"/>
    <w:rsid w:val="003F05C7"/>
    <w:rsid w:val="003F2CD4"/>
    <w:rsid w:val="003F31EE"/>
    <w:rsid w:val="003F6BBE"/>
    <w:rsid w:val="004000E8"/>
    <w:rsid w:val="00402E2B"/>
    <w:rsid w:val="00404853"/>
    <w:rsid w:val="0040512B"/>
    <w:rsid w:val="00405CA5"/>
    <w:rsid w:val="00407CD3"/>
    <w:rsid w:val="00410134"/>
    <w:rsid w:val="00410B72"/>
    <w:rsid w:val="00410F18"/>
    <w:rsid w:val="0041263E"/>
    <w:rsid w:val="0041320E"/>
    <w:rsid w:val="00413AAC"/>
    <w:rsid w:val="00420368"/>
    <w:rsid w:val="00421105"/>
    <w:rsid w:val="00421CBB"/>
    <w:rsid w:val="004242F4"/>
    <w:rsid w:val="00427248"/>
    <w:rsid w:val="00437447"/>
    <w:rsid w:val="00441A92"/>
    <w:rsid w:val="00444F56"/>
    <w:rsid w:val="00446488"/>
    <w:rsid w:val="0044722E"/>
    <w:rsid w:val="004517AA"/>
    <w:rsid w:val="00452CAC"/>
    <w:rsid w:val="00457565"/>
    <w:rsid w:val="00457B71"/>
    <w:rsid w:val="0046174F"/>
    <w:rsid w:val="004669E2"/>
    <w:rsid w:val="00470C31"/>
    <w:rsid w:val="004734D0"/>
    <w:rsid w:val="0047556B"/>
    <w:rsid w:val="00477768"/>
    <w:rsid w:val="00480FE8"/>
    <w:rsid w:val="00492BC5"/>
    <w:rsid w:val="004964F1"/>
    <w:rsid w:val="004A16BC"/>
    <w:rsid w:val="004A2B94"/>
    <w:rsid w:val="004B7C0C"/>
    <w:rsid w:val="004C10B1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00E"/>
    <w:rsid w:val="004F4DA3"/>
    <w:rsid w:val="00502DF8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08F9"/>
    <w:rsid w:val="005509AD"/>
    <w:rsid w:val="00554E19"/>
    <w:rsid w:val="0056121F"/>
    <w:rsid w:val="0056730B"/>
    <w:rsid w:val="00572505"/>
    <w:rsid w:val="005803DE"/>
    <w:rsid w:val="00582809"/>
    <w:rsid w:val="00584864"/>
    <w:rsid w:val="0058798C"/>
    <w:rsid w:val="005900FA"/>
    <w:rsid w:val="005935A4"/>
    <w:rsid w:val="005948C2"/>
    <w:rsid w:val="00594AF9"/>
    <w:rsid w:val="00595DCA"/>
    <w:rsid w:val="00596AD1"/>
    <w:rsid w:val="005975C9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08A5"/>
    <w:rsid w:val="005D1602"/>
    <w:rsid w:val="005E385F"/>
    <w:rsid w:val="005E5B81"/>
    <w:rsid w:val="005F2CB1"/>
    <w:rsid w:val="005F3025"/>
    <w:rsid w:val="005F618C"/>
    <w:rsid w:val="005F70BD"/>
    <w:rsid w:val="006000F2"/>
    <w:rsid w:val="0060283C"/>
    <w:rsid w:val="00604A24"/>
    <w:rsid w:val="00604F14"/>
    <w:rsid w:val="00611B83"/>
    <w:rsid w:val="00613257"/>
    <w:rsid w:val="00613481"/>
    <w:rsid w:val="00620A71"/>
    <w:rsid w:val="00620D80"/>
    <w:rsid w:val="006234A6"/>
    <w:rsid w:val="00626BEE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7FA"/>
    <w:rsid w:val="0064624E"/>
    <w:rsid w:val="00650AB9"/>
    <w:rsid w:val="00655733"/>
    <w:rsid w:val="00655ACD"/>
    <w:rsid w:val="006566EE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AB9"/>
    <w:rsid w:val="00671B0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4D"/>
    <w:rsid w:val="006A7AFF"/>
    <w:rsid w:val="006B056A"/>
    <w:rsid w:val="006B1816"/>
    <w:rsid w:val="006B2099"/>
    <w:rsid w:val="006B50CF"/>
    <w:rsid w:val="006B7527"/>
    <w:rsid w:val="006C03B8"/>
    <w:rsid w:val="006C5EC9"/>
    <w:rsid w:val="006C6059"/>
    <w:rsid w:val="006C62D4"/>
    <w:rsid w:val="006C7522"/>
    <w:rsid w:val="006D4337"/>
    <w:rsid w:val="006D6F08"/>
    <w:rsid w:val="006E062C"/>
    <w:rsid w:val="006E28B7"/>
    <w:rsid w:val="006E3310"/>
    <w:rsid w:val="006E4E39"/>
    <w:rsid w:val="006E565E"/>
    <w:rsid w:val="006E673D"/>
    <w:rsid w:val="006E7C96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3126"/>
    <w:rsid w:val="007148D3"/>
    <w:rsid w:val="00715B9A"/>
    <w:rsid w:val="00717B3D"/>
    <w:rsid w:val="00723090"/>
    <w:rsid w:val="007269C2"/>
    <w:rsid w:val="00726EA6"/>
    <w:rsid w:val="00727208"/>
    <w:rsid w:val="00727680"/>
    <w:rsid w:val="00727DF8"/>
    <w:rsid w:val="007348B1"/>
    <w:rsid w:val="0073589B"/>
    <w:rsid w:val="007362A6"/>
    <w:rsid w:val="00736D7D"/>
    <w:rsid w:val="00740E58"/>
    <w:rsid w:val="007445A0"/>
    <w:rsid w:val="0074524B"/>
    <w:rsid w:val="00747D8B"/>
    <w:rsid w:val="0075106C"/>
    <w:rsid w:val="00751228"/>
    <w:rsid w:val="00756BAF"/>
    <w:rsid w:val="007571E1"/>
    <w:rsid w:val="007604B2"/>
    <w:rsid w:val="00765281"/>
    <w:rsid w:val="00766BAD"/>
    <w:rsid w:val="007730BD"/>
    <w:rsid w:val="007755F2"/>
    <w:rsid w:val="00776971"/>
    <w:rsid w:val="007803B0"/>
    <w:rsid w:val="0078177E"/>
    <w:rsid w:val="0078304C"/>
    <w:rsid w:val="00783673"/>
    <w:rsid w:val="00785490"/>
    <w:rsid w:val="007925EA"/>
    <w:rsid w:val="00793CD8"/>
    <w:rsid w:val="00793E6C"/>
    <w:rsid w:val="007953CB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FB8"/>
    <w:rsid w:val="00803FAE"/>
    <w:rsid w:val="0080605F"/>
    <w:rsid w:val="00807786"/>
    <w:rsid w:val="00811FCB"/>
    <w:rsid w:val="008158D6"/>
    <w:rsid w:val="00817196"/>
    <w:rsid w:val="008235DB"/>
    <w:rsid w:val="00824AB4"/>
    <w:rsid w:val="00824F3D"/>
    <w:rsid w:val="00825C42"/>
    <w:rsid w:val="00825D25"/>
    <w:rsid w:val="00827D6F"/>
    <w:rsid w:val="008376AC"/>
    <w:rsid w:val="008444E8"/>
    <w:rsid w:val="00844E80"/>
    <w:rsid w:val="00846FE7"/>
    <w:rsid w:val="00850B38"/>
    <w:rsid w:val="00850EC5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3F1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369"/>
    <w:rsid w:val="008C2017"/>
    <w:rsid w:val="008C27B8"/>
    <w:rsid w:val="008C4958"/>
    <w:rsid w:val="008C4BAA"/>
    <w:rsid w:val="008C5F03"/>
    <w:rsid w:val="008C6AE8"/>
    <w:rsid w:val="008C73D2"/>
    <w:rsid w:val="008C7573"/>
    <w:rsid w:val="008D34F1"/>
    <w:rsid w:val="008D39D8"/>
    <w:rsid w:val="008D6D1A"/>
    <w:rsid w:val="008E065E"/>
    <w:rsid w:val="008E0927"/>
    <w:rsid w:val="008E1542"/>
    <w:rsid w:val="008E1909"/>
    <w:rsid w:val="008F1EAB"/>
    <w:rsid w:val="008F26BD"/>
    <w:rsid w:val="008F33DC"/>
    <w:rsid w:val="008F477F"/>
    <w:rsid w:val="008F4EA2"/>
    <w:rsid w:val="008F62E6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7E4C"/>
    <w:rsid w:val="00931BD9"/>
    <w:rsid w:val="009338CE"/>
    <w:rsid w:val="009368F3"/>
    <w:rsid w:val="0093751B"/>
    <w:rsid w:val="00941636"/>
    <w:rsid w:val="00943742"/>
    <w:rsid w:val="00945C05"/>
    <w:rsid w:val="00946945"/>
    <w:rsid w:val="00947713"/>
    <w:rsid w:val="009509A9"/>
    <w:rsid w:val="00950DE7"/>
    <w:rsid w:val="00953920"/>
    <w:rsid w:val="00953D47"/>
    <w:rsid w:val="00956126"/>
    <w:rsid w:val="009567C1"/>
    <w:rsid w:val="0095681E"/>
    <w:rsid w:val="009572D4"/>
    <w:rsid w:val="00961921"/>
    <w:rsid w:val="0096430A"/>
    <w:rsid w:val="0096554B"/>
    <w:rsid w:val="0096584A"/>
    <w:rsid w:val="009658F2"/>
    <w:rsid w:val="00966786"/>
    <w:rsid w:val="00971F08"/>
    <w:rsid w:val="0097603D"/>
    <w:rsid w:val="00976949"/>
    <w:rsid w:val="00977A25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BA3"/>
    <w:rsid w:val="009A354A"/>
    <w:rsid w:val="009A462D"/>
    <w:rsid w:val="009A5CBA"/>
    <w:rsid w:val="009B0DBB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0A9"/>
    <w:rsid w:val="009E068F"/>
    <w:rsid w:val="009E09F5"/>
    <w:rsid w:val="009E14E0"/>
    <w:rsid w:val="009E3487"/>
    <w:rsid w:val="009E35DB"/>
    <w:rsid w:val="009E47A3"/>
    <w:rsid w:val="009F08F3"/>
    <w:rsid w:val="009F306A"/>
    <w:rsid w:val="009F344F"/>
    <w:rsid w:val="009F44AD"/>
    <w:rsid w:val="00A02B75"/>
    <w:rsid w:val="00A048A8"/>
    <w:rsid w:val="00A04F49"/>
    <w:rsid w:val="00A13E42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80"/>
    <w:rsid w:val="00A52E1D"/>
    <w:rsid w:val="00A61499"/>
    <w:rsid w:val="00A62A77"/>
    <w:rsid w:val="00A63483"/>
    <w:rsid w:val="00A657D7"/>
    <w:rsid w:val="00A660AC"/>
    <w:rsid w:val="00A66F55"/>
    <w:rsid w:val="00A67E6C"/>
    <w:rsid w:val="00A7129F"/>
    <w:rsid w:val="00A71B99"/>
    <w:rsid w:val="00A739D0"/>
    <w:rsid w:val="00A761D4"/>
    <w:rsid w:val="00A77EC4"/>
    <w:rsid w:val="00A92879"/>
    <w:rsid w:val="00A9442A"/>
    <w:rsid w:val="00A956E9"/>
    <w:rsid w:val="00AA016F"/>
    <w:rsid w:val="00AA1ED6"/>
    <w:rsid w:val="00AA51D6"/>
    <w:rsid w:val="00AA64F2"/>
    <w:rsid w:val="00AB0BC8"/>
    <w:rsid w:val="00AB11CA"/>
    <w:rsid w:val="00AB14D9"/>
    <w:rsid w:val="00AB3F50"/>
    <w:rsid w:val="00AB4AB8"/>
    <w:rsid w:val="00AB655E"/>
    <w:rsid w:val="00AB7883"/>
    <w:rsid w:val="00AC007F"/>
    <w:rsid w:val="00AC2ECD"/>
    <w:rsid w:val="00AC3119"/>
    <w:rsid w:val="00AC49FB"/>
    <w:rsid w:val="00AC5A10"/>
    <w:rsid w:val="00AD0AA3"/>
    <w:rsid w:val="00AD3F94"/>
    <w:rsid w:val="00AD4A5A"/>
    <w:rsid w:val="00AE1366"/>
    <w:rsid w:val="00AE27AC"/>
    <w:rsid w:val="00AE3743"/>
    <w:rsid w:val="00AE40E0"/>
    <w:rsid w:val="00AE4DBA"/>
    <w:rsid w:val="00AE4F07"/>
    <w:rsid w:val="00AF1C5D"/>
    <w:rsid w:val="00AF247C"/>
    <w:rsid w:val="00AF42D7"/>
    <w:rsid w:val="00AF7F08"/>
    <w:rsid w:val="00B006FE"/>
    <w:rsid w:val="00B007CB"/>
    <w:rsid w:val="00B0298C"/>
    <w:rsid w:val="00B02AA9"/>
    <w:rsid w:val="00B02FA3"/>
    <w:rsid w:val="00B05084"/>
    <w:rsid w:val="00B157F9"/>
    <w:rsid w:val="00B1695B"/>
    <w:rsid w:val="00B16FF4"/>
    <w:rsid w:val="00B17F93"/>
    <w:rsid w:val="00B20256"/>
    <w:rsid w:val="00B20321"/>
    <w:rsid w:val="00B20D09"/>
    <w:rsid w:val="00B22D34"/>
    <w:rsid w:val="00B2763F"/>
    <w:rsid w:val="00B27AAC"/>
    <w:rsid w:val="00B30929"/>
    <w:rsid w:val="00B372AA"/>
    <w:rsid w:val="00B40445"/>
    <w:rsid w:val="00B41888"/>
    <w:rsid w:val="00B45A52"/>
    <w:rsid w:val="00B46175"/>
    <w:rsid w:val="00B53999"/>
    <w:rsid w:val="00B60C2D"/>
    <w:rsid w:val="00B6188F"/>
    <w:rsid w:val="00B664C7"/>
    <w:rsid w:val="00B66A39"/>
    <w:rsid w:val="00B739F6"/>
    <w:rsid w:val="00B7644F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C94"/>
    <w:rsid w:val="00BB2479"/>
    <w:rsid w:val="00BB2A25"/>
    <w:rsid w:val="00BB51E9"/>
    <w:rsid w:val="00BC0FDC"/>
    <w:rsid w:val="00BC1744"/>
    <w:rsid w:val="00BC3053"/>
    <w:rsid w:val="00BC4D2E"/>
    <w:rsid w:val="00BD1738"/>
    <w:rsid w:val="00BD227E"/>
    <w:rsid w:val="00BD48AC"/>
    <w:rsid w:val="00BD5F1A"/>
    <w:rsid w:val="00BD6737"/>
    <w:rsid w:val="00BE1234"/>
    <w:rsid w:val="00BE2405"/>
    <w:rsid w:val="00BE2FA6"/>
    <w:rsid w:val="00BE333F"/>
    <w:rsid w:val="00BE6191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BBF"/>
    <w:rsid w:val="00C24345"/>
    <w:rsid w:val="00C279B5"/>
    <w:rsid w:val="00C27C45"/>
    <w:rsid w:val="00C34E7D"/>
    <w:rsid w:val="00C3719D"/>
    <w:rsid w:val="00C432CC"/>
    <w:rsid w:val="00C51C31"/>
    <w:rsid w:val="00C51E69"/>
    <w:rsid w:val="00C54995"/>
    <w:rsid w:val="00C54D41"/>
    <w:rsid w:val="00C60783"/>
    <w:rsid w:val="00C63B99"/>
    <w:rsid w:val="00C64672"/>
    <w:rsid w:val="00C70697"/>
    <w:rsid w:val="00C72EF4"/>
    <w:rsid w:val="00C75D2F"/>
    <w:rsid w:val="00C767BE"/>
    <w:rsid w:val="00C76E3C"/>
    <w:rsid w:val="00C81568"/>
    <w:rsid w:val="00C87498"/>
    <w:rsid w:val="00C9027A"/>
    <w:rsid w:val="00C9068E"/>
    <w:rsid w:val="00C93C4B"/>
    <w:rsid w:val="00C944AB"/>
    <w:rsid w:val="00C95B40"/>
    <w:rsid w:val="00CA1ED8"/>
    <w:rsid w:val="00CB1F63"/>
    <w:rsid w:val="00CB4865"/>
    <w:rsid w:val="00CB7170"/>
    <w:rsid w:val="00CC040E"/>
    <w:rsid w:val="00CC111F"/>
    <w:rsid w:val="00CC2011"/>
    <w:rsid w:val="00CC2AF0"/>
    <w:rsid w:val="00CC3EA0"/>
    <w:rsid w:val="00CC7B45"/>
    <w:rsid w:val="00CD1188"/>
    <w:rsid w:val="00CD2ED1"/>
    <w:rsid w:val="00CD337B"/>
    <w:rsid w:val="00CE0424"/>
    <w:rsid w:val="00CE7561"/>
    <w:rsid w:val="00CF1354"/>
    <w:rsid w:val="00CF17C8"/>
    <w:rsid w:val="00CF237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A97"/>
    <w:rsid w:val="00D40B33"/>
    <w:rsid w:val="00D4318F"/>
    <w:rsid w:val="00D438BF"/>
    <w:rsid w:val="00D440F8"/>
    <w:rsid w:val="00D47284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5D01"/>
    <w:rsid w:val="00D86CA3"/>
    <w:rsid w:val="00D871CE"/>
    <w:rsid w:val="00D87E3D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25A0"/>
    <w:rsid w:val="00DE1D3B"/>
    <w:rsid w:val="00DE23B3"/>
    <w:rsid w:val="00DE3076"/>
    <w:rsid w:val="00DE5608"/>
    <w:rsid w:val="00DE58D0"/>
    <w:rsid w:val="00DE654F"/>
    <w:rsid w:val="00DE699F"/>
    <w:rsid w:val="00DF0B6E"/>
    <w:rsid w:val="00DF15E0"/>
    <w:rsid w:val="00DF37A0"/>
    <w:rsid w:val="00E0774D"/>
    <w:rsid w:val="00E10C76"/>
    <w:rsid w:val="00E110E7"/>
    <w:rsid w:val="00E114DD"/>
    <w:rsid w:val="00E118FD"/>
    <w:rsid w:val="00E11B20"/>
    <w:rsid w:val="00E17CEB"/>
    <w:rsid w:val="00E17FA2"/>
    <w:rsid w:val="00E22330"/>
    <w:rsid w:val="00E2424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1B2"/>
    <w:rsid w:val="00E43549"/>
    <w:rsid w:val="00E446F1"/>
    <w:rsid w:val="00E46886"/>
    <w:rsid w:val="00E47AEF"/>
    <w:rsid w:val="00E505AB"/>
    <w:rsid w:val="00E51D4C"/>
    <w:rsid w:val="00E53B75"/>
    <w:rsid w:val="00E54E3B"/>
    <w:rsid w:val="00E55E1E"/>
    <w:rsid w:val="00E57565"/>
    <w:rsid w:val="00E63838"/>
    <w:rsid w:val="00E64434"/>
    <w:rsid w:val="00E67C51"/>
    <w:rsid w:val="00E719D6"/>
    <w:rsid w:val="00E72EFC"/>
    <w:rsid w:val="00E758EC"/>
    <w:rsid w:val="00E8234C"/>
    <w:rsid w:val="00E83AA9"/>
    <w:rsid w:val="00E84600"/>
    <w:rsid w:val="00E85928"/>
    <w:rsid w:val="00E87822"/>
    <w:rsid w:val="00E90395"/>
    <w:rsid w:val="00E90E49"/>
    <w:rsid w:val="00E917F9"/>
    <w:rsid w:val="00E9291C"/>
    <w:rsid w:val="00E93FFE"/>
    <w:rsid w:val="00E94F8A"/>
    <w:rsid w:val="00E97301"/>
    <w:rsid w:val="00EA0ABF"/>
    <w:rsid w:val="00EA0F21"/>
    <w:rsid w:val="00EA7A41"/>
    <w:rsid w:val="00EB077B"/>
    <w:rsid w:val="00EB3B9A"/>
    <w:rsid w:val="00EB4EA2"/>
    <w:rsid w:val="00EB7F30"/>
    <w:rsid w:val="00EC27C6"/>
    <w:rsid w:val="00EC4207"/>
    <w:rsid w:val="00EC5653"/>
    <w:rsid w:val="00EC71CE"/>
    <w:rsid w:val="00ED1006"/>
    <w:rsid w:val="00ED7156"/>
    <w:rsid w:val="00ED7D9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803"/>
    <w:rsid w:val="00F15FA5"/>
    <w:rsid w:val="00F209B7"/>
    <w:rsid w:val="00F2376F"/>
    <w:rsid w:val="00F243D8"/>
    <w:rsid w:val="00F30828"/>
    <w:rsid w:val="00F313D6"/>
    <w:rsid w:val="00F336C4"/>
    <w:rsid w:val="00F35987"/>
    <w:rsid w:val="00F40E0E"/>
    <w:rsid w:val="00F40F0C"/>
    <w:rsid w:val="00F4766C"/>
    <w:rsid w:val="00F4799F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91B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C32"/>
    <w:rsid w:val="00F92782"/>
    <w:rsid w:val="00F93AA9"/>
    <w:rsid w:val="00F96985"/>
    <w:rsid w:val="00F96AEC"/>
    <w:rsid w:val="00F9741F"/>
    <w:rsid w:val="00F97838"/>
    <w:rsid w:val="00FA2BB3"/>
    <w:rsid w:val="00FB0E57"/>
    <w:rsid w:val="00FB4C80"/>
    <w:rsid w:val="00FB5EC9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160"/>
    <w:rsid w:val="00FE4C7B"/>
    <w:rsid w:val="00FE653B"/>
    <w:rsid w:val="00FE7336"/>
    <w:rsid w:val="00FE787C"/>
    <w:rsid w:val="00FF22D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4A57D"/>
  <w15:chartTrackingRefBased/>
  <w15:docId w15:val="{83EF2F57-0383-4431-9F87-710174AA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00F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000F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000F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000F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000F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000F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000F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000F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000F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000F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00F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000F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000F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000F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000F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000F2"/>
    <w:pPr>
      <w:ind w:left="1418" w:hanging="1418"/>
    </w:pPr>
  </w:style>
  <w:style w:type="paragraph" w:styleId="TOC3">
    <w:name w:val="toc 3"/>
    <w:basedOn w:val="TOC2"/>
    <w:semiHidden/>
    <w:rsid w:val="006000F2"/>
    <w:pPr>
      <w:ind w:left="1134" w:hanging="1134"/>
    </w:pPr>
  </w:style>
  <w:style w:type="paragraph" w:styleId="TOC2">
    <w:name w:val="toc 2"/>
    <w:basedOn w:val="TOC1"/>
    <w:semiHidden/>
    <w:rsid w:val="006000F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000F2"/>
    <w:pPr>
      <w:ind w:left="284"/>
    </w:pPr>
  </w:style>
  <w:style w:type="paragraph" w:styleId="Index1">
    <w:name w:val="index 1"/>
    <w:basedOn w:val="Normal"/>
    <w:semiHidden/>
    <w:rsid w:val="006000F2"/>
    <w:pPr>
      <w:keepLines/>
      <w:spacing w:after="0"/>
    </w:pPr>
  </w:style>
  <w:style w:type="paragraph" w:styleId="DocumentMap">
    <w:name w:val="Document Map"/>
    <w:basedOn w:val="Normal"/>
    <w:semiHidden/>
    <w:rsid w:val="006000F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000F2"/>
    <w:pPr>
      <w:ind w:left="851"/>
    </w:pPr>
  </w:style>
  <w:style w:type="paragraph" w:styleId="ListNumber">
    <w:name w:val="List Number"/>
    <w:basedOn w:val="List"/>
    <w:rsid w:val="006000F2"/>
  </w:style>
  <w:style w:type="paragraph" w:styleId="List">
    <w:name w:val="List"/>
    <w:basedOn w:val="Normal"/>
    <w:rsid w:val="006000F2"/>
    <w:pPr>
      <w:ind w:left="568" w:hanging="284"/>
    </w:pPr>
  </w:style>
  <w:style w:type="paragraph" w:styleId="Header">
    <w:name w:val="header"/>
    <w:rsid w:val="006000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semiHidden/>
    <w:rsid w:val="006000F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6000F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000F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000F2"/>
    <w:pPr>
      <w:ind w:left="1418" w:hanging="1418"/>
    </w:pPr>
  </w:style>
  <w:style w:type="paragraph" w:styleId="TOC6">
    <w:name w:val="toc 6"/>
    <w:basedOn w:val="TOC5"/>
    <w:next w:val="Normal"/>
    <w:semiHidden/>
    <w:rsid w:val="006000F2"/>
    <w:pPr>
      <w:ind w:left="1985" w:hanging="1985"/>
    </w:pPr>
  </w:style>
  <w:style w:type="paragraph" w:styleId="TOC7">
    <w:name w:val="toc 7"/>
    <w:basedOn w:val="TOC6"/>
    <w:next w:val="Normal"/>
    <w:semiHidden/>
    <w:rsid w:val="006000F2"/>
    <w:pPr>
      <w:ind w:left="2268" w:hanging="2268"/>
    </w:pPr>
  </w:style>
  <w:style w:type="paragraph" w:styleId="ListBullet2">
    <w:name w:val="List Bullet 2"/>
    <w:basedOn w:val="ListBullet"/>
    <w:rsid w:val="006000F2"/>
    <w:pPr>
      <w:numPr>
        <w:numId w:val="6"/>
      </w:numPr>
    </w:pPr>
  </w:style>
  <w:style w:type="paragraph" w:styleId="ListBullet">
    <w:name w:val="List Bullet"/>
    <w:basedOn w:val="BodyText"/>
    <w:rsid w:val="006000F2"/>
    <w:pPr>
      <w:numPr>
        <w:numId w:val="5"/>
      </w:numPr>
    </w:pPr>
  </w:style>
  <w:style w:type="paragraph" w:styleId="ListBullet3">
    <w:name w:val="List Bullet 3"/>
    <w:basedOn w:val="ListBullet2"/>
    <w:rsid w:val="006000F2"/>
    <w:pPr>
      <w:numPr>
        <w:numId w:val="7"/>
      </w:numPr>
    </w:pPr>
  </w:style>
  <w:style w:type="paragraph" w:customStyle="1" w:styleId="EQ">
    <w:name w:val="EQ"/>
    <w:basedOn w:val="Normal"/>
    <w:next w:val="Normal"/>
    <w:rsid w:val="006000F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000F2"/>
    <w:pPr>
      <w:ind w:left="851"/>
    </w:pPr>
  </w:style>
  <w:style w:type="paragraph" w:styleId="List3">
    <w:name w:val="List 3"/>
    <w:basedOn w:val="List2"/>
    <w:rsid w:val="006000F2"/>
    <w:pPr>
      <w:ind w:left="1135"/>
    </w:pPr>
  </w:style>
  <w:style w:type="paragraph" w:styleId="List4">
    <w:name w:val="List 4"/>
    <w:basedOn w:val="List3"/>
    <w:rsid w:val="006000F2"/>
    <w:pPr>
      <w:ind w:left="1418"/>
    </w:pPr>
  </w:style>
  <w:style w:type="paragraph" w:styleId="List5">
    <w:name w:val="List 5"/>
    <w:basedOn w:val="List4"/>
    <w:rsid w:val="006000F2"/>
    <w:pPr>
      <w:ind w:left="1702"/>
    </w:pPr>
  </w:style>
  <w:style w:type="paragraph" w:customStyle="1" w:styleId="EditorsNote">
    <w:name w:val="Editor's Note"/>
    <w:basedOn w:val="Normal"/>
    <w:rsid w:val="006000F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000F2"/>
    <w:pPr>
      <w:numPr>
        <w:numId w:val="8"/>
      </w:numPr>
    </w:pPr>
  </w:style>
  <w:style w:type="paragraph" w:styleId="ListBullet5">
    <w:name w:val="List Bullet 5"/>
    <w:basedOn w:val="ListBullet4"/>
    <w:rsid w:val="006000F2"/>
    <w:pPr>
      <w:numPr>
        <w:numId w:val="4"/>
      </w:numPr>
    </w:pPr>
  </w:style>
  <w:style w:type="paragraph" w:styleId="Footer">
    <w:name w:val="footer"/>
    <w:basedOn w:val="Header"/>
    <w:semiHidden/>
    <w:rsid w:val="006000F2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6000F2"/>
    <w:pPr>
      <w:numPr>
        <w:numId w:val="2"/>
      </w:numPr>
    </w:pPr>
  </w:style>
  <w:style w:type="paragraph" w:styleId="BalloonText">
    <w:name w:val="Balloon Text"/>
    <w:basedOn w:val="Normal"/>
    <w:semiHidden/>
    <w:rsid w:val="006000F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000F2"/>
  </w:style>
  <w:style w:type="paragraph" w:styleId="BodyText">
    <w:name w:val="Body Text"/>
    <w:basedOn w:val="Normal"/>
    <w:link w:val="BodyTextChar"/>
    <w:rsid w:val="006000F2"/>
  </w:style>
  <w:style w:type="character" w:styleId="Hyperlink">
    <w:name w:val="Hyperlink"/>
    <w:uiPriority w:val="99"/>
    <w:rsid w:val="006000F2"/>
    <w:rPr>
      <w:color w:val="0000FF"/>
      <w:u w:val="single"/>
      <w:lang w:val="en-GB"/>
    </w:rPr>
  </w:style>
  <w:style w:type="character" w:styleId="FollowedHyperlink">
    <w:name w:val="FollowedHyperlink"/>
    <w:semiHidden/>
    <w:rsid w:val="006000F2"/>
    <w:rPr>
      <w:color w:val="FF0000"/>
      <w:u w:val="single"/>
    </w:rPr>
  </w:style>
  <w:style w:type="character" w:styleId="CommentReference">
    <w:name w:val="annotation reference"/>
    <w:semiHidden/>
    <w:rsid w:val="006000F2"/>
    <w:rPr>
      <w:sz w:val="16"/>
      <w:szCs w:val="16"/>
    </w:rPr>
  </w:style>
  <w:style w:type="paragraph" w:styleId="CommentText">
    <w:name w:val="annotation text"/>
    <w:basedOn w:val="Normal"/>
    <w:semiHidden/>
    <w:rsid w:val="006000F2"/>
  </w:style>
  <w:style w:type="paragraph" w:styleId="CommentSubject">
    <w:name w:val="annotation subject"/>
    <w:basedOn w:val="CommentText"/>
    <w:next w:val="CommentText"/>
    <w:semiHidden/>
    <w:rsid w:val="006000F2"/>
    <w:rPr>
      <w:b/>
      <w:bCs/>
    </w:rPr>
  </w:style>
  <w:style w:type="character" w:customStyle="1" w:styleId="Heading1Char">
    <w:name w:val="Heading 1 Char"/>
    <w:link w:val="Heading1"/>
    <w:rsid w:val="006000F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000F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000F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000F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000F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000F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000F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000F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000F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000F2"/>
    <w:pPr>
      <w:spacing w:after="0"/>
    </w:pPr>
  </w:style>
  <w:style w:type="paragraph" w:customStyle="1" w:styleId="TAL">
    <w:name w:val="TAL"/>
    <w:basedOn w:val="Normal"/>
    <w:rsid w:val="006000F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000F2"/>
    <w:pPr>
      <w:jc w:val="center"/>
    </w:pPr>
  </w:style>
  <w:style w:type="paragraph" w:customStyle="1" w:styleId="TAH">
    <w:name w:val="TAH"/>
    <w:basedOn w:val="TAC"/>
    <w:rsid w:val="006000F2"/>
    <w:rPr>
      <w:b/>
    </w:rPr>
  </w:style>
  <w:style w:type="paragraph" w:customStyle="1" w:styleId="TAN">
    <w:name w:val="TAN"/>
    <w:basedOn w:val="TAL"/>
    <w:rsid w:val="006000F2"/>
    <w:pPr>
      <w:ind w:left="851" w:hanging="851"/>
    </w:pPr>
  </w:style>
  <w:style w:type="paragraph" w:customStyle="1" w:styleId="TAR">
    <w:name w:val="TAR"/>
    <w:basedOn w:val="TAL"/>
    <w:rsid w:val="006000F2"/>
    <w:pPr>
      <w:jc w:val="right"/>
    </w:pPr>
  </w:style>
  <w:style w:type="paragraph" w:customStyle="1" w:styleId="TH">
    <w:name w:val="TH"/>
    <w:basedOn w:val="Normal"/>
    <w:rsid w:val="006000F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000F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000F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000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00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00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000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000F2"/>
  </w:style>
  <w:style w:type="paragraph" w:customStyle="1" w:styleId="ZH">
    <w:name w:val="ZH"/>
    <w:rsid w:val="006000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000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000F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000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00F2"/>
    <w:pPr>
      <w:framePr w:wrap="notBeside" w:y="16161"/>
    </w:pPr>
  </w:style>
  <w:style w:type="paragraph" w:customStyle="1" w:styleId="FP">
    <w:name w:val="FP"/>
    <w:basedOn w:val="Normal"/>
    <w:rsid w:val="006000F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000F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000F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000F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000F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3B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Doc-titleChar">
    <w:name w:val="Doc-title Char"/>
    <w:link w:val="Doc-title"/>
    <w:locked/>
    <w:rsid w:val="00584864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584864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val="en-US" w:eastAsia="en-US"/>
    </w:rPr>
  </w:style>
  <w:style w:type="table" w:styleId="TableGrid">
    <w:name w:val="Table Grid"/>
    <w:basedOn w:val="TableNormal"/>
    <w:rsid w:val="0006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AB7883"/>
    <w:rPr>
      <w:rFonts w:ascii="Arial" w:hAnsi="Arial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56E9"/>
    <w:rPr>
      <w:rFonts w:ascii="Arial" w:hAnsi="Arial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8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5NUHHDQN7SK2-1476151046-15259</_dlc_DocId>
    <_dlc_DocIdUrl xmlns="f166a696-7b5b-4ccd-9f0c-ffde0cceec81">
      <Url>https://ericsson.sharepoint.com/sites/star/_layouts/15/DocIdRedir.aspx?ID=5NUHHDQN7SK2-1476151046-15259</Url>
      <Description>5NUHHDQN7SK2-1476151046-15259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72519B7-C8CD-452D-B4D0-74B82EA6F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245E4FA-1756-4AAC-A1FF-2754701A2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27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Ericsson</vt:lpstr>
      <vt:lpstr>Introduction and discussion</vt:lpstr>
      <vt:lpstr>Proposal</vt:lpstr>
      <vt:lpstr>References</vt:lpstr>
    </vt:vector>
  </TitlesOfParts>
  <Company>Ericsson</Company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dc:description/>
  <cp:lastModifiedBy>Erik Dahlman</cp:lastModifiedBy>
  <cp:revision>4</cp:revision>
  <cp:lastPrinted>2018-08-10T12:22:00Z</cp:lastPrinted>
  <dcterms:created xsi:type="dcterms:W3CDTF">2018-08-10T11:07:00Z</dcterms:created>
  <dcterms:modified xsi:type="dcterms:W3CDTF">2018-08-10T21:06:00Z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be1d3b10-542c-4bd9-95ae-a7b039638023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