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29A19049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180</w:t>
      </w:r>
      <w:r w:rsidR="00B67CFD">
        <w:rPr>
          <w:rFonts w:ascii="Arial" w:hAnsi="Arial" w:cs="Arial"/>
          <w:b/>
          <w:sz w:val="24"/>
          <w:szCs w:val="24"/>
        </w:rPr>
        <w:t>9034</w:t>
      </w:r>
    </w:p>
    <w:p w14:paraId="7B06AEC4" w14:textId="7919C774" w:rsidR="007F637A" w:rsidRDefault="007F637A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D3FE3">
        <w:rPr>
          <w:rFonts w:ascii="Arial" w:hAnsi="Arial" w:cs="Arial"/>
          <w:b/>
          <w:sz w:val="24"/>
          <w:szCs w:val="24"/>
        </w:rPr>
        <w:t>0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2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D3FE3">
        <w:rPr>
          <w:rFonts w:ascii="Arial" w:hAnsi="Arial" w:cs="Arial"/>
          <w:b/>
          <w:sz w:val="24"/>
          <w:szCs w:val="24"/>
        </w:rPr>
        <w:t>August</w:t>
      </w:r>
      <w:r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49FC6D" w:rsidR="007F637A" w:rsidRPr="00FD021C" w:rsidRDefault="00AD3FE3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D3FE3">
        <w:rPr>
          <w:rFonts w:ascii="Arial" w:hAnsi="Arial"/>
          <w:b/>
          <w:sz w:val="24"/>
          <w:lang w:eastAsia="zh-CN"/>
        </w:rPr>
        <w:t>Gothenburg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 w:rsidRPr="00AD3FE3">
        <w:rPr>
          <w:rFonts w:ascii="Arial" w:hAnsi="Arial"/>
          <w:b/>
          <w:sz w:val="24"/>
          <w:lang w:eastAsia="zh-CN"/>
        </w:rPr>
        <w:t>Sweden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4CCA473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A21323">
        <w:rPr>
          <w:sz w:val="22"/>
          <w:szCs w:val="22"/>
          <w:lang w:val="sv-FI"/>
        </w:rPr>
        <w:t>2.4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46CE164A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FA0631" w:rsidRPr="00FA0631">
        <w:rPr>
          <w:sz w:val="22"/>
          <w:szCs w:val="22"/>
        </w:rPr>
        <w:t>Coexistence of NB-IoT with NR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2CB4F5" w14:textId="5BC134CA" w:rsidR="004B621A" w:rsidRPr="00FA0631" w:rsidRDefault="00FA0631" w:rsidP="00FA063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RAN#80 meeting, a new WID of </w:t>
      </w:r>
      <w:r w:rsidRPr="00FA0631">
        <w:rPr>
          <w:rFonts w:eastAsia="Batang"/>
          <w:i/>
          <w:snapToGrid w:val="0"/>
          <w:kern w:val="2"/>
          <w:sz w:val="22"/>
          <w:szCs w:val="22"/>
          <w:lang w:eastAsia="ko-KR"/>
        </w:rPr>
        <w:t>Rel-16 enhancements for NB-IoT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[1] was approved with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objective to study the coexistence of NB-IoT with NR. </w:t>
      </w:r>
    </w:p>
    <w:p w14:paraId="55C5A0E6" w14:textId="77777777" w:rsidR="00FA0631" w:rsidRPr="00FA0631" w:rsidRDefault="00FA0631" w:rsidP="00FA0631">
      <w:pPr>
        <w:spacing w:after="0"/>
        <w:rPr>
          <w:rFonts w:eastAsia="宋体"/>
          <w:b/>
          <w:bCs/>
          <w:u w:val="single"/>
          <w:lang w:eastAsia="en-US"/>
        </w:rPr>
      </w:pPr>
    </w:p>
    <w:p w14:paraId="19BA7D16" w14:textId="77777777" w:rsidR="00FA0631" w:rsidRPr="00FA0631" w:rsidRDefault="00FA0631" w:rsidP="00FA0631">
      <w:pPr>
        <w:spacing w:after="120"/>
        <w:rPr>
          <w:rFonts w:eastAsia="宋体"/>
          <w:b/>
          <w:bCs/>
          <w:u w:val="single"/>
          <w:lang w:val="en-US" w:eastAsia="en-US"/>
        </w:rPr>
      </w:pPr>
      <w:bookmarkStart w:id="1" w:name="_Hlk516692042"/>
      <w:r w:rsidRPr="00FA0631">
        <w:rPr>
          <w:rFonts w:eastAsia="宋体"/>
          <w:b/>
          <w:bCs/>
          <w:u w:val="single"/>
          <w:lang w:val="en-US" w:eastAsia="en-US"/>
        </w:rPr>
        <w:t>Coexistence with NR</w:t>
      </w:r>
    </w:p>
    <w:p w14:paraId="225D6D31" w14:textId="77777777" w:rsidR="00FA0631" w:rsidRPr="00FA0631" w:rsidRDefault="00FA0631" w:rsidP="00FA0631">
      <w:pPr>
        <w:numPr>
          <w:ilvl w:val="0"/>
          <w:numId w:val="33"/>
        </w:numPr>
        <w:spacing w:after="0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Study NR and LTE specifications to identify </w:t>
      </w:r>
      <w:bookmarkStart w:id="2" w:name="_Hlk516784255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possible issues related to coexistence of </w:t>
      </w:r>
      <w:bookmarkEnd w:id="2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NB-IoT with NR [RAN4, RAN1, RAN2]</w:t>
      </w:r>
    </w:p>
    <w:bookmarkEnd w:id="1"/>
    <w:p w14:paraId="31060371" w14:textId="5B5C4180" w:rsidR="00C77218" w:rsidRPr="00FA0631" w:rsidRDefault="00C77218" w:rsidP="00B509B4">
      <w:pPr>
        <w:pStyle w:val="ListNumber"/>
        <w:numPr>
          <w:ilvl w:val="0"/>
          <w:numId w:val="0"/>
        </w:numPr>
      </w:pPr>
    </w:p>
    <w:p w14:paraId="2262A0BE" w14:textId="0D94A633" w:rsidR="00FA0631" w:rsidRPr="00FA0631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3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will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provide our views on how NB-IoT can be supported </w:t>
      </w:r>
      <w:proofErr w:type="spellStart"/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within a NR carrier and discuss the 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facilitating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close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coexistence with NR. </w:t>
      </w:r>
    </w:p>
    <w:p w14:paraId="6085A115" w14:textId="12DA86FC" w:rsidR="004000E8" w:rsidRDefault="00230D18" w:rsidP="00CE0424">
      <w:pPr>
        <w:pStyle w:val="Heading1"/>
      </w:pPr>
      <w:r>
        <w:t>2</w:t>
      </w:r>
      <w:r>
        <w:tab/>
      </w:r>
      <w:bookmarkEnd w:id="3"/>
      <w:r w:rsidR="00FA0631">
        <w:t>Discussion</w:t>
      </w:r>
    </w:p>
    <w:p w14:paraId="3FF8981C" w14:textId="4DB0392F" w:rsidR="00CA03EB" w:rsidRDefault="00CA03E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An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important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>requirement</w:t>
      </w:r>
      <w:r w:rsidR="00192251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for NR is to ensure good </w:t>
      </w:r>
      <w:r w:rsid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co-existence with LTE since NR and </w:t>
      </w:r>
      <w:r w:rsidR="00192251"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may be deployed with frequency-overlapping carriers as well as frequency adjacent non-overlapping carriers.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It is noted that LTE shall include also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NB-IoT. As agreed in RAN#79,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the LP</w:t>
      </w:r>
      <w:r w:rsidR="00083055">
        <w:rPr>
          <w:rFonts w:eastAsia="Batang"/>
          <w:snapToGrid w:val="0"/>
          <w:kern w:val="2"/>
          <w:sz w:val="22"/>
          <w:szCs w:val="22"/>
          <w:lang w:eastAsia="ko-KR"/>
        </w:rPr>
        <w:t>W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>A user case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2D411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continue to be addressed by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NB-IoT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 xml:space="preserve"> to allow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 smooth migration path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/NB-IoT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by joint deployment with NR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This would allow the operator </w:t>
      </w:r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to update the existing </w:t>
      </w:r>
      <w:proofErr w:type="spellStart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192251">
        <w:rPr>
          <w:rFonts w:eastAsia="Batang"/>
          <w:snapToGrid w:val="0"/>
          <w:kern w:val="2"/>
          <w:sz w:val="22"/>
          <w:szCs w:val="22"/>
          <w:lang w:eastAsia="ko-KR"/>
        </w:rPr>
        <w:t>/NB-IoT enabled network to NR while continuing serving the deployed Io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>T devices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p w14:paraId="5A16659F" w14:textId="6643021F" w:rsidR="00CA03EB" w:rsidRDefault="00CA03E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6029A96" w14:textId="7C8E96B0" w:rsidR="00083055" w:rsidRPr="00083055" w:rsidRDefault="00083055" w:rsidP="0008305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Another scenario for consideration is multiple operator networks deployed on the same band.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>To avoid cross-link interference the networks from different operators shall be synchronized using the same TDD UL/DL configurations. If one operator is upgrad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 LTE network to NR, typically a guard band is needed to provide sufficient frequency separation between LTE and NR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considering potentially different TDD UL/DL configurations used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NR.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However, t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he guard band will cause inefficient spectrum utilization. If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NB-IoT TDD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is deployed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on the reserved guard band, the coexistence design of NB-IoT TDD with NR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could allow to utilize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guard band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resources for NB-IoT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while at the same time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>provid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 sufficient protection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 xml:space="preserve">adjacent LTE network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of another operator</w:t>
      </w:r>
      <w:r w:rsidRPr="00083055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CF1443C" w14:textId="77777777" w:rsidR="00083055" w:rsidRPr="00083055" w:rsidRDefault="00083055" w:rsidP="00083055">
      <w:pPr>
        <w:spacing w:after="120"/>
        <w:contextualSpacing/>
        <w:rPr>
          <w:snapToGrid w:val="0"/>
          <w:sz w:val="22"/>
          <w:szCs w:val="22"/>
        </w:rPr>
      </w:pPr>
    </w:p>
    <w:p w14:paraId="5ED3802C" w14:textId="37A39B87" w:rsidR="00083055" w:rsidRDefault="00083055" w:rsidP="00083055">
      <w:pPr>
        <w:spacing w:after="0"/>
        <w:contextualSpacing/>
        <w:jc w:val="center"/>
        <w:rPr>
          <w:snapToGrid w:val="0"/>
          <w:sz w:val="22"/>
          <w:szCs w:val="22"/>
          <w:lang w:eastAsia="zh-CN"/>
        </w:rPr>
      </w:pPr>
      <w:r w:rsidRPr="00697A4E">
        <w:rPr>
          <w:rFonts w:hint="eastAsia"/>
          <w:noProof/>
        </w:rPr>
        <w:lastRenderedPageBreak/>
        <w:drawing>
          <wp:inline distT="0" distB="0" distL="0" distR="0" wp14:anchorId="6D8C3D95" wp14:editId="2BDC5121">
            <wp:extent cx="3467100" cy="16222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62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0C793" w14:textId="48E81994" w:rsidR="00083055" w:rsidRPr="00697A4E" w:rsidRDefault="00083055" w:rsidP="00083055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>Figure 1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NB-IoT coexistence with NR for LTE and NR on the same band</w:t>
      </w:r>
    </w:p>
    <w:p w14:paraId="03807ACE" w14:textId="22861D8A" w:rsidR="00313E12" w:rsidRPr="0068319D" w:rsidRDefault="00313E12" w:rsidP="00313E1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="00D676AC">
        <w:rPr>
          <w:sz w:val="22"/>
          <w:szCs w:val="22"/>
        </w:rPr>
        <w:t xml:space="preserve">efficient coexistence between NR and </w:t>
      </w:r>
      <w:proofErr w:type="spellStart"/>
      <w:r w:rsidR="00D676AC">
        <w:rPr>
          <w:sz w:val="22"/>
          <w:szCs w:val="22"/>
        </w:rPr>
        <w:t>eMTC</w:t>
      </w:r>
      <w:proofErr w:type="spellEnd"/>
      <w:r w:rsidR="00D676AC">
        <w:rPr>
          <w:sz w:val="22"/>
          <w:szCs w:val="22"/>
        </w:rPr>
        <w:t xml:space="preserve">/NB-IoT </w:t>
      </w:r>
      <w:r w:rsidR="001D6CFA">
        <w:rPr>
          <w:sz w:val="22"/>
          <w:szCs w:val="22"/>
        </w:rPr>
        <w:t xml:space="preserve">is required for </w:t>
      </w:r>
      <w:r w:rsidR="00D676AC">
        <w:rPr>
          <w:sz w:val="22"/>
          <w:szCs w:val="22"/>
        </w:rPr>
        <w:t>support</w:t>
      </w:r>
      <w:r w:rsidR="001D6CFA">
        <w:rPr>
          <w:sz w:val="22"/>
          <w:szCs w:val="22"/>
        </w:rPr>
        <w:t>ing</w:t>
      </w:r>
      <w:r w:rsidR="00D676AC">
        <w:rPr>
          <w:sz w:val="22"/>
          <w:szCs w:val="22"/>
        </w:rPr>
        <w:t xml:space="preserve"> </w:t>
      </w:r>
      <w:r w:rsidR="001D6CFA">
        <w:rPr>
          <w:kern w:val="2"/>
          <w:sz w:val="22"/>
          <w:szCs w:val="22"/>
        </w:rPr>
        <w:t>flexible spectrum utilization and facilitating smooth network migration to NR</w:t>
      </w:r>
      <w:r>
        <w:rPr>
          <w:sz w:val="22"/>
          <w:szCs w:val="22"/>
        </w:rPr>
        <w:t xml:space="preserve">. </w:t>
      </w:r>
    </w:p>
    <w:p w14:paraId="3EB0387D" w14:textId="358C899A" w:rsidR="00AE60EC" w:rsidRDefault="00AE60EC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or </w:t>
      </w:r>
      <w:proofErr w:type="spellStart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deployment</w:t>
      </w:r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of </w:t>
      </w:r>
      <w:proofErr w:type="spellStart"/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Pr="00FA761F">
        <w:rPr>
          <w:rFonts w:eastAsia="Batang"/>
          <w:snapToGrid w:val="0"/>
          <w:kern w:val="2"/>
          <w:sz w:val="22"/>
          <w:szCs w:val="22"/>
          <w:lang w:eastAsia="ko-KR"/>
        </w:rPr>
        <w:t>/</w:t>
      </w:r>
      <w:r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NR, b</w:t>
      </w:r>
      <w:r w:rsidR="00530FD5" w:rsidRPr="00FA761F">
        <w:rPr>
          <w:rFonts w:eastAsia="Batang"/>
          <w:snapToGrid w:val="0"/>
          <w:kern w:val="2"/>
          <w:sz w:val="22"/>
          <w:szCs w:val="22"/>
          <w:lang w:eastAsia="ko-KR"/>
        </w:rPr>
        <w:t>oth time domain coexistence and frequency domain coexistence shall be considered.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 NB-IoT system contains one 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anchor </w:t>
      </w:r>
      <w:r w:rsidR="00FA761F" w:rsidRPr="00FA761F">
        <w:rPr>
          <w:rFonts w:eastAsia="Batang" w:hint="eastAsia"/>
          <w:snapToGrid w:val="0"/>
          <w:kern w:val="2"/>
          <w:sz w:val="22"/>
          <w:szCs w:val="22"/>
          <w:lang w:eastAsia="ko-KR"/>
        </w:rPr>
        <w:t>carrier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zero or more non-anchor carriers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where a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NB-IoT carrier spans one PRB consist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ing</w:t>
      </w:r>
      <w:r w:rsidR="00FA761F" w:rsidRP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12 subcarriers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with a bandwidth of 180kHz.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Therefore, it shall be possible to allocate at least one PRB of 180kHz on a NR carrier for NB-IoT. In other words, coexistence between NR and NB-IoT can be enabled by 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 xml:space="preserve">FDM based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semi-static resource partition.</w:t>
      </w:r>
    </w:p>
    <w:p w14:paraId="1BEB13A7" w14:textId="3896E79F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2463A58D" w14:textId="4D2DD9DC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Alternatively, semi-static resource partition via TDM between NR and NB-IoT can also be considered.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For NB-IoT, the common signals/channels are transmitted at partial subframe</w:t>
      </w:r>
      <w:r w:rsidR="006633E1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as follows. Here we assume time division duplex (TDD) for both NB-IoT and NR.</w:t>
      </w:r>
    </w:p>
    <w:p w14:paraId="765922D1" w14:textId="77777777" w:rsidR="00AE60EC" w:rsidRDefault="00AE60EC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750A1741" w14:textId="77777777" w:rsidR="009F0779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lang w:eastAsia="zh-CN"/>
        </w:rPr>
      </w:pPr>
      <w:r>
        <w:rPr>
          <w:lang w:eastAsia="zh-CN"/>
        </w:rPr>
        <w:t xml:space="preserve">NPSS: subframe 5 in every 10 </w:t>
      </w:r>
      <w:proofErr w:type="spellStart"/>
      <w:r>
        <w:rPr>
          <w:lang w:eastAsia="zh-CN"/>
        </w:rPr>
        <w:t>ms</w:t>
      </w:r>
      <w:proofErr w:type="spellEnd"/>
    </w:p>
    <w:p w14:paraId="1F2B0FFA" w14:textId="787FA0B9" w:rsidR="009F0779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lang w:eastAsia="zh-CN"/>
        </w:rPr>
      </w:pPr>
      <w:r>
        <w:rPr>
          <w:lang w:eastAsia="zh-CN"/>
        </w:rPr>
        <w:t>NSSS: subframe 0 in</w:t>
      </w:r>
      <w:r w:rsidRPr="008A7C57">
        <w:rPr>
          <w:lang w:eastAsia="zh-CN"/>
        </w:rPr>
        <w:t xml:space="preserve"> </w:t>
      </w:r>
      <w:r>
        <w:rPr>
          <w:lang w:eastAsia="zh-CN"/>
        </w:rPr>
        <w:t xml:space="preserve">every 20 </w:t>
      </w:r>
      <w:proofErr w:type="spellStart"/>
      <w:r>
        <w:rPr>
          <w:lang w:eastAsia="zh-CN"/>
        </w:rPr>
        <w:t>ms</w:t>
      </w:r>
      <w:proofErr w:type="spellEnd"/>
    </w:p>
    <w:p w14:paraId="75076AE6" w14:textId="363FEA85" w:rsidR="009F0779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lang w:eastAsia="zh-CN"/>
        </w:rPr>
      </w:pPr>
      <w:r>
        <w:rPr>
          <w:lang w:eastAsia="zh-CN"/>
        </w:rPr>
        <w:t xml:space="preserve">NPBCH: subframe 9 in every 10 </w:t>
      </w:r>
      <w:proofErr w:type="spellStart"/>
      <w:r>
        <w:rPr>
          <w:lang w:eastAsia="zh-CN"/>
        </w:rPr>
        <w:t>ms</w:t>
      </w:r>
      <w:proofErr w:type="spellEnd"/>
    </w:p>
    <w:p w14:paraId="5210AAEF" w14:textId="0488FB77" w:rsidR="009F0779" w:rsidRDefault="009F0779" w:rsidP="009F0779">
      <w:pPr>
        <w:numPr>
          <w:ilvl w:val="0"/>
          <w:numId w:val="34"/>
        </w:numPr>
        <w:overflowPunct/>
        <w:autoSpaceDE/>
        <w:autoSpaceDN/>
        <w:adjustRightInd/>
        <w:spacing w:after="200"/>
        <w:jc w:val="both"/>
        <w:textAlignment w:val="auto"/>
        <w:rPr>
          <w:lang w:eastAsia="zh-CN"/>
        </w:rPr>
      </w:pPr>
      <w:r>
        <w:rPr>
          <w:lang w:eastAsia="zh-CN"/>
        </w:rPr>
        <w:t>SIB1-NB: subframe 4 or subframe 0 in</w:t>
      </w:r>
      <w:r w:rsidRPr="008A7C57">
        <w:rPr>
          <w:lang w:eastAsia="zh-CN"/>
        </w:rPr>
        <w:t xml:space="preserve"> </w:t>
      </w:r>
      <w:r>
        <w:rPr>
          <w:lang w:eastAsia="zh-CN"/>
        </w:rPr>
        <w:t xml:space="preserve">every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(for anchor carrier) or subframe 0 and 5 in every 20ms (for non-anchor carrier)</w:t>
      </w:r>
    </w:p>
    <w:p w14:paraId="35E2A091" w14:textId="73447452" w:rsidR="00B43958" w:rsidRDefault="006633E1" w:rsidP="00B43958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Therefore,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to support the operation of NB-IoT inside an NR carrier, at least subframe 0, 5 and 9 are needed to be reserved 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DL transmission, and in case of single anchor carrier used for NB-IoT, subframe 4 shall also be reserved </w:t>
      </w:r>
      <w:r w:rsidR="00B67CFD">
        <w:rPr>
          <w:rFonts w:eastAsia="Batang"/>
          <w:snapToGrid w:val="0"/>
          <w:kern w:val="2"/>
          <w:sz w:val="22"/>
          <w:szCs w:val="22"/>
          <w:lang w:eastAsia="ko-KR"/>
        </w:rPr>
        <w:t>as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full DL. 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If we assume subframe 2 and 3 used for NB-IoT uplink transmission, then other subframes, e.g. subframe 6, 7 and 8 can be dedicated to NR transmission by indicating as invalid subframes for NB-IoT. An example of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NB-IoT inside an NR carrier with semi-static resource partition is shown in Figure 2. Here we assume </w:t>
      </w:r>
      <w:r w:rsidR="00C87BEE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TDD UL/DL configuration #1 is used for NB-IoT, and </w:t>
      </w:r>
      <w:r w:rsidR="00DE1132">
        <w:rPr>
          <w:rFonts w:eastAsia="Batang"/>
          <w:snapToGrid w:val="0"/>
          <w:kern w:val="2"/>
          <w:sz w:val="22"/>
          <w:szCs w:val="22"/>
          <w:lang w:eastAsia="ko-KR"/>
        </w:rPr>
        <w:t xml:space="preserve">a semi-static </w:t>
      </w:r>
      <w:r w:rsidR="002263DF">
        <w:rPr>
          <w:rFonts w:eastAsia="Batang"/>
          <w:snapToGrid w:val="0"/>
          <w:kern w:val="2"/>
          <w:sz w:val="22"/>
          <w:szCs w:val="22"/>
          <w:lang w:eastAsia="ko-KR"/>
        </w:rPr>
        <w:t xml:space="preserve">TDD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configuration of 3:2 DL/UL</w:t>
      </w:r>
      <w:r w:rsidR="00863A5E">
        <w:rPr>
          <w:rFonts w:eastAsia="Batang"/>
          <w:snapToGrid w:val="0"/>
          <w:kern w:val="2"/>
          <w:sz w:val="22"/>
          <w:szCs w:val="22"/>
          <w:lang w:eastAsia="ko-KR"/>
        </w:rPr>
        <w:t xml:space="preserve"> with 5ms periodicity </w:t>
      </w:r>
      <w:r w:rsidR="00F8446A">
        <w:rPr>
          <w:rFonts w:eastAsia="Batang"/>
          <w:snapToGrid w:val="0"/>
          <w:kern w:val="2"/>
          <w:sz w:val="22"/>
          <w:szCs w:val="22"/>
          <w:lang w:eastAsia="ko-KR"/>
        </w:rPr>
        <w:t>is used for NR.</w:t>
      </w:r>
      <w:r w:rsidR="002263DF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77BBD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resources overlapping with NB-IoT common signals (e.g., NPSS/NSSS/NPBCH/SIB1)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will be configured as reserved resources and not used for NR PDSCH transmission. </w:t>
      </w:r>
    </w:p>
    <w:p w14:paraId="497AC12C" w14:textId="0DD2A74C" w:rsidR="003623B1" w:rsidRDefault="003623B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0DBDA133" w14:textId="34A4C302" w:rsidR="00F8446A" w:rsidRDefault="00F8446A" w:rsidP="00F8446A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Coexistence between NR and NB-IoT can be enabled by allocating one or more 180kHz resource blocks of a NR carrier for NB-IoT or assigning one or more subframes for NB-IoT. </w:t>
      </w:r>
    </w:p>
    <w:p w14:paraId="17DA0C5A" w14:textId="3EDDCA83" w:rsidR="00F8446A" w:rsidRPr="0068319D" w:rsidRDefault="00F8446A" w:rsidP="00F8446A">
      <w:pPr>
        <w:pStyle w:val="LGTdoc1"/>
        <w:spacing w:beforeLines="0" w:before="120" w:after="220" w:afterAutospacing="0"/>
        <w:rPr>
          <w:sz w:val="22"/>
          <w:szCs w:val="22"/>
        </w:rPr>
      </w:pPr>
    </w:p>
    <w:p w14:paraId="5C05CBC1" w14:textId="67FCACD4" w:rsidR="006633E1" w:rsidRPr="00F8446A" w:rsidRDefault="006633E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637F1DA0" w14:textId="0CE74C44" w:rsidR="00DD2FF1" w:rsidRDefault="00DE1132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E1132">
        <w:rPr>
          <w:noProof/>
        </w:rPr>
        <w:lastRenderedPageBreak/>
        <w:drawing>
          <wp:inline distT="0" distB="0" distL="0" distR="0" wp14:anchorId="0103D5D7" wp14:editId="06E88622">
            <wp:extent cx="6120765" cy="24412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41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264A7" w14:textId="5C79C125" w:rsidR="00DD2FF1" w:rsidRPr="00697A4E" w:rsidRDefault="00DD2FF1" w:rsidP="00DD2FF1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 w:rsidR="00F8446A">
        <w:rPr>
          <w:kern w:val="2"/>
          <w:sz w:val="22"/>
          <w:szCs w:val="22"/>
        </w:rPr>
        <w:t>2</w:t>
      </w:r>
      <w:r w:rsidRPr="00080046">
        <w:rPr>
          <w:b w:val="0"/>
          <w:kern w:val="2"/>
          <w:sz w:val="22"/>
          <w:szCs w:val="22"/>
        </w:rPr>
        <w:t xml:space="preserve">: </w:t>
      </w:r>
      <w:r w:rsidR="00DE1132">
        <w:rPr>
          <w:b w:val="0"/>
          <w:kern w:val="2"/>
          <w:sz w:val="22"/>
          <w:szCs w:val="22"/>
        </w:rPr>
        <w:t xml:space="preserve">Coexistence between </w:t>
      </w:r>
      <w:r>
        <w:rPr>
          <w:b w:val="0"/>
          <w:kern w:val="2"/>
          <w:sz w:val="22"/>
          <w:szCs w:val="22"/>
        </w:rPr>
        <w:t xml:space="preserve">NB-IoT </w:t>
      </w:r>
      <w:r w:rsidR="00DE1132">
        <w:rPr>
          <w:b w:val="0"/>
          <w:kern w:val="2"/>
          <w:sz w:val="22"/>
          <w:szCs w:val="22"/>
        </w:rPr>
        <w:t>and NR vis semi-static resource partition</w:t>
      </w:r>
    </w:p>
    <w:p w14:paraId="458EC8BB" w14:textId="0D46547B" w:rsidR="00D54462" w:rsidRDefault="00F77BBD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improving resource utilization, dynamic resource multiplexing shall also be supported so that NR can utilize the unused DL and UL resources reserved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for NB-IoT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. In Rel-15, dynamic r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>ate matching resource set is supported in NR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 that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DCI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can dynamically indicate whether the reserved resources shall be excluded from the PDSCH allocation. I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 the reserved resources are not used for NB-IoT in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the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slot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for which PDSCH is mapped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, then these resources can be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>t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emporarily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used </w:t>
      </w:r>
      <w:r w:rsidR="00B43958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NR PDSCH by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setting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value of 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rate matching indicator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to zero</w:t>
      </w:r>
      <w:r w:rsidR="00DE6862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Since the rate matching resource set in NR is defined by a pair of RB level bitmap with 1 RB granularity and a symbol level bitmap spanning one or two NR slots, it is possible to support dynamic resource multiplexing between NR and NB-IoT on the subframe/RB level. However, it shall be noted that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rate matching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 based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resource multiplexing is 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mainly from NR perspective since 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a</w:t>
      </w:r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 xml:space="preserve">n </w:t>
      </w:r>
      <w:proofErr w:type="spellStart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eMTC</w:t>
      </w:r>
      <w:proofErr w:type="spellEnd"/>
      <w:r w:rsidR="00D54462" w:rsidRPr="00D54462">
        <w:rPr>
          <w:rFonts w:eastAsia="Batang"/>
          <w:snapToGrid w:val="0"/>
          <w:kern w:val="2"/>
          <w:sz w:val="22"/>
          <w:szCs w:val="22"/>
          <w:lang w:eastAsia="ko-KR"/>
        </w:rPr>
        <w:t>/NB-IoT UE is unware whether it is operating in an NR carrier or a LTE carrier</w:t>
      </w:r>
      <w:r w:rsidR="00D54462">
        <w:rPr>
          <w:rFonts w:eastAsia="Batang"/>
          <w:snapToGrid w:val="0"/>
          <w:kern w:val="2"/>
          <w:sz w:val="22"/>
          <w:szCs w:val="22"/>
          <w:lang w:eastAsia="ko-KR"/>
        </w:rPr>
        <w:t>.</w:t>
      </w:r>
    </w:p>
    <w:p w14:paraId="4D7F03A2" w14:textId="5E23AF13" w:rsidR="00DE6862" w:rsidRDefault="00DE6862" w:rsidP="002037A4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9D0810F" w14:textId="76A8B33C" w:rsidR="00D54462" w:rsidRDefault="00D54462" w:rsidP="00D54462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>of NB-IoT</w:t>
      </w:r>
      <w:r>
        <w:rPr>
          <w:kern w:val="2"/>
          <w:sz w:val="22"/>
          <w:szCs w:val="22"/>
        </w:rPr>
        <w:t xml:space="preserve"> with NR, d</w:t>
      </w:r>
      <w:r>
        <w:rPr>
          <w:sz w:val="22"/>
          <w:szCs w:val="22"/>
        </w:rPr>
        <w:t xml:space="preserve">ynamic resource multiplexing </w:t>
      </w:r>
      <w:r w:rsidR="00D70689">
        <w:rPr>
          <w:sz w:val="22"/>
          <w:szCs w:val="22"/>
        </w:rPr>
        <w:t xml:space="preserve">between NR and NB-IoT </w:t>
      </w:r>
      <w:r w:rsidR="00144EF9">
        <w:rPr>
          <w:sz w:val="22"/>
          <w:szCs w:val="22"/>
        </w:rPr>
        <w:t>can be supported by using dynamic rate matching approach in NR.</w:t>
      </w:r>
      <w:r>
        <w:rPr>
          <w:sz w:val="22"/>
          <w:szCs w:val="22"/>
        </w:rPr>
        <w:t xml:space="preserve"> </w:t>
      </w:r>
    </w:p>
    <w:p w14:paraId="1A00552E" w14:textId="77777777" w:rsidR="00D54462" w:rsidRPr="00144EF9" w:rsidRDefault="00D54462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1B0EAB5" w14:textId="63E4F686" w:rsidR="00F77BBD" w:rsidRDefault="00144EF9" w:rsidP="00AE60EC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In NR, a mixture of numerology may be supported, e.g.,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using 15kHz subcarrier spacing for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eMBB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30kHz subcarrier spacing for URLLC. Different numerology may be configured at different bandwidth parts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frequency domain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In case of URLLC, for enabling fast HARQ-ACK feedback, 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few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number of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OFDM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symbols at the end of a slot may be used for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UL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control as shown in Figure 3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That is, DL transmission is only allowed in the part of subframe instead of the full subframe. In case of coexistence with NB-IoT, these slots/subframes with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mixed UL/DL cannot be used for NB-IoT if they are not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>overlapping with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a 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>special subframe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 of NB-IoT. This is because NB-IoT reuses LTE TDD UL/DL configuration and assumes a subframe rather than special subframe as either full DL or</w:t>
      </w:r>
      <w:r w:rsidR="00D70689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2C14BD">
        <w:rPr>
          <w:rFonts w:eastAsia="Batang"/>
          <w:snapToGrid w:val="0"/>
          <w:kern w:val="2"/>
          <w:sz w:val="22"/>
          <w:szCs w:val="22"/>
          <w:lang w:eastAsia="ko-KR"/>
        </w:rPr>
        <w:t xml:space="preserve">full UL.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Although t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his restriction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not break the </w:t>
      </w:r>
      <w:proofErr w:type="spellStart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NB-IoT with NR, it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would impose some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unnecessary 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restrictions. That is, if a subframe is reserved for NB-IoT then the subframe shall be configured as either full DL or full UL transmission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in NR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>. If there are more subframes reserved for NB-IoT then there is less probability to serve URLLC on the same NR carrier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 xml:space="preserve"> due to an increase of HARQ RTT and latency.</w:t>
      </w:r>
      <w:r w:rsidR="006D79A7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412EB">
        <w:rPr>
          <w:rFonts w:eastAsia="Batang"/>
          <w:snapToGrid w:val="0"/>
          <w:kern w:val="2"/>
          <w:sz w:val="22"/>
          <w:szCs w:val="22"/>
          <w:lang w:eastAsia="ko-KR"/>
        </w:rPr>
        <w:t>Since NB-IoT may only occupy a small portion of NR bandwidth, it is desirable to remove the restriction for efficient coexistence between NR and NB-IoT.</w:t>
      </w:r>
    </w:p>
    <w:p w14:paraId="3D1FF1E4" w14:textId="77777777" w:rsidR="00144EF9" w:rsidRPr="00B412EB" w:rsidRDefault="00144EF9" w:rsidP="005B41F1">
      <w:pPr>
        <w:widowControl w:val="0"/>
        <w:wordWrap w:val="0"/>
        <w:spacing w:after="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45874C89" w14:textId="1018A242" w:rsidR="00144EF9" w:rsidRDefault="00D70689" w:rsidP="002037A4">
      <w:pPr>
        <w:widowControl w:val="0"/>
        <w:spacing w:after="0"/>
        <w:contextualSpacing/>
        <w:jc w:val="center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D70689">
        <w:rPr>
          <w:noProof/>
        </w:rPr>
        <w:drawing>
          <wp:inline distT="0" distB="0" distL="0" distR="0" wp14:anchorId="769E21CE" wp14:editId="0772A8F0">
            <wp:extent cx="4882009" cy="1228971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060" cy="12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01B65" w14:textId="41D7DD40" w:rsidR="00D70689" w:rsidRPr="00697A4E" w:rsidRDefault="00D70689" w:rsidP="00D70689">
      <w:pPr>
        <w:pStyle w:val="LGTdoc1"/>
        <w:spacing w:beforeLines="0" w:before="120" w:after="220" w:afterAutospacing="0"/>
        <w:jc w:val="center"/>
        <w:rPr>
          <w:rFonts w:eastAsiaTheme="minorEastAsia"/>
          <w:sz w:val="22"/>
          <w:szCs w:val="22"/>
          <w:lang w:eastAsia="zh-CN"/>
        </w:rPr>
      </w:pPr>
      <w:r w:rsidRPr="00083055">
        <w:rPr>
          <w:kern w:val="2"/>
          <w:sz w:val="22"/>
          <w:szCs w:val="22"/>
        </w:rPr>
        <w:t xml:space="preserve">Figure </w:t>
      </w:r>
      <w:r>
        <w:rPr>
          <w:kern w:val="2"/>
          <w:sz w:val="22"/>
          <w:szCs w:val="22"/>
        </w:rPr>
        <w:t>3</w:t>
      </w:r>
      <w:r w:rsidRPr="00080046">
        <w:rPr>
          <w:b w:val="0"/>
          <w:kern w:val="2"/>
          <w:sz w:val="22"/>
          <w:szCs w:val="22"/>
        </w:rPr>
        <w:t xml:space="preserve">: </w:t>
      </w:r>
      <w:r>
        <w:rPr>
          <w:b w:val="0"/>
          <w:kern w:val="2"/>
          <w:sz w:val="22"/>
          <w:szCs w:val="22"/>
        </w:rPr>
        <w:t>A NR slot format with increasing UL opportunity assuming 30kHz SCS</w:t>
      </w:r>
    </w:p>
    <w:p w14:paraId="3C45151B" w14:textId="1D7877A8" w:rsidR="00D165E7" w:rsidRDefault="002C14BD" w:rsidP="002C14BD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Observation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>of NB-IoT</w:t>
      </w:r>
      <w:r>
        <w:rPr>
          <w:kern w:val="2"/>
          <w:sz w:val="22"/>
          <w:szCs w:val="22"/>
        </w:rPr>
        <w:t xml:space="preserve"> with NR, the </w:t>
      </w:r>
      <w:r w:rsidR="00B412EB">
        <w:rPr>
          <w:kern w:val="2"/>
          <w:sz w:val="22"/>
          <w:szCs w:val="22"/>
        </w:rPr>
        <w:t xml:space="preserve">restriction </w:t>
      </w:r>
      <w:r w:rsidR="00D165E7">
        <w:rPr>
          <w:kern w:val="2"/>
          <w:sz w:val="22"/>
          <w:szCs w:val="22"/>
        </w:rPr>
        <w:t>of</w:t>
      </w:r>
      <w:r w:rsidR="00B412EB">
        <w:rPr>
          <w:kern w:val="2"/>
          <w:sz w:val="22"/>
          <w:szCs w:val="22"/>
        </w:rPr>
        <w:t xml:space="preserve"> </w:t>
      </w:r>
      <w:r w:rsidR="00D165E7">
        <w:rPr>
          <w:kern w:val="2"/>
          <w:sz w:val="22"/>
          <w:szCs w:val="22"/>
        </w:rPr>
        <w:t xml:space="preserve">allocating </w:t>
      </w:r>
      <w:r>
        <w:rPr>
          <w:kern w:val="2"/>
          <w:sz w:val="22"/>
          <w:szCs w:val="22"/>
        </w:rPr>
        <w:t xml:space="preserve">NB-IoT </w:t>
      </w:r>
      <w:r w:rsidR="00B412EB">
        <w:rPr>
          <w:kern w:val="2"/>
          <w:sz w:val="22"/>
          <w:szCs w:val="22"/>
        </w:rPr>
        <w:t xml:space="preserve">on a subframe </w:t>
      </w:r>
      <w:r w:rsidR="00D165E7">
        <w:rPr>
          <w:kern w:val="2"/>
          <w:sz w:val="22"/>
          <w:szCs w:val="22"/>
        </w:rPr>
        <w:t>of</w:t>
      </w:r>
      <w:r w:rsidR="00B412EB">
        <w:rPr>
          <w:kern w:val="2"/>
          <w:sz w:val="22"/>
          <w:szCs w:val="22"/>
        </w:rPr>
        <w:t xml:space="preserve"> </w:t>
      </w:r>
      <w:r w:rsidR="00D165E7">
        <w:rPr>
          <w:kern w:val="2"/>
          <w:sz w:val="22"/>
          <w:szCs w:val="22"/>
        </w:rPr>
        <w:t xml:space="preserve">either </w:t>
      </w:r>
      <w:r w:rsidR="00B412EB">
        <w:rPr>
          <w:kern w:val="2"/>
          <w:sz w:val="22"/>
          <w:szCs w:val="22"/>
        </w:rPr>
        <w:t xml:space="preserve">full DL or </w:t>
      </w:r>
      <w:r w:rsidR="00D165E7">
        <w:rPr>
          <w:kern w:val="2"/>
          <w:sz w:val="22"/>
          <w:szCs w:val="22"/>
        </w:rPr>
        <w:t xml:space="preserve">full </w:t>
      </w:r>
      <w:r w:rsidR="00B412EB">
        <w:rPr>
          <w:kern w:val="2"/>
          <w:sz w:val="22"/>
          <w:szCs w:val="22"/>
        </w:rPr>
        <w:t xml:space="preserve">UL </w:t>
      </w:r>
      <w:r w:rsidR="00D165E7">
        <w:rPr>
          <w:kern w:val="2"/>
          <w:sz w:val="22"/>
          <w:szCs w:val="22"/>
        </w:rPr>
        <w:t xml:space="preserve">would limit the scheduler flexibility of NR for supporting different numerologies and </w:t>
      </w:r>
      <w:r w:rsidR="00B67CFD">
        <w:rPr>
          <w:kern w:val="2"/>
          <w:sz w:val="22"/>
          <w:szCs w:val="22"/>
        </w:rPr>
        <w:t>URLLC</w:t>
      </w:r>
    </w:p>
    <w:p w14:paraId="41478154" w14:textId="6EB9977F" w:rsidR="00D165E7" w:rsidRDefault="00D165E7" w:rsidP="00D165E7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</w:t>
      </w:r>
      <w:r w:rsidR="002037A4">
        <w:rPr>
          <w:sz w:val="22"/>
          <w:szCs w:val="22"/>
        </w:rPr>
        <w:t>study</w:t>
      </w:r>
      <w:r>
        <w:rPr>
          <w:sz w:val="22"/>
          <w:szCs w:val="22"/>
        </w:rPr>
        <w:t xml:space="preserve"> possible enhancements to NB-IoT for ensuring efficient coexistence with NR </w:t>
      </w:r>
      <w:r w:rsidR="0098459E">
        <w:rPr>
          <w:sz w:val="22"/>
          <w:szCs w:val="22"/>
        </w:rPr>
        <w:t>using</w:t>
      </w:r>
      <w:r>
        <w:rPr>
          <w:sz w:val="22"/>
          <w:szCs w:val="22"/>
        </w:rPr>
        <w:t xml:space="preserve"> flexible subframe/slot structures.  </w:t>
      </w:r>
    </w:p>
    <w:p w14:paraId="0225B706" w14:textId="7B4A997F" w:rsidR="00D165E7" w:rsidRDefault="00D165E7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Besides the in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-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band mode of operation, NB-IoT also supports LTE guard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-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band and standalone operation. 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Any combination, i.e., </w:t>
      </w:r>
      <w:proofErr w:type="spellStart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in-band+in-band</w:t>
      </w:r>
      <w:proofErr w:type="spellEnd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proofErr w:type="spellStart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in-band+guard-band</w:t>
      </w:r>
      <w:proofErr w:type="spellEnd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proofErr w:type="spellStart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guard-band+guard-band</w:t>
      </w:r>
      <w:proofErr w:type="spellEnd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 and </w:t>
      </w:r>
      <w:proofErr w:type="spellStart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standalone+standalone</w:t>
      </w:r>
      <w:proofErr w:type="spellEnd"/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 is allowed f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or NB-IoT multi-carrier operation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. For NB-IoT coexistence with NR, when multi-carrier operation is used for NB-IoT, it shall be discussed whether the anchor and non-anchor shall be associated with the same NR carrier</w:t>
      </w:r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 xml:space="preserve">, or 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 xml:space="preserve">can be </w:t>
      </w:r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 xml:space="preserve">associated with 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different carrier</w:t>
      </w:r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98459E">
        <w:rPr>
          <w:rFonts w:eastAsia="Batang"/>
          <w:snapToGrid w:val="0"/>
          <w:kern w:val="2"/>
          <w:sz w:val="22"/>
          <w:szCs w:val="22"/>
          <w:lang w:eastAsia="ko-KR"/>
        </w:rPr>
        <w:t>, e.g., one on LTE carrier and the other on a NR carrier.</w:t>
      </w:r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 xml:space="preserve"> It is noted that enhancements to standalone operation mode for supporting the combination of </w:t>
      </w:r>
      <w:proofErr w:type="spellStart"/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>standalone+in-band</w:t>
      </w:r>
      <w:proofErr w:type="spellEnd"/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 xml:space="preserve">/guard-band were specified in Rel-15. It seems okay to support the anchor and non-anchor carriers associated with different LTE and NR cells </w:t>
      </w:r>
      <w:r w:rsidR="002037A4">
        <w:rPr>
          <w:rFonts w:eastAsia="Batang"/>
          <w:snapToGrid w:val="0"/>
          <w:kern w:val="2"/>
          <w:sz w:val="22"/>
          <w:szCs w:val="22"/>
          <w:lang w:eastAsia="ko-KR"/>
        </w:rPr>
        <w:t>if</w:t>
      </w:r>
      <w:r w:rsidR="00047A9F">
        <w:rPr>
          <w:rFonts w:eastAsia="Batang"/>
          <w:snapToGrid w:val="0"/>
          <w:kern w:val="2"/>
          <w:sz w:val="22"/>
          <w:szCs w:val="22"/>
          <w:lang w:eastAsia="ko-KR"/>
        </w:rPr>
        <w:t xml:space="preserve"> both carriers are synchronized.</w:t>
      </w:r>
      <w:r w:rsidR="002037A4">
        <w:rPr>
          <w:rFonts w:eastAsia="Batang"/>
          <w:snapToGrid w:val="0"/>
          <w:kern w:val="2"/>
          <w:sz w:val="22"/>
          <w:szCs w:val="22"/>
          <w:lang w:eastAsia="ko-KR"/>
        </w:rPr>
        <w:t xml:space="preserve"> However, there could be some performance limitations (e.g., power, frequency and synchronization) for not permitting such combinations.</w:t>
      </w:r>
    </w:p>
    <w:p w14:paraId="77EF9BFD" w14:textId="3E4026AE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667EC69" w14:textId="24E3B8C0" w:rsidR="002037A4" w:rsidRDefault="002037A4" w:rsidP="002037A4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carrier deployment types for NB-IoT coexistence with NR  </w:t>
      </w:r>
    </w:p>
    <w:p w14:paraId="527BA53C" w14:textId="178F8987" w:rsidR="002037A4" w:rsidRDefault="002037A4" w:rsidP="002037A4">
      <w:pPr>
        <w:pStyle w:val="Heading1"/>
      </w:pPr>
      <w:r>
        <w:t>2</w:t>
      </w:r>
      <w:r>
        <w:tab/>
        <w:t>Summary</w:t>
      </w:r>
    </w:p>
    <w:p w14:paraId="3E18BF19" w14:textId="172A2E8C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present</w:t>
      </w: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out views on the </w:t>
      </w:r>
      <w:proofErr w:type="spellStart"/>
      <w:r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operation of NB-IoT in a NR carrier. We have the following observations:</w:t>
      </w:r>
    </w:p>
    <w:p w14:paraId="1E2C7E2D" w14:textId="77777777" w:rsidR="002037A4" w:rsidRPr="0068319D" w:rsidRDefault="002037A4" w:rsidP="002037A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efficient coexistence between NR and </w:t>
      </w:r>
      <w:proofErr w:type="spellStart"/>
      <w:r>
        <w:rPr>
          <w:sz w:val="22"/>
          <w:szCs w:val="22"/>
        </w:rPr>
        <w:t>eMTC</w:t>
      </w:r>
      <w:proofErr w:type="spellEnd"/>
      <w:r>
        <w:rPr>
          <w:sz w:val="22"/>
          <w:szCs w:val="22"/>
        </w:rPr>
        <w:t xml:space="preserve">/NB-IoT is required for supporting </w:t>
      </w:r>
      <w:r>
        <w:rPr>
          <w:kern w:val="2"/>
          <w:sz w:val="22"/>
          <w:szCs w:val="22"/>
        </w:rPr>
        <w:t>flexible spectrum utilization and facilitating smooth network migration to NR</w:t>
      </w:r>
      <w:r>
        <w:rPr>
          <w:sz w:val="22"/>
          <w:szCs w:val="22"/>
        </w:rPr>
        <w:t xml:space="preserve">. </w:t>
      </w:r>
    </w:p>
    <w:p w14:paraId="520ABFDA" w14:textId="77777777" w:rsidR="002037A4" w:rsidRDefault="002037A4" w:rsidP="002037A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Coexistence between NR and NB-IoT can be enabled by allocating one or more 180kHz resource blocks of a NR carrier for NB-IoT or assigning one or more subframes for NB-IoT. </w:t>
      </w:r>
    </w:p>
    <w:p w14:paraId="1D9C6909" w14:textId="77777777" w:rsidR="002037A4" w:rsidRDefault="002037A4" w:rsidP="002037A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Observation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>of NB-IoT</w:t>
      </w:r>
      <w:r>
        <w:rPr>
          <w:kern w:val="2"/>
          <w:sz w:val="22"/>
          <w:szCs w:val="22"/>
        </w:rPr>
        <w:t xml:space="preserve"> with NR, d</w:t>
      </w:r>
      <w:r>
        <w:rPr>
          <w:sz w:val="22"/>
          <w:szCs w:val="22"/>
        </w:rPr>
        <w:t xml:space="preserve">ynamic resource multiplexing between NR and NB-IoT can be supported by using dynamic rate matching approach in NR. </w:t>
      </w:r>
    </w:p>
    <w:p w14:paraId="39E78238" w14:textId="6615DF38" w:rsidR="002037A4" w:rsidRDefault="002037A4" w:rsidP="002037A4">
      <w:pPr>
        <w:pStyle w:val="LGTdoc1"/>
        <w:spacing w:beforeLines="0" w:before="120" w:after="220" w:afterAutospacing="0"/>
        <w:rPr>
          <w:kern w:val="2"/>
          <w:sz w:val="22"/>
          <w:szCs w:val="22"/>
        </w:rPr>
      </w:pPr>
      <w:r>
        <w:rPr>
          <w:sz w:val="22"/>
          <w:szCs w:val="22"/>
          <w:u w:val="single"/>
        </w:rPr>
        <w:t>Observation 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proofErr w:type="spellStart"/>
      <w:r w:rsidRPr="00FA761F">
        <w:rPr>
          <w:rFonts w:hint="eastAsia"/>
          <w:kern w:val="2"/>
          <w:sz w:val="22"/>
          <w:szCs w:val="22"/>
        </w:rPr>
        <w:t>inband</w:t>
      </w:r>
      <w:proofErr w:type="spellEnd"/>
      <w:r w:rsidRPr="00FA761F">
        <w:rPr>
          <w:rFonts w:hint="eastAsia"/>
          <w:kern w:val="2"/>
          <w:sz w:val="22"/>
          <w:szCs w:val="22"/>
        </w:rPr>
        <w:t xml:space="preserve"> deployment</w:t>
      </w:r>
      <w:r w:rsidRPr="00FA761F">
        <w:rPr>
          <w:kern w:val="2"/>
          <w:sz w:val="22"/>
          <w:szCs w:val="22"/>
        </w:rPr>
        <w:t xml:space="preserve"> </w:t>
      </w:r>
      <w:r w:rsidRPr="00FA761F">
        <w:rPr>
          <w:rFonts w:hint="eastAsia"/>
          <w:kern w:val="2"/>
          <w:sz w:val="22"/>
          <w:szCs w:val="22"/>
        </w:rPr>
        <w:t>of NB-IoT</w:t>
      </w:r>
      <w:r>
        <w:rPr>
          <w:kern w:val="2"/>
          <w:sz w:val="22"/>
          <w:szCs w:val="22"/>
        </w:rPr>
        <w:t xml:space="preserve"> with NR, the restriction of allocating NB-IoT on a subframe of either full DL or full UL would limit the scheduler flexibility of NR for supporting different numerologies and </w:t>
      </w:r>
      <w:r w:rsidR="00B67CFD">
        <w:rPr>
          <w:kern w:val="2"/>
          <w:sz w:val="22"/>
          <w:szCs w:val="22"/>
        </w:rPr>
        <w:t>URLLC</w:t>
      </w:r>
    </w:p>
    <w:p w14:paraId="4ADA3184" w14:textId="72C856A6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>Based on these observations we made the following proposals.</w:t>
      </w:r>
    </w:p>
    <w:p w14:paraId="460388F5" w14:textId="77777777" w:rsidR="002037A4" w:rsidRDefault="002037A4" w:rsidP="002037A4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study possible enhancements to NB-IoT for ensuring efficient coexistence with NR using flexible subframe/slot structures.  </w:t>
      </w:r>
    </w:p>
    <w:p w14:paraId="66378B8F" w14:textId="77777777" w:rsidR="002037A4" w:rsidRDefault="002037A4" w:rsidP="002037A4">
      <w:pPr>
        <w:pStyle w:val="LGTdoc1"/>
        <w:spacing w:beforeLines="0" w:before="120" w:after="220" w:afterAutospacing="0"/>
        <w:rPr>
          <w:b w:val="0"/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RAN1 shall discuss carrier deployment types for NB-IoT coexistence with NR  </w:t>
      </w:r>
    </w:p>
    <w:p w14:paraId="13599CCC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003956DE" w14:textId="7BF1D04D" w:rsidR="003A7EF3" w:rsidRPr="00CE0424" w:rsidRDefault="00FA0631" w:rsidP="002037A4">
      <w:pPr>
        <w:pStyle w:val="Reference"/>
        <w:numPr>
          <w:ilvl w:val="0"/>
          <w:numId w:val="0"/>
        </w:numPr>
        <w:ind w:left="567" w:hanging="567"/>
      </w:pPr>
      <w:bookmarkStart w:id="5" w:name="_Ref174151459"/>
      <w:bookmarkStart w:id="6" w:name="_Ref189809556"/>
      <w:r w:rsidRPr="00504EAE">
        <w:rPr>
          <w:rFonts w:ascii="Times New Roman" w:hAnsi="Times New Roman"/>
          <w:snapToGrid w:val="0"/>
          <w:sz w:val="22"/>
          <w:szCs w:val="22"/>
        </w:rPr>
        <w:t>[1]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  <w:t>RP-181451, “New WID on Rel-16 enhancements for NB-IoT”, Ericsson, Huawei, 3GPP RAN#80 meeting, La Jolla, USA, June 11-14, 2018</w:t>
      </w:r>
      <w:bookmarkEnd w:id="5"/>
      <w:bookmarkEnd w:id="6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B0E11" w14:textId="77777777" w:rsidR="001C70A1" w:rsidRDefault="001C70A1">
      <w:r>
        <w:separator/>
      </w:r>
    </w:p>
  </w:endnote>
  <w:endnote w:type="continuationSeparator" w:id="0">
    <w:p w14:paraId="42033B1E" w14:textId="77777777" w:rsidR="001C70A1" w:rsidRDefault="001C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C405AB" w:rsidRDefault="00C405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A1369" w14:textId="77777777" w:rsidR="001C70A1" w:rsidRDefault="001C70A1">
      <w:r>
        <w:separator/>
      </w:r>
    </w:p>
  </w:footnote>
  <w:footnote w:type="continuationSeparator" w:id="0">
    <w:p w14:paraId="418D490D" w14:textId="77777777" w:rsidR="001C70A1" w:rsidRDefault="001C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C405AB" w:rsidRDefault="00C405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3"/>
  </w:num>
  <w:num w:numId="7">
    <w:abstractNumId w:val="28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7"/>
  </w:num>
  <w:num w:numId="15">
    <w:abstractNumId w:val="20"/>
  </w:num>
  <w:num w:numId="16">
    <w:abstractNumId w:val="30"/>
  </w:num>
  <w:num w:numId="17">
    <w:abstractNumId w:val="10"/>
  </w:num>
  <w:num w:numId="18">
    <w:abstractNumId w:val="12"/>
  </w:num>
  <w:num w:numId="19">
    <w:abstractNumId w:val="7"/>
  </w:num>
  <w:num w:numId="20">
    <w:abstractNumId w:val="32"/>
  </w:num>
  <w:num w:numId="21">
    <w:abstractNumId w:val="17"/>
  </w:num>
  <w:num w:numId="22">
    <w:abstractNumId w:val="31"/>
  </w:num>
  <w:num w:numId="23">
    <w:abstractNumId w:val="11"/>
  </w:num>
  <w:num w:numId="24">
    <w:abstractNumId w:val="21"/>
  </w:num>
  <w:num w:numId="25">
    <w:abstractNumId w:val="33"/>
  </w:num>
  <w:num w:numId="26">
    <w:abstractNumId w:val="3"/>
  </w:num>
  <w:num w:numId="27">
    <w:abstractNumId w:val="9"/>
  </w:num>
  <w:num w:numId="28">
    <w:abstractNumId w:val="29"/>
  </w:num>
  <w:num w:numId="29">
    <w:abstractNumId w:val="5"/>
  </w:num>
  <w:num w:numId="30">
    <w:abstractNumId w:val="6"/>
  </w:num>
  <w:num w:numId="31">
    <w:abstractNumId w:val="26"/>
  </w:num>
  <w:num w:numId="32">
    <w:abstractNumId w:val="8"/>
  </w:num>
  <w:num w:numId="33">
    <w:abstractNumId w:val="2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A9F"/>
    <w:rsid w:val="00052A07"/>
    <w:rsid w:val="000534E3"/>
    <w:rsid w:val="0005606A"/>
    <w:rsid w:val="00057117"/>
    <w:rsid w:val="000616E7"/>
    <w:rsid w:val="0006487E"/>
    <w:rsid w:val="00065E1A"/>
    <w:rsid w:val="00076617"/>
    <w:rsid w:val="00077E5F"/>
    <w:rsid w:val="0008036A"/>
    <w:rsid w:val="00081AE6"/>
    <w:rsid w:val="0008305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6173"/>
    <w:rsid w:val="001A6CBA"/>
    <w:rsid w:val="001B0D97"/>
    <w:rsid w:val="001B5A5D"/>
    <w:rsid w:val="001C0423"/>
    <w:rsid w:val="001C1CE5"/>
    <w:rsid w:val="001C3D2A"/>
    <w:rsid w:val="001C70A1"/>
    <w:rsid w:val="001D51BA"/>
    <w:rsid w:val="001D5298"/>
    <w:rsid w:val="001D53E7"/>
    <w:rsid w:val="001D6342"/>
    <w:rsid w:val="001D6CFA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14BD"/>
    <w:rsid w:val="002C41E6"/>
    <w:rsid w:val="002D071A"/>
    <w:rsid w:val="002D34B2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48C6"/>
    <w:rsid w:val="00346DB5"/>
    <w:rsid w:val="003477B1"/>
    <w:rsid w:val="00357380"/>
    <w:rsid w:val="003602D9"/>
    <w:rsid w:val="003604CE"/>
    <w:rsid w:val="003623B1"/>
    <w:rsid w:val="00370E47"/>
    <w:rsid w:val="003742AC"/>
    <w:rsid w:val="003752FC"/>
    <w:rsid w:val="00377CE1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E1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37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E60EC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3958"/>
    <w:rsid w:val="00B45A52"/>
    <w:rsid w:val="00B46175"/>
    <w:rsid w:val="00B509B4"/>
    <w:rsid w:val="00B548B7"/>
    <w:rsid w:val="00B61DD3"/>
    <w:rsid w:val="00B664C7"/>
    <w:rsid w:val="00B67CFD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682C"/>
    <w:rsid w:val="00C279B5"/>
    <w:rsid w:val="00C27C45"/>
    <w:rsid w:val="00C3719D"/>
    <w:rsid w:val="00C37CB2"/>
    <w:rsid w:val="00C405AB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73A7"/>
    <w:rsid w:val="00C87BEE"/>
    <w:rsid w:val="00C9027A"/>
    <w:rsid w:val="00C9068E"/>
    <w:rsid w:val="00C93814"/>
    <w:rsid w:val="00C93C4B"/>
    <w:rsid w:val="00C944AB"/>
    <w:rsid w:val="00C95B40"/>
    <w:rsid w:val="00CA03EB"/>
    <w:rsid w:val="00CA1A04"/>
    <w:rsid w:val="00CA1ED8"/>
    <w:rsid w:val="00CA512D"/>
    <w:rsid w:val="00CB1F63"/>
    <w:rsid w:val="00CB7170"/>
    <w:rsid w:val="00CC040E"/>
    <w:rsid w:val="00CC111F"/>
    <w:rsid w:val="00CC2011"/>
    <w:rsid w:val="00CC3EA0"/>
    <w:rsid w:val="00CC6F7D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E7"/>
    <w:rsid w:val="00D239A7"/>
    <w:rsid w:val="00D23F47"/>
    <w:rsid w:val="00D36E71"/>
    <w:rsid w:val="00D37D87"/>
    <w:rsid w:val="00D40B33"/>
    <w:rsid w:val="00D4318F"/>
    <w:rsid w:val="00D438BF"/>
    <w:rsid w:val="00D440F8"/>
    <w:rsid w:val="00D4520A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29C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BD"/>
    <w:rsid w:val="00F804BE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761F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E15A-8075-4FB4-82B5-0FE4D821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1632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14</cp:revision>
  <cp:lastPrinted>2008-01-31T07:09:00Z</cp:lastPrinted>
  <dcterms:created xsi:type="dcterms:W3CDTF">2018-07-23T14:22:00Z</dcterms:created>
  <dcterms:modified xsi:type="dcterms:W3CDTF">2018-08-10T16:49:00Z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