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47BFB0ED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180</w:t>
      </w:r>
      <w:r w:rsidR="006917FB">
        <w:rPr>
          <w:rFonts w:ascii="Arial" w:hAnsi="Arial" w:cs="Arial"/>
          <w:b/>
          <w:sz w:val="24"/>
          <w:szCs w:val="24"/>
        </w:rPr>
        <w:t>9029</w:t>
      </w:r>
    </w:p>
    <w:p w14:paraId="7B06AEC4" w14:textId="7919C774" w:rsidR="007F637A" w:rsidRDefault="007F637A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D3FE3">
        <w:rPr>
          <w:rFonts w:ascii="Arial" w:hAnsi="Arial" w:cs="Arial"/>
          <w:b/>
          <w:sz w:val="24"/>
          <w:szCs w:val="24"/>
        </w:rPr>
        <w:t>0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2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D3FE3">
        <w:rPr>
          <w:rFonts w:ascii="Arial" w:hAnsi="Arial" w:cs="Arial"/>
          <w:b/>
          <w:sz w:val="24"/>
          <w:szCs w:val="24"/>
        </w:rPr>
        <w:t>August</w:t>
      </w:r>
      <w:r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4D49FC6D" w:rsidR="007F637A" w:rsidRPr="00FD021C" w:rsidRDefault="00AD3FE3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D3FE3">
        <w:rPr>
          <w:rFonts w:ascii="Arial" w:hAnsi="Arial"/>
          <w:b/>
          <w:sz w:val="24"/>
          <w:lang w:eastAsia="zh-CN"/>
        </w:rPr>
        <w:t>Gothenburg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 w:rsidRPr="00AD3FE3">
        <w:rPr>
          <w:rFonts w:ascii="Arial" w:hAnsi="Arial"/>
          <w:b/>
          <w:sz w:val="24"/>
          <w:lang w:eastAsia="zh-CN"/>
        </w:rPr>
        <w:t>Sweden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794458F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BA445D">
        <w:rPr>
          <w:sz w:val="22"/>
          <w:szCs w:val="22"/>
          <w:lang w:val="sv-FI"/>
        </w:rPr>
        <w:t>8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12B06C67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D056D0">
        <w:rPr>
          <w:sz w:val="22"/>
          <w:szCs w:val="22"/>
        </w:rPr>
        <w:t>Use of control region</w:t>
      </w:r>
      <w:r w:rsidR="00FA0631" w:rsidRPr="00FA0631">
        <w:rPr>
          <w:sz w:val="22"/>
          <w:szCs w:val="22"/>
        </w:rPr>
        <w:t xml:space="preserve"> </w:t>
      </w:r>
      <w:r w:rsidR="00D056D0">
        <w:rPr>
          <w:sz w:val="22"/>
          <w:szCs w:val="22"/>
        </w:rPr>
        <w:t xml:space="preserve">for </w:t>
      </w:r>
      <w:proofErr w:type="spellStart"/>
      <w:r w:rsidR="00D056D0">
        <w:rPr>
          <w:sz w:val="22"/>
          <w:szCs w:val="22"/>
        </w:rPr>
        <w:t>eMTC</w:t>
      </w:r>
      <w:proofErr w:type="spellEnd"/>
      <w:r w:rsidR="00D056D0">
        <w:rPr>
          <w:sz w:val="22"/>
          <w:szCs w:val="22"/>
        </w:rPr>
        <w:t xml:space="preserve">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702E5EFC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RAN#80 meeting, a new 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Rel-16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MTC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 xml:space="preserve">enhancements for </w:t>
      </w:r>
      <w:r w:rsidR="00900302">
        <w:rPr>
          <w:rFonts w:eastAsia="Batang"/>
          <w:i/>
          <w:snapToGrid w:val="0"/>
          <w:kern w:val="2"/>
          <w:sz w:val="22"/>
          <w:szCs w:val="22"/>
          <w:lang w:eastAsia="ko-KR"/>
        </w:rPr>
        <w:t>LTE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>. One of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the objective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to 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 xml:space="preserve">enhance </w:t>
      </w:r>
      <w:proofErr w:type="spellStart"/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standalone deployment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55C5A0E6" w14:textId="77777777" w:rsidR="00FA0631" w:rsidRPr="00BA445D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3D1D0AAE" w14:textId="77777777" w:rsidR="00BA445D" w:rsidRPr="00BA445D" w:rsidRDefault="00BA445D" w:rsidP="00BA445D">
      <w:pPr>
        <w:spacing w:after="120"/>
        <w:rPr>
          <w:rFonts w:eastAsia="宋体"/>
          <w:b/>
          <w:bCs/>
          <w:u w:val="single"/>
          <w:lang w:val="en-US" w:eastAsia="en-US"/>
        </w:rPr>
      </w:pPr>
      <w:r w:rsidRPr="00BA445D">
        <w:rPr>
          <w:rFonts w:eastAsia="宋体"/>
          <w:b/>
          <w:bCs/>
          <w:u w:val="single"/>
          <w:lang w:val="en-US" w:eastAsia="en-US"/>
        </w:rPr>
        <w:t>Stand-alone deployment:</w:t>
      </w:r>
    </w:p>
    <w:p w14:paraId="1E2F9725" w14:textId="77777777" w:rsidR="00BA445D" w:rsidRPr="00BA445D" w:rsidRDefault="00BA445D" w:rsidP="00BA445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BA445D">
        <w:rPr>
          <w:rFonts w:eastAsia="Batang"/>
          <w:snapToGrid w:val="0"/>
          <w:kern w:val="2"/>
          <w:sz w:val="22"/>
          <w:szCs w:val="22"/>
          <w:lang w:eastAsia="ko-KR"/>
        </w:rPr>
        <w:t>Enable the use of LTE control channel region for DL transmission (MPDCCH/PDSCH) to BL/CE UEs [RAN1, RAN2, RAN4]</w:t>
      </w:r>
    </w:p>
    <w:p w14:paraId="22C6296E" w14:textId="77777777" w:rsidR="00BA445D" w:rsidRPr="00BA445D" w:rsidRDefault="00BA445D" w:rsidP="00BA445D">
      <w:pPr>
        <w:numPr>
          <w:ilvl w:val="1"/>
          <w:numId w:val="32"/>
        </w:numPr>
        <w:spacing w:after="0"/>
        <w:rPr>
          <w:bCs/>
          <w:sz w:val="21"/>
        </w:rPr>
      </w:pPr>
      <w:r w:rsidRPr="00BA445D">
        <w:rPr>
          <w:rFonts w:eastAsia="Batang"/>
          <w:snapToGrid w:val="0"/>
          <w:kern w:val="2"/>
          <w:sz w:val="22"/>
          <w:szCs w:val="22"/>
          <w:lang w:eastAsia="ko-KR"/>
        </w:rPr>
        <w:t>This deployment mode should support legacy operation for legacy BL/CE UEs</w:t>
      </w:r>
      <w:r w:rsidRPr="00BA445D">
        <w:rPr>
          <w:bCs/>
          <w:sz w:val="21"/>
        </w:rPr>
        <w:t>.</w:t>
      </w:r>
    </w:p>
    <w:p w14:paraId="31060371" w14:textId="5B5C4180" w:rsidR="00C77218" w:rsidRPr="00BA445D" w:rsidRDefault="00C77218" w:rsidP="00B509B4">
      <w:pPr>
        <w:pStyle w:val="ListNumber"/>
        <w:numPr>
          <w:ilvl w:val="0"/>
          <w:numId w:val="0"/>
        </w:numPr>
      </w:pPr>
    </w:p>
    <w:p w14:paraId="2262A0BE" w14:textId="2526A595" w:rsid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1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will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 xml:space="preserve">using LTE control region for DL transmission for </w:t>
      </w:r>
      <w:proofErr w:type="spellStart"/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56AAF8D4" w14:textId="77777777" w:rsidR="00CB61F7" w:rsidRDefault="00CB61F7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085A115" w14:textId="12DA86FC" w:rsidR="004000E8" w:rsidRDefault="00230D18" w:rsidP="00CE0424">
      <w:pPr>
        <w:pStyle w:val="Heading1"/>
      </w:pPr>
      <w:r>
        <w:t>2</w:t>
      </w:r>
      <w:r>
        <w:tab/>
      </w:r>
      <w:bookmarkEnd w:id="1"/>
      <w:r w:rsidR="00FA0631">
        <w:t>Discussion</w:t>
      </w:r>
    </w:p>
    <w:p w14:paraId="0B55269B" w14:textId="4D54A7C6" w:rsidR="00A46D9B" w:rsidRDefault="00745140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Currently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only be deployed in LTE spectrum and co-exist with other LTE services within the same bandwidth. Since the low cost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UE can only transmit and receive over a bandwidth corresponding to a narrowband of 6 PRBs, LTE PDCCH is not received by the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UE. Therefore, the first several symbols in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downlink subframe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that are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reserved for LTE control region cannot be used for </w:t>
      </w:r>
      <w:r w:rsidR="00C52930">
        <w:rPr>
          <w:rFonts w:eastAsia="Batang"/>
          <w:snapToGrid w:val="0"/>
          <w:kern w:val="2"/>
          <w:sz w:val="22"/>
          <w:szCs w:val="22"/>
          <w:lang w:eastAsia="ko-KR"/>
        </w:rPr>
        <w:t>downlink</w:t>
      </w:r>
      <w:r w:rsidR="00CE3997">
        <w:rPr>
          <w:rFonts w:eastAsia="Batang"/>
          <w:snapToGrid w:val="0"/>
          <w:kern w:val="2"/>
          <w:sz w:val="22"/>
          <w:szCs w:val="22"/>
          <w:lang w:eastAsia="ko-KR"/>
        </w:rPr>
        <w:t xml:space="preserve"> transmission</w:t>
      </w:r>
      <w:r w:rsidR="00AC14AD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</w:t>
      </w:r>
      <w:proofErr w:type="spellStart"/>
      <w:r w:rsidR="00AC14AD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AC14AD">
        <w:rPr>
          <w:rFonts w:eastAsia="Batang"/>
          <w:snapToGrid w:val="0"/>
          <w:kern w:val="2"/>
          <w:sz w:val="22"/>
          <w:szCs w:val="22"/>
          <w:lang w:eastAsia="ko-KR"/>
        </w:rPr>
        <w:t xml:space="preserve"> UEs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 The size of control region, or equivalently</w:t>
      </w:r>
      <w:r w:rsidR="00670DDA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starting</w:t>
      </w:r>
      <w:r w:rsidR="007D18F8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OFDM symbol positions for </w:t>
      </w:r>
      <w:r w:rsidR="007F7B75">
        <w:rPr>
          <w:rFonts w:eastAsia="Batang"/>
          <w:snapToGrid w:val="0"/>
          <w:kern w:val="2"/>
          <w:sz w:val="22"/>
          <w:szCs w:val="22"/>
          <w:lang w:eastAsia="ko-KR"/>
        </w:rPr>
        <w:t xml:space="preserve">MPDCCH/PDSCH is provided to </w:t>
      </w:r>
      <w:proofErr w:type="spellStart"/>
      <w:r w:rsidR="007F7B75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7F7B75">
        <w:rPr>
          <w:rFonts w:eastAsia="Batang"/>
          <w:snapToGrid w:val="0"/>
          <w:kern w:val="2"/>
          <w:sz w:val="22"/>
          <w:szCs w:val="22"/>
          <w:lang w:eastAsia="ko-KR"/>
        </w:rPr>
        <w:t xml:space="preserve"> UE</w:t>
      </w:r>
      <w:r w:rsidR="00AC14AD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7F7B75">
        <w:rPr>
          <w:rFonts w:eastAsia="Batang"/>
          <w:snapToGrid w:val="0"/>
          <w:kern w:val="2"/>
          <w:sz w:val="22"/>
          <w:szCs w:val="22"/>
          <w:lang w:eastAsia="ko-KR"/>
        </w:rPr>
        <w:t xml:space="preserve"> as part of the system information.</w:t>
      </w:r>
    </w:p>
    <w:p w14:paraId="69F8780F" w14:textId="77777777" w:rsidR="00A46D9B" w:rsidRPr="00AC14AD" w:rsidRDefault="00A46D9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059CBE7" w14:textId="5DE1C470" w:rsidR="001D3E9B" w:rsidRDefault="001D3E9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within NR, or a standalone deployment, there is no legacy LTE UE and thus </w:t>
      </w:r>
      <w:r w:rsidR="00FA5B81">
        <w:rPr>
          <w:rFonts w:eastAsia="Batang"/>
          <w:snapToGrid w:val="0"/>
          <w:kern w:val="2"/>
          <w:sz w:val="22"/>
          <w:szCs w:val="22"/>
          <w:lang w:eastAsia="ko-KR"/>
        </w:rPr>
        <w:t xml:space="preserve">it is possible to reuse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control region </w:t>
      </w:r>
      <w:r w:rsidR="00C52930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AC14AD">
        <w:rPr>
          <w:rFonts w:eastAsia="Batang"/>
          <w:snapToGrid w:val="0"/>
          <w:kern w:val="2"/>
          <w:sz w:val="22"/>
          <w:szCs w:val="22"/>
          <w:lang w:eastAsia="ko-KR"/>
        </w:rPr>
        <w:t>downlink transmission to BL/CE UEs. The</w:t>
      </w:r>
      <w:r w:rsidR="00FA5B81">
        <w:rPr>
          <w:rFonts w:eastAsia="Batang"/>
          <w:snapToGrid w:val="0"/>
          <w:kern w:val="2"/>
          <w:sz w:val="22"/>
          <w:szCs w:val="22"/>
          <w:lang w:eastAsia="ko-KR"/>
        </w:rPr>
        <w:t xml:space="preserve"> usage of the LTE control region can be signalled by higher layer signalling</w:t>
      </w:r>
      <w:r w:rsidR="00A56D68">
        <w:rPr>
          <w:rFonts w:eastAsia="Batang"/>
          <w:snapToGrid w:val="0"/>
          <w:kern w:val="2"/>
          <w:sz w:val="22"/>
          <w:szCs w:val="22"/>
          <w:lang w:eastAsia="ko-KR"/>
        </w:rPr>
        <w:t xml:space="preserve">, and the BL/CEs UE supporting the use of LTE control region can utilize it for MPDCCH/PDSCH transmission.  </w:t>
      </w:r>
      <w:r w:rsidR="00FA5B8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AC14AD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6E8F5A72" w14:textId="6FB311AE" w:rsidR="001D3E9B" w:rsidRDefault="001D3E9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3BA2FC7" w14:textId="779EEC8B" w:rsidR="00C37F70" w:rsidRDefault="00061512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control region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is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 used for </w:t>
      </w:r>
      <w:proofErr w:type="spellStart"/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>downlink transmission, there could be three types of subframes.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 As shown in Figure 1, t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he first type is that both control and data region are 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>configured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downlink transmission, the second is that only data region is 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>used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MPDCCH/PDSCH, e.g., in the subframe with legacy LTE, and the third is that only the control region is valid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. Although the first </w:t>
      </w:r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>case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</w:t>
      </w:r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 xml:space="preserve">typical way 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</w:t>
      </w:r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>use the control region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, we think the third </w:t>
      </w:r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>one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also a valid case, for example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the 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>MBSFN subframe</w:t>
      </w:r>
      <w:r w:rsidR="006167ED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0E5728">
        <w:rPr>
          <w:rFonts w:eastAsia="Batang"/>
          <w:snapToGrid w:val="0"/>
          <w:kern w:val="2"/>
          <w:sz w:val="22"/>
          <w:szCs w:val="22"/>
          <w:lang w:eastAsia="ko-KR"/>
        </w:rPr>
        <w:t xml:space="preserve"> or t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he subframes reserved for SIB1 transmission. </w:t>
      </w:r>
    </w:p>
    <w:p w14:paraId="3B83D354" w14:textId="77777777" w:rsidR="000E5728" w:rsidRPr="000E5728" w:rsidRDefault="000E5728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2E819F2" w14:textId="1AF8DD56" w:rsidR="00C37F70" w:rsidRPr="00697A4E" w:rsidRDefault="00C37F70" w:rsidP="00C37F70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C37F70">
        <w:rPr>
          <w:noProof/>
        </w:rPr>
        <w:lastRenderedPageBreak/>
        <w:drawing>
          <wp:inline distT="0" distB="0" distL="0" distR="0" wp14:anchorId="6A990017" wp14:editId="6260C493">
            <wp:extent cx="6120765" cy="134049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34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7F70">
        <w:rPr>
          <w:kern w:val="2"/>
          <w:sz w:val="22"/>
          <w:szCs w:val="22"/>
        </w:rPr>
        <w:t xml:space="preserve"> </w:t>
      </w: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Three types of subframes for MPDCCH/PDSCH transmission</w:t>
      </w:r>
    </w:p>
    <w:p w14:paraId="7757FB3D" w14:textId="1BD022E8" w:rsidR="00C37F70" w:rsidRPr="00C37F70" w:rsidRDefault="00C37F70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3C8829F" w14:textId="546BD52E" w:rsidR="00745140" w:rsidRDefault="006167ED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When both control region and data region are configured for downlink transmission, t</w:t>
      </w:r>
      <w:r w:rsidR="00A56D68">
        <w:rPr>
          <w:rFonts w:eastAsia="Batang"/>
          <w:snapToGrid w:val="0"/>
          <w:kern w:val="2"/>
          <w:sz w:val="22"/>
          <w:szCs w:val="22"/>
          <w:lang w:eastAsia="ko-KR"/>
        </w:rPr>
        <w:t>here are two ways to configure the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se</w:t>
      </w:r>
      <w:r w:rsidR="00A56D68">
        <w:rPr>
          <w:rFonts w:eastAsia="Batang"/>
          <w:snapToGrid w:val="0"/>
          <w:kern w:val="2"/>
          <w:sz w:val="22"/>
          <w:szCs w:val="22"/>
          <w:lang w:eastAsia="ko-KR"/>
        </w:rPr>
        <w:t xml:space="preserve"> resources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to the BL/CE UEs</w:t>
      </w:r>
      <w:r w:rsidR="00A56D68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As shown in Figure 2, </w:t>
      </w:r>
      <w:r w:rsidR="00A56D68">
        <w:rPr>
          <w:rFonts w:eastAsia="Batang"/>
          <w:snapToGrid w:val="0"/>
          <w:kern w:val="2"/>
          <w:sz w:val="22"/>
          <w:szCs w:val="22"/>
          <w:lang w:eastAsia="ko-KR"/>
        </w:rPr>
        <w:t>the control region can be configured as an additional resource pool for MPDCCH/PDSCH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>, and</w:t>
      </w:r>
      <w:r w:rsidR="000F43F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use of the control region and the data region can be configured to different UEs. Alternatively, the control and data region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may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 be configured to the same UE. For Option 1,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BL/CE 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UE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may be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 signalled to receive the MPDCCH candidates and PDSCH only in LTE control region. Since the maximum duration of the control region is 3 OFDM symbols, a new structure of MPDCCH/PDSCH may need to be defined.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Option 2, the 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>required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C37F70">
        <w:rPr>
          <w:rFonts w:eastAsia="Batang"/>
          <w:snapToGrid w:val="0"/>
          <w:kern w:val="2"/>
          <w:sz w:val="22"/>
          <w:szCs w:val="22"/>
          <w:lang w:eastAsia="ko-KR"/>
        </w:rPr>
        <w:t xml:space="preserve">specification 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change is to </w:t>
      </w:r>
      <w:r w:rsidR="00935F86">
        <w:rPr>
          <w:rFonts w:eastAsia="Batang"/>
          <w:snapToGrid w:val="0"/>
          <w:kern w:val="2"/>
          <w:sz w:val="22"/>
          <w:szCs w:val="22"/>
          <w:lang w:eastAsia="ko-KR"/>
        </w:rPr>
        <w:t>change</w:t>
      </w:r>
      <w:r w:rsidR="00922154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RE mapping for MPDCCH/PDSCH to include REs in the legacy LTE control region.</w:t>
      </w:r>
    </w:p>
    <w:p w14:paraId="5FEDC36A" w14:textId="7E2FBFE5" w:rsidR="00A56D68" w:rsidRDefault="00A56D68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8E1B140" w14:textId="347226AB" w:rsidR="00922154" w:rsidRDefault="00922154" w:rsidP="00922154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922154">
        <w:rPr>
          <w:rFonts w:hint="eastAsia"/>
          <w:noProof/>
        </w:rPr>
        <w:drawing>
          <wp:inline distT="0" distB="0" distL="0" distR="0" wp14:anchorId="46D3BBD3" wp14:editId="24B82C91">
            <wp:extent cx="4770120" cy="19107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566D0" w14:textId="729F33CF" w:rsidR="00922154" w:rsidRPr="00697A4E" w:rsidRDefault="00922154" w:rsidP="00922154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C37F70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Use of LTE control region for MPDCCH/PDSCH transmission</w:t>
      </w:r>
    </w:p>
    <w:p w14:paraId="2811EF35" w14:textId="1F24D7D5" w:rsidR="00C37F70" w:rsidRPr="0068319D" w:rsidRDefault="00C37F70" w:rsidP="00C37F7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6167ED">
        <w:rPr>
          <w:sz w:val="22"/>
          <w:szCs w:val="22"/>
        </w:rPr>
        <w:t xml:space="preserve">The BL/CE </w:t>
      </w:r>
      <w:r>
        <w:rPr>
          <w:sz w:val="22"/>
          <w:szCs w:val="22"/>
        </w:rPr>
        <w:t xml:space="preserve">UE </w:t>
      </w:r>
      <w:r w:rsidR="006167ED">
        <w:rPr>
          <w:sz w:val="22"/>
          <w:szCs w:val="22"/>
        </w:rPr>
        <w:t xml:space="preserve">can be </w:t>
      </w:r>
      <w:r>
        <w:rPr>
          <w:sz w:val="22"/>
          <w:szCs w:val="22"/>
        </w:rPr>
        <w:t xml:space="preserve">configured to receive MPDCCH/PDSCH </w:t>
      </w:r>
      <w:r w:rsidR="006167ED">
        <w:rPr>
          <w:sz w:val="22"/>
          <w:szCs w:val="22"/>
        </w:rPr>
        <w:t xml:space="preserve">only </w:t>
      </w:r>
      <w:r>
        <w:rPr>
          <w:sz w:val="22"/>
          <w:szCs w:val="22"/>
        </w:rPr>
        <w:t xml:space="preserve">in the control region </w:t>
      </w:r>
      <w:r w:rsidR="00935F86">
        <w:rPr>
          <w:sz w:val="22"/>
          <w:szCs w:val="22"/>
        </w:rPr>
        <w:t xml:space="preserve">of a subframe </w:t>
      </w:r>
      <w:r w:rsidR="006167ED">
        <w:rPr>
          <w:sz w:val="22"/>
          <w:szCs w:val="22"/>
        </w:rPr>
        <w:t>or in both control and data region of a subframe</w:t>
      </w:r>
      <w:r>
        <w:rPr>
          <w:sz w:val="22"/>
          <w:szCs w:val="22"/>
        </w:rPr>
        <w:t xml:space="preserve"> </w:t>
      </w:r>
    </w:p>
    <w:p w14:paraId="1A423C20" w14:textId="2EDE9E03" w:rsidR="00922154" w:rsidRDefault="00922154" w:rsidP="00723BDE">
      <w:pPr>
        <w:widowControl w:val="0"/>
        <w:spacing w:after="120"/>
        <w:contextualSpacing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2823034" w14:textId="7810BC82" w:rsidR="00935F86" w:rsidRDefault="00935F86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An important requirement for using LTE control region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</w:t>
      </w:r>
      <w:r w:rsidR="00D41AA9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</w:t>
      </w:r>
      <w:r w:rsidR="00773A4B">
        <w:rPr>
          <w:rFonts w:eastAsia="Batang"/>
          <w:snapToGrid w:val="0"/>
          <w:kern w:val="2"/>
          <w:sz w:val="22"/>
          <w:szCs w:val="22"/>
          <w:lang w:eastAsia="ko-KR"/>
        </w:rPr>
        <w:t>allow</w:t>
      </w:r>
      <w:r w:rsidR="00D41AA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backward combability. </w:t>
      </w:r>
      <w:r w:rsidR="00723BDE">
        <w:rPr>
          <w:rFonts w:eastAsia="Batang"/>
          <w:snapToGrid w:val="0"/>
          <w:kern w:val="2"/>
          <w:sz w:val="22"/>
          <w:szCs w:val="22"/>
          <w:lang w:eastAsia="ko-KR"/>
        </w:rPr>
        <w:t>According to the WID, t</w:t>
      </w:r>
      <w:r w:rsidR="00723BDE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he use of the control region is </w:t>
      </w:r>
      <w:r w:rsidR="00773A4B">
        <w:rPr>
          <w:rFonts w:eastAsia="Batang"/>
          <w:snapToGrid w:val="0"/>
          <w:kern w:val="2"/>
          <w:sz w:val="22"/>
          <w:szCs w:val="22"/>
          <w:lang w:eastAsia="ko-KR"/>
        </w:rPr>
        <w:t>enabled</w:t>
      </w:r>
      <w:r w:rsidR="00723BDE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for both MPDCCH and PDSCH.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However, it is not clear whether it is supported for </w:t>
      </w:r>
      <w:r w:rsidR="00723BDE">
        <w:rPr>
          <w:rFonts w:eastAsia="Batang"/>
          <w:snapToGrid w:val="0"/>
          <w:kern w:val="2"/>
          <w:sz w:val="22"/>
          <w:szCs w:val="22"/>
          <w:lang w:eastAsia="ko-KR"/>
        </w:rPr>
        <w:t xml:space="preserve">broadcast and unicast or only to unicast transmission.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backward combability is not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a problem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unicast but will impose a challenge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for b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roadcast </w:t>
      </w:r>
      <w:r w:rsidR="00773A4B">
        <w:rPr>
          <w:rFonts w:eastAsia="Batang"/>
          <w:snapToGrid w:val="0"/>
          <w:kern w:val="2"/>
          <w:sz w:val="22"/>
          <w:szCs w:val="22"/>
          <w:lang w:eastAsia="ko-KR"/>
        </w:rPr>
        <w:t>MPDCCH/PDSCH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045FC2">
        <w:rPr>
          <w:rFonts w:eastAsia="Batang"/>
          <w:snapToGrid w:val="0"/>
          <w:kern w:val="2"/>
          <w:sz w:val="22"/>
          <w:szCs w:val="22"/>
          <w:lang w:eastAsia="ko-KR"/>
        </w:rPr>
        <w:t>The use of LTE control region for broadcast can be signalled in SIB1.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773A4B">
        <w:rPr>
          <w:rFonts w:eastAsia="Batang"/>
          <w:snapToGrid w:val="0"/>
          <w:kern w:val="2"/>
          <w:sz w:val="22"/>
          <w:szCs w:val="22"/>
          <w:lang w:eastAsia="ko-KR"/>
        </w:rPr>
        <w:t xml:space="preserve">However, the use of the control region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may not</w:t>
      </w:r>
      <w:r w:rsidR="00773A4B">
        <w:rPr>
          <w:rFonts w:eastAsia="Batang"/>
          <w:snapToGrid w:val="0"/>
          <w:kern w:val="2"/>
          <w:sz w:val="22"/>
          <w:szCs w:val="22"/>
          <w:lang w:eastAsia="ko-KR"/>
        </w:rPr>
        <w:t xml:space="preserve"> be supported for SIB1-BR otherwise the signalling of using the control region shall be indicated in MIB which is not preferred.</w:t>
      </w:r>
    </w:p>
    <w:p w14:paraId="6F999707" w14:textId="7B561DEF" w:rsidR="00935F86" w:rsidRDefault="00935F86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320E9B" w14:textId="43CC0282" w:rsidR="00045FC2" w:rsidRPr="0068319D" w:rsidRDefault="00045FC2" w:rsidP="00045FC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use of LTE control region for </w:t>
      </w:r>
      <w:r w:rsidR="00697EBC">
        <w:rPr>
          <w:sz w:val="22"/>
          <w:szCs w:val="22"/>
        </w:rPr>
        <w:t xml:space="preserve">MPDCCH/PDSCH </w:t>
      </w:r>
      <w:r>
        <w:rPr>
          <w:sz w:val="22"/>
          <w:szCs w:val="22"/>
        </w:rPr>
        <w:t xml:space="preserve">transmission to the BL/CE UE can be </w:t>
      </w:r>
      <w:r w:rsidR="00EC1D6E">
        <w:rPr>
          <w:sz w:val="22"/>
          <w:szCs w:val="22"/>
        </w:rPr>
        <w:t>applied</w:t>
      </w:r>
      <w:r>
        <w:rPr>
          <w:sz w:val="22"/>
          <w:szCs w:val="22"/>
        </w:rPr>
        <w:t xml:space="preserve"> to broadcast transmission other than SIB1 </w:t>
      </w:r>
      <w:r w:rsidR="00773A4B">
        <w:rPr>
          <w:sz w:val="22"/>
          <w:szCs w:val="22"/>
        </w:rPr>
        <w:t>and</w:t>
      </w:r>
      <w:r>
        <w:rPr>
          <w:sz w:val="22"/>
          <w:szCs w:val="22"/>
        </w:rPr>
        <w:t xml:space="preserve"> unicast transmission. </w:t>
      </w:r>
    </w:p>
    <w:p w14:paraId="31C7486B" w14:textId="21793DF6" w:rsidR="00045FC2" w:rsidRDefault="00773A4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At least the following three approaches for RE mapping of MPDCCH/PDSCH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be considered if the control region is configured for downlink transmission to the BL/CE UE:</w:t>
      </w:r>
    </w:p>
    <w:p w14:paraId="434AD51E" w14:textId="177B4853" w:rsidR="00773A4B" w:rsidRDefault="00773A4B" w:rsidP="00773A4B">
      <w:pPr>
        <w:pStyle w:val="ListParagraph"/>
        <w:widowControl w:val="0"/>
        <w:numPr>
          <w:ilvl w:val="0"/>
          <w:numId w:val="33"/>
        </w:numPr>
        <w:wordWrap w:val="0"/>
        <w:spacing w:after="120"/>
        <w:contextualSpacing/>
        <w:jc w:val="both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773A4B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Option 1: </w:t>
      </w:r>
      <w:r>
        <w:rPr>
          <w:rFonts w:ascii="Times New Roman" w:eastAsia="Batang" w:hAnsi="Times New Roman"/>
          <w:snapToGrid w:val="0"/>
          <w:kern w:val="2"/>
          <w:lang w:val="en-GB" w:eastAsia="ko-KR"/>
        </w:rPr>
        <w:t>The resource mapping is frequency first and time second starting from the first symbol in the control region then to the OFDM symbols in the data region</w:t>
      </w:r>
    </w:p>
    <w:p w14:paraId="6F924C00" w14:textId="1A0E9B29" w:rsidR="00773A4B" w:rsidRDefault="00773A4B" w:rsidP="00773A4B">
      <w:pPr>
        <w:pStyle w:val="ListParagraph"/>
        <w:widowControl w:val="0"/>
        <w:numPr>
          <w:ilvl w:val="0"/>
          <w:numId w:val="33"/>
        </w:numPr>
        <w:wordWrap w:val="0"/>
        <w:spacing w:after="120"/>
        <w:contextualSpacing/>
        <w:jc w:val="both"/>
        <w:rPr>
          <w:rFonts w:ascii="Times New Roman" w:eastAsia="Batang" w:hAnsi="Times New Roman"/>
          <w:snapToGrid w:val="0"/>
          <w:kern w:val="2"/>
          <w:lang w:val="en-GB" w:eastAsia="ko-KR"/>
        </w:rPr>
      </w:pPr>
      <w:r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Option 2: The resource mapping starts firstly from data region according to frequency first and time </w:t>
      </w:r>
      <w:r>
        <w:rPr>
          <w:rFonts w:ascii="Times New Roman" w:eastAsia="Batang" w:hAnsi="Times New Roman"/>
          <w:snapToGrid w:val="0"/>
          <w:kern w:val="2"/>
          <w:lang w:val="en-GB" w:eastAsia="ko-KR"/>
        </w:rPr>
        <w:lastRenderedPageBreak/>
        <w:t>second and then to the control region</w:t>
      </w:r>
    </w:p>
    <w:p w14:paraId="3D632E1D" w14:textId="6AF40628" w:rsidR="00773A4B" w:rsidRDefault="00773A4B" w:rsidP="00773A4B">
      <w:pPr>
        <w:pStyle w:val="ListParagraph"/>
        <w:widowControl w:val="0"/>
        <w:numPr>
          <w:ilvl w:val="0"/>
          <w:numId w:val="33"/>
        </w:numPr>
        <w:wordWrap w:val="0"/>
        <w:spacing w:after="120"/>
        <w:contextualSpacing/>
        <w:jc w:val="both"/>
        <w:rPr>
          <w:rFonts w:ascii="Times New Roman" w:eastAsia="Batang" w:hAnsi="Times New Roman"/>
          <w:snapToGrid w:val="0"/>
          <w:kern w:val="2"/>
          <w:lang w:val="en-GB" w:eastAsia="ko-KR"/>
        </w:rPr>
      </w:pPr>
      <w:r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Option 3: The resource mapping is same as the legacy, i.e., mapping only the data region, and then repeating the IQ data of some symbols to the control region. </w:t>
      </w:r>
    </w:p>
    <w:p w14:paraId="2E9D15CF" w14:textId="77777777" w:rsidR="00773A4B" w:rsidRPr="00773A4B" w:rsidRDefault="00773A4B" w:rsidP="00773A4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B8351FA" w14:textId="0CCF10AF" w:rsidR="00773A4B" w:rsidRDefault="00773A4B" w:rsidP="00773A4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773A4B">
        <w:rPr>
          <w:rFonts w:eastAsia="Batang"/>
          <w:snapToGrid w:val="0"/>
          <w:kern w:val="2"/>
          <w:sz w:val="22"/>
          <w:szCs w:val="22"/>
          <w:lang w:eastAsia="ko-KR"/>
        </w:rPr>
        <w:t xml:space="preserve">Option 1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is an </w:t>
      </w:r>
      <w:r w:rsidRPr="00773A4B">
        <w:rPr>
          <w:rFonts w:eastAsia="Batang"/>
          <w:snapToGrid w:val="0"/>
          <w:kern w:val="2"/>
          <w:sz w:val="22"/>
          <w:szCs w:val="22"/>
          <w:lang w:eastAsia="ko-KR"/>
        </w:rPr>
        <w:t xml:space="preserve">extension of the current RE mapping using the data region only,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and</w:t>
      </w:r>
      <w:r w:rsidRPr="00773A4B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potential issue is not to support backward compatibility</w:t>
      </w:r>
      <w:r w:rsidR="00EC1D6E">
        <w:rPr>
          <w:rFonts w:eastAsia="Batang"/>
          <w:snapToGrid w:val="0"/>
          <w:kern w:val="2"/>
          <w:sz w:val="22"/>
          <w:szCs w:val="22"/>
          <w:lang w:eastAsia="ko-KR"/>
        </w:rPr>
        <w:t xml:space="preserve"> since 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legacy BL/CE UE </w:t>
      </w:r>
      <w:r w:rsidR="00EC1D6E">
        <w:rPr>
          <w:rFonts w:eastAsia="Batang"/>
          <w:snapToGrid w:val="0"/>
          <w:kern w:val="2"/>
          <w:sz w:val="22"/>
          <w:szCs w:val="22"/>
          <w:lang w:eastAsia="ko-KR"/>
        </w:rPr>
        <w:t>assumes the RE mapping start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="00EC1D6E">
        <w:rPr>
          <w:rFonts w:eastAsia="Batang"/>
          <w:snapToGrid w:val="0"/>
          <w:kern w:val="2"/>
          <w:sz w:val="22"/>
          <w:szCs w:val="22"/>
          <w:lang w:eastAsia="ko-KR"/>
        </w:rPr>
        <w:t xml:space="preserve"> from the first symbol of the data region. Option 2 and 3 are backward compatible allowing both legacy and new BL/CE UE to receive MPDCCH/PDSCH in the same subframe. Option 2 provides additional channel coding gain due to more parity bits transmitted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, and Option 3 allows intra-subframe combining of symbols in the control region and data region</w:t>
      </w:r>
      <w:r w:rsidR="00EC1D6E">
        <w:rPr>
          <w:rFonts w:eastAsia="Batang"/>
          <w:snapToGrid w:val="0"/>
          <w:kern w:val="2"/>
          <w:sz w:val="22"/>
          <w:szCs w:val="22"/>
          <w:lang w:eastAsia="ko-KR"/>
        </w:rPr>
        <w:t xml:space="preserve">. Figure 3 and 4 below illustrate an example of Option 1 and 2 assuming both control and data region in a subframe used for </w:t>
      </w:r>
      <w:r w:rsidR="006349EB">
        <w:rPr>
          <w:rFonts w:eastAsia="Batang"/>
          <w:snapToGrid w:val="0"/>
          <w:kern w:val="2"/>
          <w:sz w:val="22"/>
          <w:szCs w:val="22"/>
          <w:lang w:eastAsia="ko-KR"/>
        </w:rPr>
        <w:t>PDSCH</w:t>
      </w:r>
      <w:r w:rsidR="00EC1D6E">
        <w:rPr>
          <w:rFonts w:eastAsia="Batang"/>
          <w:snapToGrid w:val="0"/>
          <w:kern w:val="2"/>
          <w:sz w:val="22"/>
          <w:szCs w:val="22"/>
          <w:lang w:eastAsia="ko-KR"/>
        </w:rPr>
        <w:t xml:space="preserve"> transmission.    </w:t>
      </w:r>
    </w:p>
    <w:p w14:paraId="7057EB9A" w14:textId="77777777" w:rsidR="00EC1D6E" w:rsidRDefault="00EC1D6E" w:rsidP="00773A4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3A372F6" w14:textId="2C7280EA" w:rsidR="00EC1D6E" w:rsidRDefault="00EC1D6E" w:rsidP="00EC1D6E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EC1D6E">
        <w:rPr>
          <w:noProof/>
        </w:rPr>
        <w:drawing>
          <wp:inline distT="0" distB="0" distL="0" distR="0" wp14:anchorId="3E314316" wp14:editId="1426B821">
            <wp:extent cx="4286209" cy="19037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155" cy="19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1F845" w14:textId="4B459218" w:rsidR="00EC1D6E" w:rsidRPr="00697A4E" w:rsidRDefault="00EC1D6E" w:rsidP="00EC1D6E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3</w:t>
      </w:r>
      <w:r w:rsidRPr="00080046">
        <w:rPr>
          <w:b w:val="0"/>
          <w:kern w:val="2"/>
          <w:sz w:val="22"/>
          <w:szCs w:val="22"/>
        </w:rPr>
        <w:t xml:space="preserve">: </w:t>
      </w:r>
      <w:r w:rsidR="006349EB">
        <w:rPr>
          <w:b w:val="0"/>
          <w:kern w:val="2"/>
          <w:sz w:val="22"/>
          <w:szCs w:val="22"/>
        </w:rPr>
        <w:t xml:space="preserve">PDSCH </w:t>
      </w:r>
      <w:r>
        <w:rPr>
          <w:b w:val="0"/>
          <w:kern w:val="2"/>
          <w:sz w:val="22"/>
          <w:szCs w:val="22"/>
        </w:rPr>
        <w:t>RE mapping with control region first and data region second</w:t>
      </w:r>
    </w:p>
    <w:p w14:paraId="3FC849F4" w14:textId="00185276" w:rsidR="00EC1D6E" w:rsidRDefault="00EC1D6E" w:rsidP="00EC1D6E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EC1D6E">
        <w:rPr>
          <w:rFonts w:eastAsia="Batang"/>
          <w:snapToGrid w:val="0"/>
          <w:kern w:val="2"/>
          <w:sz w:val="22"/>
          <w:szCs w:val="22"/>
          <w:lang w:val="en-US" w:eastAsia="ko-KR"/>
        </w:rPr>
        <w:object w:dxaOrig="7426" w:dyaOrig="3232" w14:anchorId="3B5C4A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49.9pt" o:ole="">
            <v:imagedata r:id="rId11" o:title=""/>
          </v:shape>
          <o:OLEObject Type="Embed" ProgID="Visio.Drawing.11" ShapeID="_x0000_i1025" DrawAspect="Content" ObjectID="_1595453419" r:id="rId12"/>
        </w:object>
      </w:r>
    </w:p>
    <w:p w14:paraId="2A32E199" w14:textId="659866E1" w:rsidR="00EC1D6E" w:rsidRPr="00697A4E" w:rsidRDefault="00EC1D6E" w:rsidP="00EC1D6E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4</w:t>
      </w:r>
      <w:r w:rsidRPr="00080046">
        <w:rPr>
          <w:b w:val="0"/>
          <w:kern w:val="2"/>
          <w:sz w:val="22"/>
          <w:szCs w:val="22"/>
        </w:rPr>
        <w:t xml:space="preserve">: </w:t>
      </w:r>
      <w:r w:rsidR="006349EB">
        <w:rPr>
          <w:b w:val="0"/>
          <w:kern w:val="2"/>
          <w:sz w:val="22"/>
          <w:szCs w:val="22"/>
        </w:rPr>
        <w:t xml:space="preserve">PDSCH </w:t>
      </w:r>
      <w:r>
        <w:rPr>
          <w:b w:val="0"/>
          <w:kern w:val="2"/>
          <w:sz w:val="22"/>
          <w:szCs w:val="22"/>
        </w:rPr>
        <w:t>RE mapping with data region first and control region second</w:t>
      </w:r>
    </w:p>
    <w:p w14:paraId="40201783" w14:textId="77777777" w:rsidR="00EC1D6E" w:rsidRPr="00EC1D6E" w:rsidRDefault="00EC1D6E" w:rsidP="00EC1D6E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9267338" w14:textId="4D08650D" w:rsidR="006349EB" w:rsidRPr="0068319D" w:rsidRDefault="006349EB" w:rsidP="006349EB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If the control region in a subframe is used for MPDCCH/PDSCH, the resource mapping shall consider backward compatibility </w:t>
      </w:r>
    </w:p>
    <w:p w14:paraId="388DD8B7" w14:textId="6CA70120" w:rsidR="00773A4B" w:rsidRPr="004442D7" w:rsidRDefault="006349EB" w:rsidP="006349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442D7">
        <w:rPr>
          <w:rFonts w:eastAsia="Batang" w:hint="eastAsia"/>
          <w:snapToGrid w:val="0"/>
          <w:kern w:val="2"/>
          <w:sz w:val="22"/>
          <w:szCs w:val="22"/>
          <w:lang w:eastAsia="ko-KR"/>
        </w:rPr>
        <w:t>L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astly, it shall be discussed whether the use of the control region can be different in different </w:t>
      </w:r>
      <w:proofErr w:type="spellStart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time instances. Currently, the control region size is same for all the </w:t>
      </w:r>
      <w:proofErr w:type="spellStart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. For standalone deployment of </w:t>
      </w:r>
      <w:proofErr w:type="spellStart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, there is no legacy LTE UE and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thus 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it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can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 be assumed that the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 of 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control region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is supported for 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all the </w:t>
      </w:r>
      <w:proofErr w:type="spellStart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. However, for </w:t>
      </w:r>
      <w:proofErr w:type="spellStart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within a NR carrier, NR may also use the first several symbols in a slot for control channel. Different from LTE, 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transmission of 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PDCCH is not </w:t>
      </w:r>
      <w:proofErr w:type="gramStart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wideband</w:t>
      </w:r>
      <w:proofErr w:type="gramEnd"/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the frequency </w:t>
      </w:r>
      <w:r w:rsidR="00697EBC"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and time 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location </w:t>
      </w:r>
      <w:r w:rsidR="00697EBC"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are high layer 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configured, and therefore the use of the control region for MPDCCH/PDSCH may be dependent on the narrowband</w:t>
      </w:r>
      <w:r w:rsidR="004442D7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>PRB</w:t>
      </w:r>
      <w:r w:rsidR="00697EBC"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the subframe</w:t>
      </w:r>
      <w:r w:rsidRPr="004442D7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4768FBCC" w14:textId="02FCCF8A" w:rsidR="006349EB" w:rsidRDefault="006349EB" w:rsidP="006349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</w:p>
    <w:p w14:paraId="57E802C3" w14:textId="7E06AD2A" w:rsidR="00697EBC" w:rsidRPr="0068319D" w:rsidRDefault="00697EBC" w:rsidP="00697EBC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lastRenderedPageBreak/>
        <w:t>Proposal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use of the control region MPDCCH/PDSCH can be different for different </w:t>
      </w:r>
      <w:proofErr w:type="spellStart"/>
      <w:r>
        <w:rPr>
          <w:sz w:val="22"/>
          <w:szCs w:val="22"/>
        </w:rPr>
        <w:t>narrowbands</w:t>
      </w:r>
      <w:proofErr w:type="spellEnd"/>
      <w:r>
        <w:rPr>
          <w:sz w:val="22"/>
          <w:szCs w:val="22"/>
        </w:rPr>
        <w:t xml:space="preserve"> and time instances</w:t>
      </w:r>
    </w:p>
    <w:p w14:paraId="527BA53C" w14:textId="19D4682F" w:rsidR="002037A4" w:rsidRDefault="00697EBC" w:rsidP="002037A4">
      <w:pPr>
        <w:pStyle w:val="Heading1"/>
      </w:pPr>
      <w:r>
        <w:t>3</w:t>
      </w:r>
      <w:r w:rsidR="002037A4">
        <w:tab/>
        <w:t>Summary</w:t>
      </w:r>
    </w:p>
    <w:p w14:paraId="3E18BF19" w14:textId="4C1992C9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aspects 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using the control region for MPDCCH/PDSCH to the BL/CE UE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We have the following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proposals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:</w:t>
      </w:r>
    </w:p>
    <w:p w14:paraId="32C75376" w14:textId="77777777" w:rsidR="00697EBC" w:rsidRPr="0068319D" w:rsidRDefault="00697EBC" w:rsidP="00697EBC">
      <w:pPr>
        <w:pStyle w:val="LGTdoc1"/>
        <w:spacing w:beforeLines="0" w:before="120" w:after="220" w:afterAutospacing="0"/>
        <w:rPr>
          <w:sz w:val="22"/>
          <w:szCs w:val="22"/>
        </w:rPr>
      </w:pPr>
      <w:bookmarkStart w:id="2" w:name="_In-sequence_SDU_delivery"/>
      <w:bookmarkEnd w:id="2"/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BL/CE UE can be configured to receive MPDCCH/PDSCH only in the control region of a subframe or in both control and data region of a subframe </w:t>
      </w:r>
    </w:p>
    <w:p w14:paraId="1933B6C4" w14:textId="443F42D3" w:rsidR="00697EBC" w:rsidRPr="0068319D" w:rsidRDefault="00697EBC" w:rsidP="00697EBC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The use of LTE control region for MPDCCH/PDSCH transmission to the BL/CE UE can be applied to broadcast transmission other than SIB1 and unicast transmission</w:t>
      </w:r>
    </w:p>
    <w:p w14:paraId="47A15105" w14:textId="3725C504" w:rsidR="00697EBC" w:rsidRPr="0068319D" w:rsidRDefault="00697EBC" w:rsidP="00697EBC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If the control region in a subframe is used for MPDCCH/PDSCH, the resource mapping shall consider backward compatibility </w:t>
      </w:r>
    </w:p>
    <w:p w14:paraId="5E8A5141" w14:textId="3194A802" w:rsidR="00697EBC" w:rsidRPr="0068319D" w:rsidRDefault="00697EBC" w:rsidP="00697EBC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use of the control region MPDCCH/PDSCH can be different for different </w:t>
      </w:r>
      <w:proofErr w:type="spellStart"/>
      <w:r>
        <w:rPr>
          <w:sz w:val="22"/>
          <w:szCs w:val="22"/>
        </w:rPr>
        <w:t>narrowbands</w:t>
      </w:r>
      <w:proofErr w:type="spellEnd"/>
      <w:r>
        <w:rPr>
          <w:sz w:val="22"/>
          <w:szCs w:val="22"/>
        </w:rPr>
        <w:t xml:space="preserve"> and time instances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3956DE" w14:textId="309302FF" w:rsidR="003A7EF3" w:rsidRPr="00CE0424" w:rsidRDefault="00FA0631" w:rsidP="002037A4">
      <w:pPr>
        <w:pStyle w:val="Reference"/>
        <w:numPr>
          <w:ilvl w:val="0"/>
          <w:numId w:val="0"/>
        </w:numPr>
        <w:ind w:left="567" w:hanging="567"/>
      </w:pPr>
      <w:bookmarkStart w:id="3" w:name="_Ref174151459"/>
      <w:bookmarkStart w:id="4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RP-18145</w:t>
      </w:r>
      <w:r w:rsidR="00900302">
        <w:rPr>
          <w:rFonts w:ascii="Times New Roman" w:hAnsi="Times New Roman"/>
          <w:snapToGrid w:val="0"/>
          <w:sz w:val="22"/>
          <w:szCs w:val="22"/>
        </w:rPr>
        <w:t>0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, “New WID on Rel-16 </w:t>
      </w:r>
      <w:r w:rsidR="00900302">
        <w:rPr>
          <w:rFonts w:ascii="Times New Roman" w:hAnsi="Times New Roman"/>
          <w:snapToGrid w:val="0"/>
          <w:sz w:val="22"/>
          <w:szCs w:val="22"/>
        </w:rPr>
        <w:t xml:space="preserve">MTC 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enhancements for </w:t>
      </w:r>
      <w:r w:rsidR="00900302">
        <w:rPr>
          <w:rFonts w:ascii="Times New Roman" w:hAnsi="Times New Roman"/>
          <w:snapToGrid w:val="0"/>
          <w:sz w:val="22"/>
          <w:szCs w:val="22"/>
        </w:rPr>
        <w:t>LTE</w:t>
      </w:r>
      <w:r w:rsidRPr="00504EAE">
        <w:rPr>
          <w:rFonts w:ascii="Times New Roman" w:hAnsi="Times New Roman"/>
          <w:snapToGrid w:val="0"/>
          <w:sz w:val="22"/>
          <w:szCs w:val="22"/>
        </w:rPr>
        <w:t>”, Ericsson, 3GPP RAN#80 meeting, La Jolla, USA, June 11-14, 2018</w:t>
      </w:r>
      <w:bookmarkEnd w:id="3"/>
      <w:bookmarkEnd w:id="4"/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70E90" w14:textId="77777777" w:rsidR="00F676AC" w:rsidRDefault="00F676AC">
      <w:r>
        <w:separator/>
      </w:r>
    </w:p>
  </w:endnote>
  <w:endnote w:type="continuationSeparator" w:id="0">
    <w:p w14:paraId="539665DB" w14:textId="77777777" w:rsidR="00F676AC" w:rsidRDefault="00F6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0E5728" w:rsidRDefault="000E57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0F24E" w14:textId="77777777" w:rsidR="00F676AC" w:rsidRDefault="00F676AC">
      <w:r>
        <w:separator/>
      </w:r>
    </w:p>
  </w:footnote>
  <w:footnote w:type="continuationSeparator" w:id="0">
    <w:p w14:paraId="45F7F024" w14:textId="77777777" w:rsidR="00F676AC" w:rsidRDefault="00F67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0E5728" w:rsidRDefault="000E57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54A37"/>
    <w:multiLevelType w:val="hybridMultilevel"/>
    <w:tmpl w:val="CEC28ECE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6"/>
  </w:num>
  <w:num w:numId="6">
    <w:abstractNumId w:val="24"/>
  </w:num>
  <w:num w:numId="7">
    <w:abstractNumId w:val="29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1"/>
  </w:num>
  <w:num w:numId="16">
    <w:abstractNumId w:val="31"/>
  </w:num>
  <w:num w:numId="17">
    <w:abstractNumId w:val="11"/>
  </w:num>
  <w:num w:numId="18">
    <w:abstractNumId w:val="13"/>
  </w:num>
  <w:num w:numId="19">
    <w:abstractNumId w:val="7"/>
  </w:num>
  <w:num w:numId="20">
    <w:abstractNumId w:val="33"/>
  </w:num>
  <w:num w:numId="21">
    <w:abstractNumId w:val="18"/>
  </w:num>
  <w:num w:numId="22">
    <w:abstractNumId w:val="32"/>
  </w:num>
  <w:num w:numId="23">
    <w:abstractNumId w:val="12"/>
  </w:num>
  <w:num w:numId="24">
    <w:abstractNumId w:val="22"/>
  </w:num>
  <w:num w:numId="25">
    <w:abstractNumId w:val="34"/>
  </w:num>
  <w:num w:numId="26">
    <w:abstractNumId w:val="3"/>
  </w:num>
  <w:num w:numId="27">
    <w:abstractNumId w:val="10"/>
  </w:num>
  <w:num w:numId="28">
    <w:abstractNumId w:val="30"/>
  </w:num>
  <w:num w:numId="29">
    <w:abstractNumId w:val="5"/>
  </w:num>
  <w:num w:numId="30">
    <w:abstractNumId w:val="6"/>
  </w:num>
  <w:num w:numId="31">
    <w:abstractNumId w:val="27"/>
  </w:num>
  <w:num w:numId="32">
    <w:abstractNumId w:val="9"/>
  </w:num>
  <w:num w:numId="33">
    <w:abstractNumId w:val="23"/>
  </w:num>
  <w:num w:numId="34">
    <w:abstractNumId w:val="14"/>
  </w:num>
  <w:num w:numId="3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5FC2"/>
    <w:rsid w:val="00047A9F"/>
    <w:rsid w:val="00052A07"/>
    <w:rsid w:val="000534E3"/>
    <w:rsid w:val="0005606A"/>
    <w:rsid w:val="00057117"/>
    <w:rsid w:val="00061512"/>
    <w:rsid w:val="000616E7"/>
    <w:rsid w:val="0006487E"/>
    <w:rsid w:val="00065E1A"/>
    <w:rsid w:val="00076617"/>
    <w:rsid w:val="00077E5F"/>
    <w:rsid w:val="0008036A"/>
    <w:rsid w:val="00081AE6"/>
    <w:rsid w:val="00083055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4C0A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E5728"/>
    <w:rsid w:val="000F06D6"/>
    <w:rsid w:val="000F0EB1"/>
    <w:rsid w:val="000F1106"/>
    <w:rsid w:val="000F360A"/>
    <w:rsid w:val="000F3BE9"/>
    <w:rsid w:val="000F3F6C"/>
    <w:rsid w:val="000F43F8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801E1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7380"/>
    <w:rsid w:val="003602D9"/>
    <w:rsid w:val="003604CE"/>
    <w:rsid w:val="003623B1"/>
    <w:rsid w:val="00370E47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0B8C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2D7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7FB"/>
    <w:rsid w:val="00694A9F"/>
    <w:rsid w:val="00695FC2"/>
    <w:rsid w:val="00696949"/>
    <w:rsid w:val="00697052"/>
    <w:rsid w:val="00697EBC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BDE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140"/>
    <w:rsid w:val="0074524B"/>
    <w:rsid w:val="00747D8B"/>
    <w:rsid w:val="00751228"/>
    <w:rsid w:val="007571E1"/>
    <w:rsid w:val="007604B2"/>
    <w:rsid w:val="00765281"/>
    <w:rsid w:val="00766BAD"/>
    <w:rsid w:val="007729A2"/>
    <w:rsid w:val="00773A4B"/>
    <w:rsid w:val="007755F2"/>
    <w:rsid w:val="00776971"/>
    <w:rsid w:val="007800DC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901"/>
    <w:rsid w:val="007D7526"/>
    <w:rsid w:val="007E4610"/>
    <w:rsid w:val="007E4715"/>
    <w:rsid w:val="007E505B"/>
    <w:rsid w:val="007E7091"/>
    <w:rsid w:val="007F637A"/>
    <w:rsid w:val="007F7B7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31BD9"/>
    <w:rsid w:val="00935F86"/>
    <w:rsid w:val="009368F3"/>
    <w:rsid w:val="00941636"/>
    <w:rsid w:val="009431E4"/>
    <w:rsid w:val="00943742"/>
    <w:rsid w:val="00945C05"/>
    <w:rsid w:val="00946945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8E4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D9B"/>
    <w:rsid w:val="00A52E1D"/>
    <w:rsid w:val="00A56D68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81818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14AD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1C5D"/>
    <w:rsid w:val="00AF42D7"/>
    <w:rsid w:val="00B006FE"/>
    <w:rsid w:val="00B007CB"/>
    <w:rsid w:val="00B02AA9"/>
    <w:rsid w:val="00B02FA3"/>
    <w:rsid w:val="00B041DD"/>
    <w:rsid w:val="00B04628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509B4"/>
    <w:rsid w:val="00B548B7"/>
    <w:rsid w:val="00B61DD3"/>
    <w:rsid w:val="00B664C7"/>
    <w:rsid w:val="00B66B6E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682C"/>
    <w:rsid w:val="00C279B5"/>
    <w:rsid w:val="00C27C45"/>
    <w:rsid w:val="00C3719D"/>
    <w:rsid w:val="00C37CB2"/>
    <w:rsid w:val="00C37F70"/>
    <w:rsid w:val="00C405AB"/>
    <w:rsid w:val="00C417E1"/>
    <w:rsid w:val="00C464AA"/>
    <w:rsid w:val="00C473A5"/>
    <w:rsid w:val="00C52930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B40"/>
    <w:rsid w:val="00CA03EB"/>
    <w:rsid w:val="00CA1A04"/>
    <w:rsid w:val="00CA1ED8"/>
    <w:rsid w:val="00CA512D"/>
    <w:rsid w:val="00CB1F63"/>
    <w:rsid w:val="00CB61F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3997"/>
    <w:rsid w:val="00CE7561"/>
    <w:rsid w:val="00CF1354"/>
    <w:rsid w:val="00CF3B1F"/>
    <w:rsid w:val="00CF3BF6"/>
    <w:rsid w:val="00CF625B"/>
    <w:rsid w:val="00CF687E"/>
    <w:rsid w:val="00D0349B"/>
    <w:rsid w:val="00D056D0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1AA9"/>
    <w:rsid w:val="00D4318F"/>
    <w:rsid w:val="00D438BF"/>
    <w:rsid w:val="00D440F8"/>
    <w:rsid w:val="00D4520A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91C"/>
    <w:rsid w:val="00E93FFE"/>
    <w:rsid w:val="00E94F8A"/>
    <w:rsid w:val="00EA0473"/>
    <w:rsid w:val="00EA7A41"/>
    <w:rsid w:val="00EB077B"/>
    <w:rsid w:val="00EB388E"/>
    <w:rsid w:val="00EB4EA2"/>
    <w:rsid w:val="00EC1D6E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37BC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6AC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5B81"/>
    <w:rsid w:val="00FA761F"/>
    <w:rsid w:val="00FB4C80"/>
    <w:rsid w:val="00FB6A6A"/>
    <w:rsid w:val="00FC7429"/>
    <w:rsid w:val="00FD07F6"/>
    <w:rsid w:val="00FD1EC8"/>
    <w:rsid w:val="00FD2B99"/>
    <w:rsid w:val="00FD3120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4F7EA-AA80-40DB-A293-A46EBB7C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3017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7</cp:revision>
  <cp:lastPrinted>2008-01-31T07:09:00Z</cp:lastPrinted>
  <dcterms:created xsi:type="dcterms:W3CDTF">2018-08-08T09:22:00Z</dcterms:created>
  <dcterms:modified xsi:type="dcterms:W3CDTF">2018-08-10T16:44:00Z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