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F6799" w14:textId="7CF4662C" w:rsidR="008824AD" w:rsidRPr="008671BB" w:rsidRDefault="008824AD">
      <w:pPr>
        <w:pStyle w:val="Header"/>
        <w:rPr>
          <w:rFonts w:eastAsia="Arial" w:cs="Arial"/>
          <w:noProof w:val="0"/>
          <w:sz w:val="24"/>
          <w:szCs w:val="24"/>
          <w:lang w:val="en-GB"/>
        </w:rPr>
      </w:pPr>
      <w:r w:rsidRPr="008671BB">
        <w:rPr>
          <w:noProof w:val="0"/>
          <w:sz w:val="24"/>
          <w:szCs w:val="24"/>
          <w:lang w:val="en-GB"/>
        </w:rPr>
        <w:t>3GPP TSG RAN WG1 Meeting #9</w:t>
      </w:r>
      <w:r w:rsidR="0032324A" w:rsidRPr="008671BB">
        <w:rPr>
          <w:noProof w:val="0"/>
          <w:sz w:val="24"/>
          <w:szCs w:val="24"/>
          <w:lang w:val="en-GB"/>
        </w:rPr>
        <w:t>4</w:t>
      </w:r>
      <w:r w:rsidRPr="008824AD">
        <w:rPr>
          <w:rFonts w:cs="Arial"/>
          <w:bCs/>
          <w:noProof w:val="0"/>
          <w:sz w:val="24"/>
          <w:lang w:val="en-GB"/>
        </w:rPr>
        <w:tab/>
      </w:r>
      <w:r w:rsidRPr="008824AD">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004F7D4F" w:rsidRPr="004F7D4F">
        <w:rPr>
          <w:noProof w:val="0"/>
          <w:sz w:val="24"/>
          <w:szCs w:val="24"/>
          <w:lang w:val="en-GB"/>
        </w:rPr>
        <w:t>R1-1808952</w:t>
      </w:r>
    </w:p>
    <w:p w14:paraId="56A8114B" w14:textId="10B7DF76" w:rsidR="00CA26CE" w:rsidRPr="008671BB" w:rsidRDefault="0032324A">
      <w:pPr>
        <w:pStyle w:val="Header"/>
        <w:rPr>
          <w:rFonts w:eastAsia="Arial" w:cs="Arial"/>
          <w:noProof w:val="0"/>
          <w:sz w:val="24"/>
          <w:szCs w:val="24"/>
          <w:lang w:val="en-GB"/>
        </w:rPr>
      </w:pPr>
      <w:r w:rsidRPr="008671BB">
        <w:rPr>
          <w:noProof w:val="0"/>
          <w:sz w:val="24"/>
          <w:szCs w:val="24"/>
          <w:lang w:val="en-GB"/>
        </w:rPr>
        <w:t>Gothenburg</w:t>
      </w:r>
      <w:r w:rsidR="008824AD" w:rsidRPr="008671BB">
        <w:rPr>
          <w:rFonts w:eastAsia="Arial" w:cs="Arial"/>
          <w:noProof w:val="0"/>
          <w:sz w:val="24"/>
          <w:szCs w:val="24"/>
          <w:lang w:val="en-GB"/>
        </w:rPr>
        <w:t xml:space="preserve">, </w:t>
      </w:r>
      <w:r w:rsidRPr="008671BB">
        <w:rPr>
          <w:noProof w:val="0"/>
          <w:sz w:val="24"/>
          <w:szCs w:val="24"/>
          <w:lang w:val="en-GB"/>
        </w:rPr>
        <w:t>Sweden</w:t>
      </w:r>
      <w:r w:rsidR="008824AD" w:rsidRPr="008671BB">
        <w:rPr>
          <w:rFonts w:eastAsia="Arial" w:cs="Arial"/>
          <w:noProof w:val="0"/>
          <w:sz w:val="24"/>
          <w:szCs w:val="24"/>
          <w:lang w:val="en-GB"/>
        </w:rPr>
        <w:t xml:space="preserve">, </w:t>
      </w:r>
      <w:r w:rsidRPr="008671BB">
        <w:rPr>
          <w:noProof w:val="0"/>
          <w:sz w:val="24"/>
          <w:szCs w:val="24"/>
          <w:lang w:val="en-GB"/>
        </w:rPr>
        <w:t>August</w:t>
      </w:r>
      <w:r w:rsidR="008824AD" w:rsidRPr="008671BB">
        <w:rPr>
          <w:rFonts w:eastAsia="Arial" w:cs="Arial"/>
          <w:noProof w:val="0"/>
          <w:sz w:val="24"/>
          <w:szCs w:val="24"/>
          <w:lang w:val="en-GB"/>
        </w:rPr>
        <w:t xml:space="preserve"> </w:t>
      </w:r>
      <w:r w:rsidRPr="008671BB">
        <w:rPr>
          <w:noProof w:val="0"/>
          <w:sz w:val="24"/>
          <w:szCs w:val="24"/>
          <w:lang w:val="en-GB"/>
        </w:rPr>
        <w:t>20th</w:t>
      </w:r>
      <w:r w:rsidR="008824AD" w:rsidRPr="008671BB">
        <w:rPr>
          <w:noProof w:val="0"/>
          <w:sz w:val="24"/>
          <w:szCs w:val="24"/>
          <w:lang w:val="en-GB"/>
        </w:rPr>
        <w:t xml:space="preserve"> – 2</w:t>
      </w:r>
      <w:r w:rsidRPr="008671BB">
        <w:rPr>
          <w:noProof w:val="0"/>
          <w:sz w:val="24"/>
          <w:szCs w:val="24"/>
          <w:lang w:val="en-GB"/>
        </w:rPr>
        <w:t>4</w:t>
      </w:r>
      <w:r w:rsidR="008824AD" w:rsidRPr="008671BB">
        <w:rPr>
          <w:noProof w:val="0"/>
          <w:sz w:val="24"/>
          <w:szCs w:val="24"/>
          <w:lang w:val="en-GB"/>
        </w:rPr>
        <w:t>th, 2018</w:t>
      </w:r>
    </w:p>
    <w:p w14:paraId="62BDED9C" w14:textId="77777777" w:rsidR="008824AD" w:rsidRPr="0016316A" w:rsidRDefault="008824AD" w:rsidP="008824AD">
      <w:pPr>
        <w:pStyle w:val="Header"/>
        <w:rPr>
          <w:bCs/>
          <w:noProof w:val="0"/>
          <w:sz w:val="24"/>
          <w:lang w:val="en-GB" w:eastAsia="ja-JP"/>
        </w:rPr>
      </w:pPr>
    </w:p>
    <w:p w14:paraId="08AC4AD5" w14:textId="01650E5D" w:rsidR="0034111C" w:rsidRPr="008671BB" w:rsidRDefault="0034111C">
      <w:pPr>
        <w:pStyle w:val="CRCoverPage"/>
        <w:rPr>
          <w:rFonts w:eastAsia="Arial" w:cs="Arial"/>
          <w:b/>
          <w:bCs/>
          <w:sz w:val="24"/>
          <w:szCs w:val="24"/>
          <w:lang w:val="en-US" w:eastAsia="ja-JP"/>
        </w:rPr>
      </w:pPr>
      <w:r w:rsidRPr="008671BB">
        <w:rPr>
          <w:b/>
          <w:bCs/>
          <w:sz w:val="24"/>
          <w:szCs w:val="24"/>
        </w:rPr>
        <w:t>Agenda item:</w:t>
      </w:r>
      <w:r w:rsidRPr="00195EC5">
        <w:rPr>
          <w:rFonts w:cs="Arial"/>
          <w:b/>
          <w:bCs/>
          <w:sz w:val="24"/>
        </w:rPr>
        <w:tab/>
      </w:r>
      <w:r w:rsidRPr="00195EC5">
        <w:rPr>
          <w:rFonts w:cs="Arial"/>
          <w:b/>
          <w:bCs/>
          <w:sz w:val="24"/>
        </w:rPr>
        <w:tab/>
      </w:r>
      <w:r w:rsidR="00E215CE" w:rsidRPr="008671BB">
        <w:rPr>
          <w:b/>
          <w:bCs/>
          <w:sz w:val="24"/>
          <w:szCs w:val="24"/>
        </w:rPr>
        <w:t>7.</w:t>
      </w:r>
      <w:r w:rsidR="00B11646" w:rsidRPr="008671BB">
        <w:rPr>
          <w:b/>
          <w:bCs/>
          <w:sz w:val="24"/>
          <w:szCs w:val="24"/>
        </w:rPr>
        <w:t>1.</w:t>
      </w:r>
      <w:r w:rsidR="00E215CE" w:rsidRPr="008671BB">
        <w:rPr>
          <w:b/>
          <w:bCs/>
          <w:sz w:val="24"/>
          <w:szCs w:val="24"/>
        </w:rPr>
        <w:t>3.1.</w:t>
      </w:r>
    </w:p>
    <w:p w14:paraId="54BF8606" w14:textId="6C255ADC" w:rsidR="00E128F2" w:rsidRPr="008671BB" w:rsidRDefault="0034111C" w:rsidP="008671BB">
      <w:pPr>
        <w:tabs>
          <w:tab w:val="left" w:pos="1985"/>
        </w:tabs>
        <w:spacing w:after="120"/>
        <w:ind w:left="1985" w:hanging="1985"/>
        <w:rPr>
          <w:rFonts w:ascii="Arial" w:eastAsia="Arial" w:hAnsi="Arial" w:cs="Arial"/>
          <w:b/>
          <w:bCs/>
          <w:sz w:val="24"/>
          <w:szCs w:val="24"/>
          <w:lang w:val="en-US"/>
        </w:rPr>
      </w:pPr>
      <w:r w:rsidRPr="008671BB">
        <w:rPr>
          <w:rFonts w:ascii="Arial" w:eastAsia="Arial" w:hAnsi="Arial" w:cs="Arial"/>
          <w:b/>
          <w:bCs/>
          <w:sz w:val="24"/>
          <w:szCs w:val="24"/>
        </w:rPr>
        <w:t>Source:</w:t>
      </w:r>
      <w:r w:rsidRPr="0016316A">
        <w:rPr>
          <w:rFonts w:ascii="Arial" w:hAnsi="Arial" w:cs="Arial"/>
          <w:b/>
          <w:bCs/>
          <w:sz w:val="24"/>
        </w:rPr>
        <w:tab/>
      </w:r>
      <w:r w:rsidR="00013455" w:rsidRPr="008671BB">
        <w:rPr>
          <w:rFonts w:ascii="Arial" w:eastAsia="Arial" w:hAnsi="Arial" w:cs="Arial"/>
          <w:b/>
          <w:bCs/>
          <w:sz w:val="24"/>
          <w:szCs w:val="24"/>
        </w:rPr>
        <w:t xml:space="preserve">Nokia, </w:t>
      </w:r>
      <w:r w:rsidR="00B22CD3" w:rsidRPr="008671BB">
        <w:rPr>
          <w:rFonts w:ascii="Arial" w:eastAsia="Arial" w:hAnsi="Arial" w:cs="Arial"/>
          <w:b/>
          <w:bCs/>
          <w:sz w:val="24"/>
          <w:szCs w:val="24"/>
        </w:rPr>
        <w:t xml:space="preserve">Nokia </w:t>
      </w:r>
      <w:r w:rsidR="00013455" w:rsidRPr="008671BB">
        <w:rPr>
          <w:rFonts w:ascii="Arial" w:eastAsia="Arial" w:hAnsi="Arial" w:cs="Arial"/>
          <w:b/>
          <w:bCs/>
          <w:sz w:val="24"/>
          <w:szCs w:val="24"/>
        </w:rPr>
        <w:t>Shanghai Bell</w:t>
      </w:r>
    </w:p>
    <w:p w14:paraId="52857A4E" w14:textId="33E14D5D" w:rsidR="0034111C" w:rsidRPr="008671BB" w:rsidRDefault="0034111C">
      <w:pPr>
        <w:ind w:left="1985" w:hanging="1985"/>
        <w:rPr>
          <w:rFonts w:ascii="Arial" w:eastAsia="Arial" w:hAnsi="Arial" w:cs="Arial"/>
          <w:b/>
          <w:bCs/>
          <w:sz w:val="24"/>
          <w:szCs w:val="24"/>
        </w:rPr>
      </w:pPr>
      <w:r w:rsidRPr="008671BB">
        <w:rPr>
          <w:rFonts w:ascii="Arial" w:eastAsia="Arial" w:hAnsi="Arial" w:cs="Arial"/>
          <w:b/>
          <w:bCs/>
          <w:sz w:val="24"/>
          <w:szCs w:val="24"/>
        </w:rPr>
        <w:t>Title:</w:t>
      </w:r>
      <w:r w:rsidRPr="0016316A">
        <w:rPr>
          <w:rFonts w:ascii="Arial" w:hAnsi="Arial" w:cs="Arial"/>
          <w:b/>
          <w:bCs/>
          <w:sz w:val="24"/>
        </w:rPr>
        <w:tab/>
      </w:r>
      <w:r w:rsidR="00A35FC3">
        <w:rPr>
          <w:rFonts w:ascii="Arial" w:hAnsi="Arial" w:cs="Arial"/>
          <w:b/>
          <w:bCs/>
          <w:sz w:val="24"/>
        </w:rPr>
        <w:t xml:space="preserve">On </w:t>
      </w:r>
      <w:r w:rsidR="00A35FC3">
        <w:rPr>
          <w:rFonts w:ascii="Arial" w:eastAsia="Arial" w:hAnsi="Arial" w:cs="Arial"/>
          <w:b/>
          <w:bCs/>
          <w:sz w:val="24"/>
          <w:szCs w:val="24"/>
        </w:rPr>
        <w:t>r</w:t>
      </w:r>
      <w:r w:rsidR="004B1484" w:rsidRPr="008671BB">
        <w:rPr>
          <w:rFonts w:ascii="Arial" w:eastAsia="Arial" w:hAnsi="Arial" w:cs="Arial"/>
          <w:b/>
          <w:bCs/>
          <w:sz w:val="24"/>
          <w:szCs w:val="24"/>
        </w:rPr>
        <w:t xml:space="preserve">emaining details </w:t>
      </w:r>
      <w:r w:rsidR="00536910" w:rsidRPr="008671BB">
        <w:rPr>
          <w:rFonts w:ascii="Arial" w:eastAsia="Arial" w:hAnsi="Arial" w:cs="Arial"/>
          <w:b/>
          <w:bCs/>
          <w:sz w:val="24"/>
          <w:szCs w:val="24"/>
        </w:rPr>
        <w:t xml:space="preserve">of DL control </w:t>
      </w:r>
    </w:p>
    <w:p w14:paraId="65B1F247" w14:textId="77777777" w:rsidR="0034111C" w:rsidRPr="008671BB" w:rsidRDefault="0034111C">
      <w:pPr>
        <w:rPr>
          <w:rFonts w:ascii="Arial" w:eastAsia="Arial" w:hAnsi="Arial" w:cs="Arial"/>
          <w:b/>
          <w:bCs/>
          <w:sz w:val="24"/>
          <w:szCs w:val="24"/>
        </w:rPr>
      </w:pPr>
      <w:r w:rsidRPr="008671BB">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8671BB">
        <w:rPr>
          <w:rFonts w:ascii="Arial" w:eastAsia="Arial" w:hAnsi="Arial" w:cs="Arial"/>
          <w:b/>
          <w:bCs/>
          <w:sz w:val="24"/>
          <w:szCs w:val="24"/>
        </w:rPr>
        <w:t>Discussion and Decision</w:t>
      </w:r>
    </w:p>
    <w:p w14:paraId="76A875DE" w14:textId="28A114F3" w:rsidR="0034111C" w:rsidRPr="0016316A" w:rsidRDefault="00EE7FA7" w:rsidP="001F1E0F">
      <w:pPr>
        <w:pStyle w:val="Heading1"/>
      </w:pPr>
      <w:r w:rsidRPr="0016316A">
        <w:t>Introduction</w:t>
      </w:r>
    </w:p>
    <w:p w14:paraId="25049A04" w14:textId="77777777" w:rsidR="00536910" w:rsidRPr="008671BB" w:rsidRDefault="00536910" w:rsidP="008671BB">
      <w:pPr>
        <w:overflowPunct/>
        <w:autoSpaceDE/>
        <w:autoSpaceDN/>
        <w:adjustRightInd/>
        <w:spacing w:before="100" w:beforeAutospacing="1" w:after="100" w:afterAutospacing="1"/>
        <w:jc w:val="both"/>
        <w:textAlignment w:val="auto"/>
        <w:rPr>
          <w:rFonts w:eastAsia="Times New Roman"/>
        </w:rPr>
      </w:pPr>
      <w:r w:rsidRPr="008671BB">
        <w:t xml:space="preserve">In this contribution, we will discuss the following remaining topics of DL control </w:t>
      </w:r>
      <w:r w:rsidR="008566DE" w:rsidRPr="4FB8EC98">
        <w:rPr>
          <w:rFonts w:eastAsia="Times New Roman"/>
        </w:rPr>
        <w:t xml:space="preserve"> </w:t>
      </w:r>
    </w:p>
    <w:p w14:paraId="244E15B5" w14:textId="0E94108B" w:rsidR="008C6D94" w:rsidRPr="00E231CD" w:rsidRDefault="008566DE" w:rsidP="008671BB">
      <w:pPr>
        <w:pStyle w:val="ListParagraph"/>
        <w:numPr>
          <w:ilvl w:val="0"/>
          <w:numId w:val="6"/>
        </w:numPr>
        <w:spacing w:before="100" w:beforeAutospacing="1" w:after="100" w:afterAutospacing="1"/>
        <w:jc w:val="both"/>
        <w:rPr>
          <w:rFonts w:eastAsia="Times New Roman"/>
          <w:sz w:val="22"/>
          <w:szCs w:val="22"/>
          <w:lang w:val="en-US"/>
        </w:rPr>
      </w:pPr>
      <w:r w:rsidRPr="00E231CD">
        <w:rPr>
          <w:b/>
          <w:bCs/>
          <w:sz w:val="22"/>
          <w:szCs w:val="22"/>
          <w:lang w:val="en-US"/>
        </w:rPr>
        <w:t>TCI state for CORESET#0</w:t>
      </w:r>
      <w:r w:rsidRPr="00E231CD">
        <w:rPr>
          <w:rFonts w:eastAsia="Times New Roman"/>
          <w:sz w:val="22"/>
          <w:szCs w:val="22"/>
          <w:lang w:val="en-US"/>
        </w:rPr>
        <w:t xml:space="preserve">, </w:t>
      </w:r>
      <w:r w:rsidR="00536910" w:rsidRPr="00E231CD">
        <w:rPr>
          <w:sz w:val="22"/>
          <w:szCs w:val="22"/>
          <w:lang w:val="en-US"/>
        </w:rPr>
        <w:t>in RAN1 #93</w:t>
      </w:r>
      <w:r w:rsidRPr="00E231CD">
        <w:rPr>
          <w:sz w:val="22"/>
          <w:szCs w:val="22"/>
          <w:lang w:val="en-US"/>
        </w:rPr>
        <w:t xml:space="preserve"> after long o</w:t>
      </w:r>
      <w:r w:rsidR="000C0530" w:rsidRPr="00E231CD">
        <w:rPr>
          <w:sz w:val="22"/>
          <w:szCs w:val="22"/>
          <w:lang w:val="en-US"/>
        </w:rPr>
        <w:t xml:space="preserve">ffline discussion five alternative were identified (see Appendix). However, no official agreement was reached. In this contribution we will discuss these options and state our preference. </w:t>
      </w:r>
      <w:r w:rsidR="008C6D94" w:rsidRPr="00E231CD">
        <w:rPr>
          <w:rFonts w:eastAsia="Times New Roman"/>
          <w:sz w:val="22"/>
          <w:szCs w:val="22"/>
          <w:lang w:val="en-US"/>
        </w:rPr>
        <w:t xml:space="preserve"> </w:t>
      </w:r>
    </w:p>
    <w:p w14:paraId="614B5280" w14:textId="4F17B494" w:rsidR="008321CF" w:rsidRPr="00E231CD" w:rsidRDefault="008321CF" w:rsidP="008671BB">
      <w:pPr>
        <w:pStyle w:val="ListParagraph"/>
        <w:numPr>
          <w:ilvl w:val="0"/>
          <w:numId w:val="6"/>
        </w:numPr>
        <w:spacing w:before="100" w:beforeAutospacing="1" w:after="100" w:afterAutospacing="1"/>
        <w:jc w:val="both"/>
        <w:rPr>
          <w:rFonts w:eastAsia="Times New Roman"/>
          <w:sz w:val="22"/>
          <w:szCs w:val="22"/>
          <w:lang w:val="en-US"/>
        </w:rPr>
      </w:pPr>
      <w:r w:rsidRPr="00E231CD">
        <w:rPr>
          <w:b/>
          <w:bCs/>
          <w:sz w:val="22"/>
          <w:szCs w:val="22"/>
          <w:lang w:val="en-US"/>
        </w:rPr>
        <w:t>BD capabilities in CA</w:t>
      </w:r>
    </w:p>
    <w:p w14:paraId="5B77835B" w14:textId="2209E158" w:rsidR="008321CF" w:rsidRPr="001E4CAC" w:rsidRDefault="00E231CD" w:rsidP="008671BB">
      <w:pPr>
        <w:pStyle w:val="ListParagraph"/>
        <w:numPr>
          <w:ilvl w:val="0"/>
          <w:numId w:val="6"/>
        </w:numPr>
        <w:spacing w:before="100" w:beforeAutospacing="1" w:after="100" w:afterAutospacing="1"/>
        <w:jc w:val="both"/>
        <w:rPr>
          <w:rFonts w:eastAsia="Times New Roman"/>
          <w:b/>
          <w:sz w:val="22"/>
          <w:szCs w:val="22"/>
          <w:lang w:val="en-US"/>
        </w:rPr>
      </w:pPr>
      <w:r w:rsidRPr="00E231CD">
        <w:rPr>
          <w:rFonts w:eastAsia="Times New Roman"/>
          <w:b/>
          <w:bCs/>
          <w:sz w:val="22"/>
          <w:szCs w:val="22"/>
          <w:lang w:val="en-US"/>
        </w:rPr>
        <w:t xml:space="preserve">Response to LS </w:t>
      </w:r>
      <w:r w:rsidRPr="00E231CD">
        <w:rPr>
          <w:b/>
          <w:sz w:val="22"/>
          <w:szCs w:val="22"/>
          <w:lang w:val="en-US"/>
        </w:rPr>
        <w:t xml:space="preserve">R2-1810968 </w:t>
      </w:r>
      <w:r>
        <w:rPr>
          <w:b/>
          <w:sz w:val="22"/>
          <w:szCs w:val="22"/>
          <w:lang w:val="en-US"/>
        </w:rPr>
        <w:t xml:space="preserve">on </w:t>
      </w:r>
      <w:r w:rsidR="00AE507F">
        <w:rPr>
          <w:b/>
          <w:sz w:val="22"/>
          <w:szCs w:val="22"/>
          <w:lang w:val="en-US"/>
        </w:rPr>
        <w:t>SI and paging</w:t>
      </w:r>
      <w:r>
        <w:rPr>
          <w:b/>
          <w:sz w:val="22"/>
          <w:szCs w:val="22"/>
          <w:lang w:val="en-US"/>
        </w:rPr>
        <w:t xml:space="preserve"> monitoring</w:t>
      </w:r>
      <w:r w:rsidRPr="00E231CD">
        <w:rPr>
          <w:rFonts w:eastAsia="Times New Roman"/>
          <w:b/>
          <w:bCs/>
          <w:sz w:val="22"/>
          <w:szCs w:val="22"/>
          <w:lang w:val="en-US"/>
        </w:rPr>
        <w:t xml:space="preserve"> </w:t>
      </w:r>
    </w:p>
    <w:p w14:paraId="080C2625" w14:textId="5BE6D103" w:rsidR="006818BE" w:rsidRDefault="006818BE" w:rsidP="006818BE">
      <w:pPr>
        <w:pStyle w:val="Heading1"/>
      </w:pPr>
      <w:r>
        <w:t>CORESET</w:t>
      </w:r>
      <w:r w:rsidR="00163D02">
        <w:t>#0</w:t>
      </w:r>
      <w:r>
        <w:t xml:space="preserve"> configurations </w:t>
      </w:r>
      <w:r w:rsidR="00C14FA4">
        <w:t>and TCI state</w:t>
      </w:r>
      <w:r>
        <w:t xml:space="preserve"> </w:t>
      </w:r>
    </w:p>
    <w:p w14:paraId="7B7D19CF" w14:textId="07074F7F" w:rsidR="00163D02" w:rsidRDefault="00163D02" w:rsidP="002252D3">
      <w:pPr>
        <w:jc w:val="both"/>
      </w:pPr>
      <w:r w:rsidRPr="00163D02">
        <w:t xml:space="preserve">CORESET#0 and SS#0 are configured to a NSA UE </w:t>
      </w:r>
      <w:r w:rsidR="008321CF">
        <w:t>in IE</w:t>
      </w:r>
      <w:r w:rsidRPr="00163D02">
        <w:t xml:space="preserve"> </w:t>
      </w:r>
      <w:r w:rsidRPr="008671BB">
        <w:rPr>
          <w:i/>
          <w:iCs/>
        </w:rPr>
        <w:t>pdcch-ConfigCommon</w:t>
      </w:r>
      <w:r w:rsidRPr="00163D02">
        <w:t xml:space="preserve"> </w:t>
      </w:r>
      <w:r w:rsidR="008321CF">
        <w:t>by</w:t>
      </w:r>
      <w:r w:rsidR="000A2EFA">
        <w:t xml:space="preserve"> 4 and </w:t>
      </w:r>
      <w:r w:rsidRPr="00163D02">
        <w:t xml:space="preserve">4 bits as </w:t>
      </w:r>
      <w:r w:rsidR="008321CF">
        <w:t xml:space="preserve">signalled </w:t>
      </w:r>
      <w:r w:rsidRPr="00163D02">
        <w:t>in MIB,</w:t>
      </w:r>
      <w:r w:rsidR="001A2D00">
        <w:t xml:space="preserve"> </w:t>
      </w:r>
      <w:r w:rsidRPr="00163D02">
        <w:t>and define its location and QCL with respect to CD-SSB</w:t>
      </w:r>
      <w:r w:rsidR="008321CF">
        <w:t xml:space="preserve"> burst</w:t>
      </w:r>
      <w:r w:rsidRPr="00163D02">
        <w:t>.</w:t>
      </w:r>
    </w:p>
    <w:p w14:paraId="6E678ADF" w14:textId="7FD2AE97" w:rsidR="00C14FA4" w:rsidRDefault="00C14FA4" w:rsidP="002252D3">
      <w:pPr>
        <w:jc w:val="both"/>
      </w:pPr>
      <w:r>
        <w:t>The NSA UE chooses a beam of its choice when performing random-access. In general</w:t>
      </w:r>
      <w:r w:rsidR="00163D02">
        <w:t>,</w:t>
      </w:r>
      <w:r>
        <w:t xml:space="preserve"> a UE in IDLE or inactive </w:t>
      </w:r>
      <w:r w:rsidR="00163D02">
        <w:t>mode</w:t>
      </w:r>
      <w:r>
        <w:t xml:space="preserve"> may choose </w:t>
      </w:r>
      <w:r w:rsidR="00163D02">
        <w:t xml:space="preserve">beam </w:t>
      </w:r>
      <w:r w:rsidR="008321CF">
        <w:t>of its own choice</w:t>
      </w:r>
      <w:r>
        <w:t>.</w:t>
      </w:r>
      <w:r w:rsidR="008321CF">
        <w:t xml:space="preserve"> On the other hand,</w:t>
      </w:r>
      <w:r w:rsidR="00163D02">
        <w:t xml:space="preserve"> in RRC connected mode,</w:t>
      </w:r>
      <w:r>
        <w:t xml:space="preserve"> the following </w:t>
      </w:r>
      <w:r w:rsidR="00163D02">
        <w:t xml:space="preserve">RAN1#93 </w:t>
      </w:r>
      <w:r>
        <w:t>agreement</w:t>
      </w:r>
      <w:r w:rsidR="00163D02">
        <w:t xml:space="preserve"> defines</w:t>
      </w:r>
      <w:r>
        <w:t xml:space="preserve"> the UE’s behaviour. </w:t>
      </w:r>
    </w:p>
    <w:tbl>
      <w:tblPr>
        <w:tblStyle w:val="TableGrid"/>
        <w:tblW w:w="0" w:type="auto"/>
        <w:tblLook w:val="04A0" w:firstRow="1" w:lastRow="0" w:firstColumn="1" w:lastColumn="0" w:noHBand="0" w:noVBand="1"/>
      </w:tblPr>
      <w:tblGrid>
        <w:gridCol w:w="9629"/>
      </w:tblGrid>
      <w:tr w:rsidR="001A2D00" w14:paraId="52ECEB56" w14:textId="77777777" w:rsidTr="001A2D00">
        <w:tc>
          <w:tcPr>
            <w:tcW w:w="9629" w:type="dxa"/>
          </w:tcPr>
          <w:p w14:paraId="5B234333" w14:textId="77777777" w:rsidR="001A2D00" w:rsidRPr="001A2D00" w:rsidRDefault="001A2D00" w:rsidP="001A2D00">
            <w:pPr>
              <w:pStyle w:val="NormalWeb"/>
              <w:spacing w:before="0" w:beforeAutospacing="0" w:after="0" w:afterAutospacing="0"/>
              <w:ind w:left="720" w:hanging="720"/>
              <w:textAlignment w:val="baseline"/>
              <w:rPr>
                <w:rFonts w:eastAsia="Times New Roman"/>
                <w:i/>
              </w:rPr>
            </w:pPr>
            <w:r>
              <w:t xml:space="preserve">  </w:t>
            </w:r>
            <w:r w:rsidRPr="001A2D00">
              <w:rPr>
                <w:rFonts w:eastAsia="Times"/>
                <w:i/>
                <w:kern w:val="24"/>
                <w:sz w:val="20"/>
                <w:szCs w:val="20"/>
                <w:highlight w:val="green"/>
                <w:lang w:val="en-GB"/>
              </w:rPr>
              <w:t>Agreements (93)</w:t>
            </w:r>
            <w:r w:rsidRPr="001A2D00">
              <w:rPr>
                <w:rFonts w:eastAsia="Times,Batang"/>
                <w:i/>
                <w:kern w:val="24"/>
                <w:sz w:val="20"/>
                <w:szCs w:val="20"/>
                <w:lang w:val="en-GB"/>
              </w:rPr>
              <w:t>:</w:t>
            </w:r>
          </w:p>
          <w:p w14:paraId="72D5E313" w14:textId="77777777" w:rsidR="001A2D00" w:rsidRPr="001A2D00" w:rsidRDefault="001A2D00" w:rsidP="001A2D00">
            <w:pPr>
              <w:overflowPunct/>
              <w:autoSpaceDE/>
              <w:autoSpaceDN/>
              <w:adjustRightInd/>
              <w:spacing w:after="0"/>
              <w:ind w:left="720"/>
              <w:rPr>
                <w:rFonts w:eastAsia="Times New Roman"/>
                <w:i/>
                <w:sz w:val="24"/>
                <w:szCs w:val="24"/>
                <w:lang w:val="en-US"/>
              </w:rPr>
            </w:pPr>
            <w:r w:rsidRPr="001A2D00">
              <w:rPr>
                <w:rFonts w:eastAsia="Times"/>
                <w:i/>
                <w:kern w:val="24"/>
              </w:rPr>
              <w:t>Update previous agreements as follows:</w:t>
            </w:r>
          </w:p>
          <w:p w14:paraId="12755128" w14:textId="77777777" w:rsidR="001A2D00" w:rsidRPr="001A2D00" w:rsidRDefault="001A2D00" w:rsidP="001A2D00">
            <w:pPr>
              <w:numPr>
                <w:ilvl w:val="0"/>
                <w:numId w:val="4"/>
              </w:numPr>
              <w:tabs>
                <w:tab w:val="left" w:pos="720"/>
              </w:tabs>
              <w:overflowPunct/>
              <w:autoSpaceDE/>
              <w:autoSpaceDN/>
              <w:adjustRightInd/>
              <w:spacing w:after="0"/>
              <w:ind w:left="1267"/>
              <w:contextualSpacing/>
              <w:rPr>
                <w:rFonts w:eastAsia="Times New Roman"/>
                <w:i/>
                <w:lang w:val="en-US"/>
              </w:rPr>
            </w:pPr>
            <w:r w:rsidRPr="001A2D00">
              <w:rPr>
                <w:rFonts w:eastAsia="Times"/>
                <w:i/>
                <w:kern w:val="24"/>
                <w:lang w:val="en-US"/>
              </w:rPr>
              <w:t xml:space="preserve">NW and UE maintain the same understanding on SSB/CORESET#0/SS#0 in connected_mode </w:t>
            </w:r>
            <w:r w:rsidRPr="001A2D00">
              <w:rPr>
                <w:rFonts w:eastAsia="Times"/>
                <w:i/>
                <w:strike/>
                <w:kern w:val="24"/>
                <w:u w:val="single"/>
                <w:lang w:val="en-US"/>
              </w:rPr>
              <w:t>at least</w:t>
            </w:r>
            <w:r w:rsidRPr="001A2D00">
              <w:rPr>
                <w:rFonts w:eastAsia="Times"/>
                <w:i/>
                <w:kern w:val="24"/>
                <w:lang w:val="en-US"/>
              </w:rPr>
              <w:t xml:space="preserve"> for non-broadcast PDCCH </w:t>
            </w:r>
            <w:r w:rsidRPr="001A2D00">
              <w:rPr>
                <w:rFonts w:eastAsia="Times"/>
                <w:i/>
                <w:kern w:val="24"/>
                <w:u w:val="single"/>
                <w:lang w:val="en-US"/>
              </w:rPr>
              <w:t>and for broadcast PDCCH</w:t>
            </w:r>
          </w:p>
          <w:p w14:paraId="39B72BBF" w14:textId="77777777" w:rsidR="001A2D00" w:rsidRPr="001A2D00" w:rsidRDefault="001A2D00" w:rsidP="001A2D00">
            <w:pPr>
              <w:numPr>
                <w:ilvl w:val="1"/>
                <w:numId w:val="4"/>
              </w:numPr>
              <w:overflowPunct/>
              <w:autoSpaceDE/>
              <w:autoSpaceDN/>
              <w:adjustRightInd/>
              <w:spacing w:after="0"/>
              <w:ind w:left="2606"/>
              <w:contextualSpacing/>
              <w:rPr>
                <w:rFonts w:eastAsia="Times New Roman"/>
                <w:i/>
                <w:lang w:val="en-US"/>
              </w:rPr>
            </w:pPr>
            <w:r w:rsidRPr="001A2D00">
              <w:rPr>
                <w:rFonts w:eastAsia="Times"/>
                <w:i/>
                <w:kern w:val="24"/>
                <w:lang w:val="en-US"/>
              </w:rPr>
              <w:t>Solutions FFS</w:t>
            </w:r>
          </w:p>
          <w:p w14:paraId="43160B6A" w14:textId="77777777" w:rsidR="001A2D00" w:rsidRPr="001A2D00" w:rsidRDefault="001A2D00" w:rsidP="001A2D00">
            <w:pPr>
              <w:numPr>
                <w:ilvl w:val="0"/>
                <w:numId w:val="4"/>
              </w:numPr>
              <w:tabs>
                <w:tab w:val="left" w:pos="720"/>
              </w:tabs>
              <w:overflowPunct/>
              <w:autoSpaceDE/>
              <w:autoSpaceDN/>
              <w:adjustRightInd/>
              <w:spacing w:after="0"/>
              <w:ind w:left="1267"/>
              <w:contextualSpacing/>
              <w:rPr>
                <w:rFonts w:eastAsia="Times New Roman"/>
                <w:i/>
                <w:lang w:val="en-US"/>
              </w:rPr>
            </w:pPr>
            <w:r w:rsidRPr="001A2D00">
              <w:rPr>
                <w:rFonts w:eastAsia="Times"/>
                <w:i/>
                <w:kern w:val="24"/>
                <w:lang w:val="en-US"/>
              </w:rPr>
              <w:t xml:space="preserve">For the broadcast PDCCH, it is up to UE which common search space to monitor based on which SSB in both </w:t>
            </w:r>
            <w:r w:rsidRPr="001A2D00">
              <w:rPr>
                <w:rFonts w:eastAsia="Times"/>
                <w:i/>
                <w:strike/>
                <w:kern w:val="24"/>
                <w:u w:val="single"/>
                <w:lang w:val="en-US"/>
              </w:rPr>
              <w:t>connected</w:t>
            </w:r>
            <w:r w:rsidRPr="001A2D00">
              <w:rPr>
                <w:rFonts w:eastAsia="Times,Batang"/>
                <w:i/>
                <w:kern w:val="24"/>
                <w:u w:val="single"/>
                <w:lang w:val="en-US"/>
              </w:rPr>
              <w:t>,</w:t>
            </w:r>
            <w:r w:rsidRPr="001A2D00">
              <w:rPr>
                <w:rFonts w:eastAsia="Times"/>
                <w:i/>
                <w:kern w:val="24"/>
                <w:lang w:val="en-US"/>
              </w:rPr>
              <w:t xml:space="preserve"> in-active, and idle modes</w:t>
            </w:r>
          </w:p>
          <w:p w14:paraId="3F1CE794" w14:textId="6FED8FF3" w:rsidR="001A2D00" w:rsidRDefault="001A2D00" w:rsidP="001A2D00">
            <w:pPr>
              <w:numPr>
                <w:ilvl w:val="0"/>
                <w:numId w:val="4"/>
              </w:numPr>
              <w:tabs>
                <w:tab w:val="left" w:pos="720"/>
              </w:tabs>
              <w:overflowPunct/>
              <w:autoSpaceDE/>
              <w:autoSpaceDN/>
              <w:adjustRightInd/>
              <w:spacing w:after="0"/>
              <w:ind w:left="1267"/>
              <w:contextualSpacing/>
            </w:pPr>
            <w:r w:rsidRPr="001A2D00">
              <w:rPr>
                <w:rFonts w:eastAsia="Times"/>
                <w:i/>
                <w:kern w:val="24"/>
                <w:lang w:val="en-US"/>
              </w:rPr>
              <w:t>Unicast PDSCH can be scheduled by a DCI associated with the CORESET #0</w:t>
            </w:r>
          </w:p>
        </w:tc>
      </w:tr>
    </w:tbl>
    <w:p w14:paraId="117203A4" w14:textId="6F291079" w:rsidR="00B337DA" w:rsidRDefault="00B337DA" w:rsidP="00FA3AFA">
      <w:pPr>
        <w:rPr>
          <w:lang w:val="en-US"/>
        </w:rPr>
      </w:pPr>
    </w:p>
    <w:p w14:paraId="1569DDA2" w14:textId="6FC46E2E" w:rsidR="00163D02" w:rsidRPr="00163D02" w:rsidRDefault="00163D02" w:rsidP="00163D02">
      <w:pPr>
        <w:spacing w:after="0"/>
        <w:rPr>
          <w:lang w:val="en-US"/>
        </w:rPr>
      </w:pPr>
      <w:r w:rsidRPr="00163D02">
        <w:rPr>
          <w:lang w:val="en-US"/>
        </w:rPr>
        <w:t xml:space="preserve">The </w:t>
      </w:r>
      <w:r w:rsidR="008321CF">
        <w:rPr>
          <w:lang w:val="en-US"/>
        </w:rPr>
        <w:t>above agreement carries t</w:t>
      </w:r>
      <w:r w:rsidR="001A2D00">
        <w:rPr>
          <w:lang w:val="en-US"/>
        </w:rPr>
        <w:t>w</w:t>
      </w:r>
      <w:r w:rsidR="008321CF">
        <w:rPr>
          <w:lang w:val="en-US"/>
        </w:rPr>
        <w:t xml:space="preserve">o </w:t>
      </w:r>
      <w:r w:rsidRPr="00163D02">
        <w:rPr>
          <w:lang w:val="en-US"/>
        </w:rPr>
        <w:t>main messages</w:t>
      </w:r>
      <w:r>
        <w:rPr>
          <w:lang w:val="en-US"/>
        </w:rPr>
        <w:t>:</w:t>
      </w:r>
    </w:p>
    <w:p w14:paraId="14E20E3B" w14:textId="5DC3DB5C" w:rsidR="00163D02" w:rsidRPr="00163D02" w:rsidRDefault="00163D02" w:rsidP="0050658D">
      <w:pPr>
        <w:pStyle w:val="ListParagraph"/>
        <w:numPr>
          <w:ilvl w:val="0"/>
          <w:numId w:val="5"/>
        </w:numPr>
        <w:rPr>
          <w:sz w:val="20"/>
          <w:szCs w:val="20"/>
          <w:lang w:val="en-US"/>
        </w:rPr>
      </w:pPr>
      <w:r w:rsidRPr="00163D02">
        <w:rPr>
          <w:sz w:val="20"/>
          <w:szCs w:val="20"/>
          <w:lang w:val="en-US"/>
        </w:rPr>
        <w:t>unicast and broadcast in connected mode are delivered using the same beam at a given time</w:t>
      </w:r>
    </w:p>
    <w:p w14:paraId="696D9963" w14:textId="7C65B133" w:rsidR="00163D02" w:rsidRPr="00163D02" w:rsidRDefault="00163D02" w:rsidP="0050658D">
      <w:pPr>
        <w:pStyle w:val="ListParagraph"/>
        <w:numPr>
          <w:ilvl w:val="0"/>
          <w:numId w:val="5"/>
        </w:numPr>
        <w:rPr>
          <w:sz w:val="20"/>
          <w:szCs w:val="20"/>
          <w:lang w:val="en-US"/>
        </w:rPr>
      </w:pPr>
      <w:r w:rsidRPr="00163D02">
        <w:rPr>
          <w:sz w:val="20"/>
          <w:szCs w:val="20"/>
          <w:lang w:val="en-US"/>
        </w:rPr>
        <w:t>unicast can be scheduled in CORESET#0</w:t>
      </w:r>
    </w:p>
    <w:p w14:paraId="2DFDA48F" w14:textId="4C685769" w:rsidR="00163D02" w:rsidRDefault="00163D02" w:rsidP="00163D02">
      <w:pPr>
        <w:rPr>
          <w:lang w:val="en-US"/>
        </w:rPr>
      </w:pPr>
    </w:p>
    <w:p w14:paraId="0E54CE16" w14:textId="4C7840B9" w:rsidR="000E4602" w:rsidRDefault="004B5252" w:rsidP="002252D3">
      <w:pPr>
        <w:jc w:val="both"/>
        <w:rPr>
          <w:lang w:val="en-US"/>
        </w:rPr>
      </w:pPr>
      <w:r>
        <w:rPr>
          <w:lang w:val="en-US"/>
        </w:rPr>
        <w:t>When analyzing the proposed alternatives</w:t>
      </w:r>
      <w:r w:rsidR="008321CF">
        <w:rPr>
          <w:lang w:val="en-US"/>
        </w:rPr>
        <w:t xml:space="preserve"> summarized in App</w:t>
      </w:r>
      <w:bookmarkStart w:id="0" w:name="_GoBack"/>
      <w:bookmarkEnd w:id="0"/>
      <w:r w:rsidR="008321CF">
        <w:rPr>
          <w:lang w:val="en-US"/>
        </w:rPr>
        <w:t>endix</w:t>
      </w:r>
      <w:r>
        <w:rPr>
          <w:lang w:val="en-US"/>
        </w:rPr>
        <w:t xml:space="preserve">, </w:t>
      </w:r>
      <w:r w:rsidR="000A2EFA">
        <w:rPr>
          <w:lang w:val="en-US"/>
        </w:rPr>
        <w:t xml:space="preserve">for </w:t>
      </w:r>
      <w:r w:rsidRPr="008671BB">
        <w:rPr>
          <w:b/>
          <w:bCs/>
          <w:lang w:val="en-US"/>
        </w:rPr>
        <w:t>Alternative 1 and 1’</w:t>
      </w:r>
      <w:r>
        <w:rPr>
          <w:lang w:val="en-US"/>
        </w:rPr>
        <w:t xml:space="preserve"> new TCI state for CORESET#0 would have to be introduced in RAN</w:t>
      </w:r>
      <w:r w:rsidR="000E4602">
        <w:rPr>
          <w:lang w:val="en-US"/>
        </w:rPr>
        <w:t>2</w:t>
      </w:r>
      <w:r>
        <w:rPr>
          <w:lang w:val="en-US"/>
        </w:rPr>
        <w:t xml:space="preserve">. With </w:t>
      </w:r>
      <w:r w:rsidRPr="008671BB">
        <w:rPr>
          <w:b/>
          <w:bCs/>
          <w:lang w:val="en-US"/>
        </w:rPr>
        <w:t>Alternative 2</w:t>
      </w:r>
      <w:r>
        <w:rPr>
          <w:lang w:val="en-US"/>
        </w:rPr>
        <w:t xml:space="preserve">, MAC-CE would </w:t>
      </w:r>
      <w:r w:rsidR="000E4602">
        <w:rPr>
          <w:lang w:val="en-US"/>
        </w:rPr>
        <w:t xml:space="preserve">have to be redesigned to enable direct SSB </w:t>
      </w:r>
      <w:r w:rsidR="00AB35E5">
        <w:rPr>
          <w:lang w:val="en-US"/>
        </w:rPr>
        <w:t>indication</w:t>
      </w:r>
      <w:r w:rsidR="000E4602">
        <w:rPr>
          <w:lang w:val="en-US"/>
        </w:rPr>
        <w:t xml:space="preserve"> for CORESET#0.</w:t>
      </w:r>
      <w:r w:rsidR="00AB35E5">
        <w:rPr>
          <w:lang w:val="en-US"/>
        </w:rPr>
        <w:t xml:space="preserve"> In more detail, </w:t>
      </w:r>
      <w:r w:rsidR="00AB35E5" w:rsidRPr="00AB35E5">
        <w:rPr>
          <w:lang w:val="en-US"/>
        </w:rPr>
        <w:t>6.1.3.15</w:t>
      </w:r>
      <w:r w:rsidR="00AB35E5">
        <w:rPr>
          <w:lang w:val="en-US"/>
        </w:rPr>
        <w:t xml:space="preserve"> of TS38.321 there would have to be alternative interpretation of </w:t>
      </w:r>
      <w:r w:rsidR="00AB35E5" w:rsidRPr="00F72E89">
        <w:rPr>
          <w:noProof/>
          <w:lang w:eastAsia="ko-KR"/>
        </w:rPr>
        <w:t>T</w:t>
      </w:r>
      <w:r w:rsidR="00AB35E5" w:rsidRPr="00F72E89">
        <w:rPr>
          <w:noProof/>
        </w:rPr>
        <w:t>CI State ID</w:t>
      </w:r>
      <w:r w:rsidR="00AB35E5">
        <w:rPr>
          <w:noProof/>
        </w:rPr>
        <w:t xml:space="preserve"> </w:t>
      </w:r>
      <w:r w:rsidR="001A2D00">
        <w:rPr>
          <w:noProof/>
        </w:rPr>
        <w:t>if CORESET ID field is set to 0.</w:t>
      </w:r>
      <w:r w:rsidR="00AB35E5">
        <w:rPr>
          <w:noProof/>
        </w:rPr>
        <w:t xml:space="preserve"> </w:t>
      </w:r>
      <w:r w:rsidR="001A2D00">
        <w:rPr>
          <w:noProof/>
        </w:rPr>
        <w:t xml:space="preserve">The </w:t>
      </w:r>
      <w:r w:rsidR="00AB35E5">
        <w:rPr>
          <w:noProof/>
        </w:rPr>
        <w:t>structure of the command is shown in Figure 1.</w:t>
      </w:r>
      <w:r w:rsidR="000E4602">
        <w:rPr>
          <w:lang w:val="en-US"/>
        </w:rPr>
        <w:t xml:space="preserve"> </w:t>
      </w:r>
      <w:r w:rsidR="000A2EFA">
        <w:rPr>
          <w:lang w:val="en-US"/>
        </w:rPr>
        <w:t>Both</w:t>
      </w:r>
      <w:r w:rsidR="000E4602">
        <w:rPr>
          <w:lang w:val="en-US"/>
        </w:rPr>
        <w:t xml:space="preserve"> alternatives</w:t>
      </w:r>
      <w:r w:rsidR="00AB35E5">
        <w:rPr>
          <w:lang w:val="en-US"/>
        </w:rPr>
        <w:t xml:space="preserve"> (1 and 2)</w:t>
      </w:r>
      <w:r w:rsidR="000E4602">
        <w:rPr>
          <w:lang w:val="en-US"/>
        </w:rPr>
        <w:t xml:space="preserve"> having impact on RAN2 specification. On the other hand, the </w:t>
      </w:r>
      <w:r w:rsidR="000E4602" w:rsidRPr="008671BB">
        <w:rPr>
          <w:b/>
          <w:bCs/>
          <w:lang w:val="en-US"/>
        </w:rPr>
        <w:t>Alternative 3 and 3’</w:t>
      </w:r>
      <w:r w:rsidR="000E4602">
        <w:rPr>
          <w:lang w:val="en-US"/>
        </w:rPr>
        <w:t xml:space="preserve"> would revert previous</w:t>
      </w:r>
      <w:r w:rsidR="001A2D00">
        <w:rPr>
          <w:lang w:val="en-US"/>
        </w:rPr>
        <w:t xml:space="preserve"> RAN1</w:t>
      </w:r>
      <w:r w:rsidR="000E4602">
        <w:rPr>
          <w:lang w:val="en-US"/>
        </w:rPr>
        <w:t xml:space="preserve"> agreement</w:t>
      </w:r>
      <w:r w:rsidR="001A2D00">
        <w:rPr>
          <w:lang w:val="en-US"/>
        </w:rPr>
        <w:t xml:space="preserve"> (from RAN1#92b and already modified in RAN1#93, as seen above)</w:t>
      </w:r>
      <w:r w:rsidR="000E4602">
        <w:rPr>
          <w:lang w:val="en-US"/>
        </w:rPr>
        <w:t xml:space="preserve"> saying that unicas</w:t>
      </w:r>
      <w:r w:rsidR="001A2D00">
        <w:rPr>
          <w:lang w:val="en-US"/>
        </w:rPr>
        <w:t>t can be scheduled in CORESET#0. In alternatives 3, a</w:t>
      </w:r>
      <w:r w:rsidR="000E4602">
        <w:rPr>
          <w:lang w:val="en-US"/>
        </w:rPr>
        <w:t xml:space="preserve"> CORESET#1 would need to be configured for unicast. However, Alternative 3 and 3’ can operate with current RAN2 </w:t>
      </w:r>
      <w:r w:rsidR="004D541D">
        <w:rPr>
          <w:lang w:val="en-US"/>
        </w:rPr>
        <w:t>specification</w:t>
      </w:r>
      <w:r w:rsidR="000E4602">
        <w:rPr>
          <w:lang w:val="en-US"/>
        </w:rPr>
        <w:t xml:space="preserve">. </w:t>
      </w:r>
    </w:p>
    <w:p w14:paraId="26D71796" w14:textId="77777777" w:rsidR="00AB35E5" w:rsidRDefault="00AB35E5" w:rsidP="00AB35E5">
      <w:pPr>
        <w:keepNext/>
        <w:jc w:val="center"/>
      </w:pPr>
      <w:r w:rsidRPr="00F72E89">
        <w:object w:dxaOrig="5712" w:dyaOrig="1596" w14:anchorId="4926E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pt;height:79.8pt" o:ole="">
            <v:imagedata r:id="rId13" o:title=""/>
          </v:shape>
          <o:OLEObject Type="Embed" ProgID="Visio.Drawing.15" ShapeID="_x0000_i1025" DrawAspect="Content" ObjectID="_1595432214" r:id="rId14"/>
        </w:object>
      </w:r>
    </w:p>
    <w:p w14:paraId="769AC651" w14:textId="6879F7F1" w:rsidR="00AB35E5" w:rsidRDefault="00AB35E5" w:rsidP="00AB35E5">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F63661">
        <w:t>TCI State Indication for UE-specific PDCCH MAC CE</w:t>
      </w:r>
    </w:p>
    <w:p w14:paraId="479ACD43" w14:textId="4972E870" w:rsidR="000E4602" w:rsidRDefault="000E4602">
      <w:pPr>
        <w:rPr>
          <w:bCs/>
          <w:i/>
          <w:lang w:val="en-US"/>
        </w:rPr>
      </w:pPr>
      <w:r w:rsidRPr="001E4CAC">
        <w:rPr>
          <w:b/>
          <w:bCs/>
          <w:i/>
          <w:lang w:val="en-US"/>
        </w:rPr>
        <w:t>Observation</w:t>
      </w:r>
      <w:r w:rsidR="002252D3" w:rsidRPr="001E4CAC">
        <w:rPr>
          <w:b/>
          <w:bCs/>
          <w:i/>
          <w:lang w:val="en-US"/>
        </w:rPr>
        <w:t>-</w:t>
      </w:r>
      <w:r w:rsidR="00FA2261" w:rsidRPr="001E4CAC">
        <w:rPr>
          <w:b/>
          <w:bCs/>
          <w:i/>
          <w:lang w:val="en-US"/>
        </w:rPr>
        <w:t>1</w:t>
      </w:r>
      <w:r w:rsidRPr="001E4CAC">
        <w:rPr>
          <w:bCs/>
          <w:i/>
          <w:lang w:val="en-US"/>
        </w:rPr>
        <w:t xml:space="preserve">: </w:t>
      </w:r>
      <w:r w:rsidR="004D541D" w:rsidRPr="001E4CAC">
        <w:rPr>
          <w:bCs/>
          <w:i/>
          <w:lang w:val="en-US"/>
        </w:rPr>
        <w:t>Alternative</w:t>
      </w:r>
      <w:r w:rsidR="008321CF" w:rsidRPr="001E4CAC">
        <w:rPr>
          <w:bCs/>
          <w:i/>
          <w:lang w:val="en-US"/>
        </w:rPr>
        <w:t>s</w:t>
      </w:r>
      <w:r w:rsidR="004D541D" w:rsidRPr="001E4CAC">
        <w:rPr>
          <w:bCs/>
          <w:i/>
          <w:lang w:val="en-US"/>
        </w:rPr>
        <w:t xml:space="preserve"> 3 or 3’ ha</w:t>
      </w:r>
      <w:r w:rsidR="008321CF" w:rsidRPr="001E4CAC">
        <w:rPr>
          <w:bCs/>
          <w:i/>
          <w:lang w:val="en-US"/>
        </w:rPr>
        <w:t>ve</w:t>
      </w:r>
      <w:r w:rsidR="004D541D" w:rsidRPr="001E4CAC">
        <w:rPr>
          <w:bCs/>
          <w:i/>
          <w:lang w:val="en-US"/>
        </w:rPr>
        <w:t xml:space="preserve"> no impact on RAN2 specification. </w:t>
      </w:r>
    </w:p>
    <w:p w14:paraId="584BF4B7" w14:textId="02A05CD5" w:rsidR="007E189D" w:rsidRPr="003938FE" w:rsidRDefault="007E189D">
      <w:pPr>
        <w:rPr>
          <w:bCs/>
          <w:lang w:val="en-US"/>
        </w:rPr>
      </w:pPr>
      <w:r w:rsidRPr="003938FE">
        <w:rPr>
          <w:bCs/>
          <w:lang w:val="en-US"/>
        </w:rPr>
        <w:t xml:space="preserve">If RAN1 </w:t>
      </w:r>
      <w:r w:rsidR="003938FE" w:rsidRPr="003938FE">
        <w:rPr>
          <w:bCs/>
          <w:lang w:val="en-US"/>
        </w:rPr>
        <w:t xml:space="preserve">preference is to ask </w:t>
      </w:r>
      <w:r w:rsidRPr="003938FE">
        <w:rPr>
          <w:bCs/>
          <w:lang w:val="en-US"/>
        </w:rPr>
        <w:t xml:space="preserve">RAN2 </w:t>
      </w:r>
      <w:r w:rsidR="003938FE" w:rsidRPr="003938FE">
        <w:rPr>
          <w:bCs/>
          <w:lang w:val="en-US"/>
        </w:rPr>
        <w:t>for</w:t>
      </w:r>
      <w:r w:rsidRPr="003938FE">
        <w:rPr>
          <w:bCs/>
          <w:lang w:val="en-US"/>
        </w:rPr>
        <w:t xml:space="preserve"> change</w:t>
      </w:r>
      <w:r w:rsidR="003938FE" w:rsidRPr="003938FE">
        <w:rPr>
          <w:bCs/>
          <w:lang w:val="en-US"/>
        </w:rPr>
        <w:t>s</w:t>
      </w:r>
      <w:r w:rsidRPr="003938FE">
        <w:rPr>
          <w:bCs/>
          <w:lang w:val="en-US"/>
        </w:rPr>
        <w:t xml:space="preserve"> </w:t>
      </w:r>
      <w:r w:rsidR="003938FE" w:rsidRPr="003938FE">
        <w:rPr>
          <w:bCs/>
          <w:lang w:val="en-US"/>
        </w:rPr>
        <w:t>in RAN2</w:t>
      </w:r>
      <w:r w:rsidRPr="003938FE">
        <w:rPr>
          <w:bCs/>
          <w:lang w:val="en-US"/>
        </w:rPr>
        <w:t xml:space="preserve"> specification, we prefer Alt1’ which is according to the RAN1#93 agreement and treats CORESET#0 as a</w:t>
      </w:r>
      <w:r w:rsidR="000958A7" w:rsidRPr="003938FE">
        <w:rPr>
          <w:bCs/>
          <w:lang w:val="en-US"/>
        </w:rPr>
        <w:t>ny other CORESET. Otherwise, RAN1 shall adopt A</w:t>
      </w:r>
      <w:r w:rsidRPr="003938FE">
        <w:rPr>
          <w:bCs/>
          <w:lang w:val="en-US"/>
        </w:rPr>
        <w:t>lternative 3 or 3’</w:t>
      </w:r>
      <w:r w:rsidR="000958A7" w:rsidRPr="003938FE">
        <w:rPr>
          <w:bCs/>
          <w:lang w:val="en-US"/>
        </w:rPr>
        <w:t>.</w:t>
      </w:r>
      <w:r w:rsidRPr="003938FE">
        <w:rPr>
          <w:bCs/>
          <w:lang w:val="en-US"/>
        </w:rPr>
        <w:t xml:space="preserve">  </w:t>
      </w:r>
    </w:p>
    <w:p w14:paraId="19694E14" w14:textId="53AABB5A" w:rsidR="00B21F0C" w:rsidRPr="001E4CAC" w:rsidRDefault="00B21F0C">
      <w:pPr>
        <w:rPr>
          <w:bCs/>
          <w:i/>
          <w:lang w:val="en-US"/>
        </w:rPr>
      </w:pPr>
      <w:r w:rsidRPr="001E4CAC">
        <w:rPr>
          <w:b/>
          <w:bCs/>
          <w:i/>
          <w:lang w:val="en-US"/>
        </w:rPr>
        <w:t>Proposal</w:t>
      </w:r>
      <w:r w:rsidR="000B51DD" w:rsidRPr="001E4CAC">
        <w:rPr>
          <w:b/>
          <w:bCs/>
          <w:i/>
          <w:lang w:val="en-US"/>
        </w:rPr>
        <w:t>-</w:t>
      </w:r>
      <w:r w:rsidR="00FA2261" w:rsidRPr="001E4CAC">
        <w:rPr>
          <w:b/>
          <w:bCs/>
          <w:i/>
          <w:lang w:val="en-US"/>
        </w:rPr>
        <w:t>1</w:t>
      </w:r>
      <w:r w:rsidRPr="001E4CAC">
        <w:rPr>
          <w:b/>
          <w:bCs/>
          <w:i/>
          <w:lang w:val="en-US"/>
        </w:rPr>
        <w:t>:</w:t>
      </w:r>
      <w:r w:rsidRPr="001E4CAC">
        <w:rPr>
          <w:bCs/>
          <w:i/>
          <w:lang w:val="en-US"/>
        </w:rPr>
        <w:t xml:space="preserve"> </w:t>
      </w:r>
      <w:r w:rsidR="000958A7">
        <w:rPr>
          <w:bCs/>
          <w:i/>
          <w:lang w:val="en-US"/>
        </w:rPr>
        <w:t xml:space="preserve">If RAN1 decides to ask RAN2 </w:t>
      </w:r>
      <w:r w:rsidR="003938FE">
        <w:rPr>
          <w:bCs/>
          <w:i/>
          <w:lang w:val="en-US"/>
        </w:rPr>
        <w:t xml:space="preserve">for changes in RAN2 specification, RAN1 shall recommend Alt 1’, otherwise RAN1 shall adopt Alternative 3 or 3’. </w:t>
      </w:r>
    </w:p>
    <w:p w14:paraId="5EE48760" w14:textId="3F424A94" w:rsidR="007E6DCD" w:rsidRDefault="004D541D" w:rsidP="002252D3">
      <w:pPr>
        <w:jc w:val="both"/>
        <w:rPr>
          <w:lang w:val="en-US"/>
        </w:rPr>
      </w:pPr>
      <w:r w:rsidRPr="004D541D">
        <w:rPr>
          <w:lang w:val="en-US"/>
        </w:rPr>
        <w:t>When</w:t>
      </w:r>
      <w:r>
        <w:rPr>
          <w:lang w:val="en-US"/>
        </w:rPr>
        <w:t xml:space="preserve"> selecting between Alternative 3 and 3’, the difference is whether CORESET#0 and CORESET#1 </w:t>
      </w:r>
      <w:r w:rsidR="008321CF">
        <w:rPr>
          <w:lang w:val="en-US"/>
        </w:rPr>
        <w:t>are</w:t>
      </w:r>
      <w:r>
        <w:rPr>
          <w:lang w:val="en-US"/>
        </w:rPr>
        <w:t xml:space="preserve"> aligned</w:t>
      </w:r>
      <w:r w:rsidR="008321CF">
        <w:rPr>
          <w:lang w:val="en-US"/>
        </w:rPr>
        <w:t xml:space="preserve"> in 6PRB grid by default</w:t>
      </w:r>
      <w:r>
        <w:rPr>
          <w:lang w:val="en-US"/>
        </w:rPr>
        <w:t xml:space="preserve"> or not. </w:t>
      </w:r>
      <w:r w:rsidR="008321CF">
        <w:rPr>
          <w:lang w:val="en-US"/>
        </w:rPr>
        <w:t>As pointed out in previous meeting</w:t>
      </w:r>
      <w:r w:rsidR="007E6DCD">
        <w:rPr>
          <w:lang w:val="en-US"/>
        </w:rPr>
        <w:t xml:space="preserve">, </w:t>
      </w:r>
      <w:r w:rsidR="008321CF">
        <w:rPr>
          <w:lang w:val="en-US"/>
        </w:rPr>
        <w:t xml:space="preserve">by carefully selecting </w:t>
      </w:r>
      <w:r w:rsidR="007E6DCD">
        <w:rPr>
          <w:lang w:val="en-US"/>
        </w:rPr>
        <w:t>point A, the grid</w:t>
      </w:r>
      <w:r w:rsidR="00532369">
        <w:rPr>
          <w:lang w:val="en-US"/>
        </w:rPr>
        <w:t>s</w:t>
      </w:r>
      <w:r w:rsidR="007E6DCD">
        <w:rPr>
          <w:lang w:val="en-US"/>
        </w:rPr>
        <w:t xml:space="preserve"> of CORESET#0 and other CORESETs can be </w:t>
      </w:r>
      <w:r w:rsidR="00532369">
        <w:rPr>
          <w:lang w:val="en-US"/>
        </w:rPr>
        <w:t>aligned</w:t>
      </w:r>
      <w:r w:rsidR="008321CF">
        <w:rPr>
          <w:lang w:val="en-US"/>
        </w:rPr>
        <w:t xml:space="preserve"> by implementation. </w:t>
      </w:r>
      <w:r w:rsidR="007E6DCD">
        <w:rPr>
          <w:lang w:val="en-US"/>
        </w:rPr>
        <w:t>On the other hand, with two CD-SSBs</w:t>
      </w:r>
      <w:r w:rsidR="001A2D00">
        <w:rPr>
          <w:lang w:val="en-US"/>
        </w:rPr>
        <w:t xml:space="preserve"> serving as Pcell</w:t>
      </w:r>
      <w:r w:rsidR="007E6DCD">
        <w:rPr>
          <w:lang w:val="en-US"/>
        </w:rPr>
        <w:t xml:space="preserve"> </w:t>
      </w:r>
      <w:r w:rsidR="008321CF">
        <w:rPr>
          <w:lang w:val="en-US"/>
        </w:rPr>
        <w:t xml:space="preserve">operating </w:t>
      </w:r>
      <w:r w:rsidR="007E6DCD">
        <w:rPr>
          <w:lang w:val="en-US"/>
        </w:rPr>
        <w:t>on</w:t>
      </w:r>
      <w:r w:rsidR="008321CF">
        <w:rPr>
          <w:lang w:val="en-US"/>
        </w:rPr>
        <w:t xml:space="preserve"> the same </w:t>
      </w:r>
      <w:r w:rsidR="007E6DCD">
        <w:rPr>
          <w:lang w:val="en-US"/>
        </w:rPr>
        <w:t>network carrier</w:t>
      </w:r>
      <w:r w:rsidR="008321CF">
        <w:rPr>
          <w:lang w:val="en-US"/>
        </w:rPr>
        <w:t xml:space="preserve"> grid</w:t>
      </w:r>
      <w:r w:rsidR="007E6DCD">
        <w:rPr>
          <w:lang w:val="en-US"/>
        </w:rPr>
        <w:t xml:space="preserve">, a single point A </w:t>
      </w:r>
      <w:r w:rsidR="00532369">
        <w:rPr>
          <w:lang w:val="en-US"/>
        </w:rPr>
        <w:t>aligning CORESET grids in both cells is</w:t>
      </w:r>
      <w:r w:rsidR="001A2D00">
        <w:rPr>
          <w:lang w:val="en-US"/>
        </w:rPr>
        <w:t xml:space="preserve"> in</w:t>
      </w:r>
      <w:r w:rsidR="007E6DCD">
        <w:rPr>
          <w:lang w:val="en-US"/>
        </w:rPr>
        <w:t xml:space="preserve">feasible to find, </w:t>
      </w:r>
      <w:r w:rsidR="00C2140A">
        <w:rPr>
          <w:lang w:val="en-US"/>
        </w:rPr>
        <w:t>unless CORESET</w:t>
      </w:r>
      <w:r w:rsidR="00532369">
        <w:rPr>
          <w:lang w:val="en-US"/>
        </w:rPr>
        <w:t>s</w:t>
      </w:r>
      <w:r w:rsidR="00C2140A">
        <w:rPr>
          <w:lang w:val="en-US"/>
        </w:rPr>
        <w:t xml:space="preserve">#0 </w:t>
      </w:r>
      <w:r w:rsidR="00532369">
        <w:rPr>
          <w:lang w:val="en-US"/>
        </w:rPr>
        <w:t>are</w:t>
      </w:r>
      <w:r w:rsidR="00C2140A">
        <w:rPr>
          <w:lang w:val="en-US"/>
        </w:rPr>
        <w:t xml:space="preserve"> multiple of 6PRB apart.</w:t>
      </w:r>
      <w:r w:rsidR="00532369">
        <w:rPr>
          <w:lang w:val="en-US"/>
        </w:rPr>
        <w:t xml:space="preserve"> The position of CORESET#0 depends on position of SSB (after PRB allignment) and offset from the lowest PRB of SSB. The </w:t>
      </w:r>
      <w:r w:rsidR="00AB35E5">
        <w:rPr>
          <w:lang w:val="en-US"/>
        </w:rPr>
        <w:t xml:space="preserve">restricted </w:t>
      </w:r>
      <w:r w:rsidR="00532369">
        <w:rPr>
          <w:lang w:val="en-US"/>
        </w:rPr>
        <w:t xml:space="preserve">position of </w:t>
      </w:r>
      <w:r w:rsidR="00AB35E5">
        <w:rPr>
          <w:lang w:val="en-US"/>
        </w:rPr>
        <w:t>CD-</w:t>
      </w:r>
      <w:r w:rsidR="00532369">
        <w:rPr>
          <w:lang w:val="en-US"/>
        </w:rPr>
        <w:t>SSB is given by t</w:t>
      </w:r>
      <w:r w:rsidR="00C2140A">
        <w:rPr>
          <w:lang w:val="en-US"/>
        </w:rPr>
        <w:t>he sync raster</w:t>
      </w:r>
      <w:r w:rsidR="00AB35E5">
        <w:rPr>
          <w:lang w:val="en-US"/>
        </w:rPr>
        <w:t xml:space="preserve">, which has granularity of </w:t>
      </w:r>
      <w:r w:rsidR="00C2140A">
        <w:rPr>
          <w:lang w:val="en-US"/>
        </w:rPr>
        <w:t xml:space="preserve"> </w:t>
      </w:r>
    </w:p>
    <w:p w14:paraId="62547E99" w14:textId="5869EA92" w:rsidR="008F365F" w:rsidRPr="004200BF" w:rsidRDefault="009130B1" w:rsidP="002252D3">
      <w:pPr>
        <w:pStyle w:val="ListParagraph"/>
        <w:numPr>
          <w:ilvl w:val="0"/>
          <w:numId w:val="9"/>
        </w:numPr>
        <w:jc w:val="both"/>
        <w:rPr>
          <w:sz w:val="20"/>
          <w:szCs w:val="20"/>
          <w:lang w:val="en-US"/>
        </w:rPr>
      </w:pPr>
      <w:r>
        <w:rPr>
          <w:sz w:val="20"/>
          <w:szCs w:val="20"/>
          <w:lang w:val="en-US"/>
        </w:rPr>
        <w:t>~6.7</w:t>
      </w:r>
      <w:r w:rsidR="000524F2" w:rsidRPr="004200BF">
        <w:rPr>
          <w:sz w:val="20"/>
          <w:szCs w:val="20"/>
          <w:lang w:val="en-US"/>
        </w:rPr>
        <w:t xml:space="preserve"> SC</w:t>
      </w:r>
      <w:r>
        <w:rPr>
          <w:sz w:val="20"/>
          <w:szCs w:val="20"/>
          <w:lang w:val="en-US"/>
        </w:rPr>
        <w:t>s, 15 SCs</w:t>
      </w:r>
      <w:r w:rsidR="000524F2" w:rsidRPr="004200BF">
        <w:rPr>
          <w:sz w:val="20"/>
          <w:szCs w:val="20"/>
          <w:lang w:val="en-US"/>
        </w:rPr>
        <w:t xml:space="preserve"> </w:t>
      </w:r>
      <w:r>
        <w:rPr>
          <w:sz w:val="20"/>
          <w:szCs w:val="20"/>
          <w:lang w:val="en-US"/>
        </w:rPr>
        <w:t>or 80 SCs for</w:t>
      </w:r>
      <w:r w:rsidR="000524F2" w:rsidRPr="004200BF">
        <w:rPr>
          <w:sz w:val="20"/>
          <w:szCs w:val="20"/>
          <w:lang w:val="en-US"/>
        </w:rPr>
        <w:t xml:space="preserve"> 15kHz, </w:t>
      </w:r>
      <w:r w:rsidR="008F1BA3">
        <w:rPr>
          <w:sz w:val="20"/>
          <w:szCs w:val="20"/>
          <w:lang w:val="en-US"/>
        </w:rPr>
        <w:t>~</w:t>
      </w:r>
      <w:r>
        <w:rPr>
          <w:sz w:val="20"/>
          <w:szCs w:val="20"/>
          <w:lang w:val="en-US"/>
        </w:rPr>
        <w:t>3.3 SCs, 30 SCs or 40 SCs for</w:t>
      </w:r>
      <w:r w:rsidR="000524F2" w:rsidRPr="004200BF">
        <w:rPr>
          <w:sz w:val="20"/>
          <w:szCs w:val="20"/>
          <w:lang w:val="en-US"/>
        </w:rPr>
        <w:t xml:space="preserve"> 30kHz in spectrum of</w:t>
      </w:r>
      <w:r w:rsidR="008F365F" w:rsidRPr="004200BF">
        <w:rPr>
          <w:sz w:val="20"/>
          <w:szCs w:val="20"/>
          <w:lang w:val="en-US"/>
        </w:rPr>
        <w:t xml:space="preserve"> 0-3GHz</w:t>
      </w:r>
    </w:p>
    <w:p w14:paraId="4A24801E" w14:textId="557A90C5" w:rsidR="007E6DCD" w:rsidRPr="004200BF" w:rsidRDefault="008321CF" w:rsidP="002252D3">
      <w:pPr>
        <w:pStyle w:val="ListParagraph"/>
        <w:numPr>
          <w:ilvl w:val="0"/>
          <w:numId w:val="9"/>
        </w:numPr>
        <w:jc w:val="both"/>
        <w:rPr>
          <w:sz w:val="20"/>
          <w:szCs w:val="20"/>
          <w:lang w:val="en-US"/>
        </w:rPr>
      </w:pPr>
      <w:r w:rsidRPr="004200BF">
        <w:rPr>
          <w:sz w:val="20"/>
          <w:szCs w:val="20"/>
          <w:lang w:val="en-US"/>
        </w:rPr>
        <w:t>4PRB for 30kHz</w:t>
      </w:r>
      <w:r w:rsidR="000524F2" w:rsidRPr="004200BF">
        <w:rPr>
          <w:sz w:val="20"/>
          <w:szCs w:val="20"/>
          <w:lang w:val="en-US"/>
        </w:rPr>
        <w:t xml:space="preserve"> and 1PRB for 120kHz </w:t>
      </w:r>
      <w:r w:rsidRPr="004200BF">
        <w:rPr>
          <w:sz w:val="20"/>
          <w:szCs w:val="20"/>
          <w:lang w:val="en-US"/>
        </w:rPr>
        <w:t>in</w:t>
      </w:r>
      <w:r w:rsidR="000524F2" w:rsidRPr="004200BF">
        <w:rPr>
          <w:sz w:val="20"/>
          <w:szCs w:val="20"/>
          <w:lang w:val="en-US"/>
        </w:rPr>
        <w:t xml:space="preserve"> spectrum of </w:t>
      </w:r>
      <w:r w:rsidR="008F365F" w:rsidRPr="004200BF">
        <w:rPr>
          <w:sz w:val="20"/>
          <w:szCs w:val="20"/>
          <w:lang w:val="en-US"/>
        </w:rPr>
        <w:t>3</w:t>
      </w:r>
      <w:r w:rsidRPr="004200BF">
        <w:rPr>
          <w:sz w:val="20"/>
          <w:szCs w:val="20"/>
          <w:lang w:val="en-US"/>
        </w:rPr>
        <w:t>-24GHz</w:t>
      </w:r>
    </w:p>
    <w:p w14:paraId="5D3A6F43" w14:textId="21994C57" w:rsidR="000E4602" w:rsidRPr="004200BF" w:rsidRDefault="000524F2" w:rsidP="002252D3">
      <w:pPr>
        <w:pStyle w:val="ListParagraph"/>
        <w:numPr>
          <w:ilvl w:val="0"/>
          <w:numId w:val="9"/>
        </w:numPr>
        <w:jc w:val="both"/>
        <w:rPr>
          <w:sz w:val="20"/>
          <w:szCs w:val="20"/>
          <w:lang w:val="en-US"/>
        </w:rPr>
      </w:pPr>
      <w:r w:rsidRPr="004200BF">
        <w:rPr>
          <w:sz w:val="20"/>
          <w:szCs w:val="20"/>
          <w:lang w:val="en-US"/>
        </w:rPr>
        <w:t>12</w:t>
      </w:r>
      <w:r w:rsidR="007E6DCD" w:rsidRPr="004200BF">
        <w:rPr>
          <w:sz w:val="20"/>
          <w:szCs w:val="20"/>
          <w:lang w:val="en-US"/>
        </w:rPr>
        <w:t xml:space="preserve">PRB </w:t>
      </w:r>
      <w:r w:rsidRPr="004200BF">
        <w:rPr>
          <w:sz w:val="20"/>
          <w:szCs w:val="20"/>
          <w:lang w:val="en-US"/>
        </w:rPr>
        <w:t xml:space="preserve">for 120kHz in spectrum of </w:t>
      </w:r>
      <w:r w:rsidR="00C2140A" w:rsidRPr="004200BF">
        <w:rPr>
          <w:sz w:val="20"/>
          <w:szCs w:val="20"/>
          <w:lang w:val="en-US"/>
        </w:rPr>
        <w:t>&gt;24GHz</w:t>
      </w:r>
    </w:p>
    <w:p w14:paraId="65934300" w14:textId="77777777" w:rsidR="004200BF" w:rsidRDefault="004200BF" w:rsidP="002252D3">
      <w:pPr>
        <w:jc w:val="both"/>
        <w:rPr>
          <w:lang w:val="en-US"/>
        </w:rPr>
      </w:pPr>
    </w:p>
    <w:p w14:paraId="3C662DA3" w14:textId="3A5CE3F6" w:rsidR="00B21F0C" w:rsidRDefault="004200BF" w:rsidP="002252D3">
      <w:pPr>
        <w:jc w:val="both"/>
        <w:rPr>
          <w:lang w:val="en-US"/>
        </w:rPr>
      </w:pPr>
      <w:r>
        <w:rPr>
          <w:lang w:val="en-US"/>
        </w:rPr>
        <w:t>a</w:t>
      </w:r>
      <w:r w:rsidR="00C2140A">
        <w:rPr>
          <w:lang w:val="en-US"/>
        </w:rPr>
        <w:t xml:space="preserve">nd CORESET#0 offsets to lowest SSB PRB </w:t>
      </w:r>
      <w:r w:rsidR="00532369">
        <w:rPr>
          <w:lang w:val="en-US"/>
        </w:rPr>
        <w:t>have</w:t>
      </w:r>
      <w:r w:rsidR="00C2140A">
        <w:rPr>
          <w:lang w:val="en-US"/>
        </w:rPr>
        <w:t xml:space="preserve"> limited</w:t>
      </w:r>
      <w:r w:rsidR="00532369">
        <w:rPr>
          <w:lang w:val="en-US"/>
        </w:rPr>
        <w:t xml:space="preserve"> set o</w:t>
      </w:r>
      <w:r>
        <w:rPr>
          <w:lang w:val="en-US"/>
        </w:rPr>
        <w:t>f</w:t>
      </w:r>
      <w:r w:rsidR="00532369">
        <w:rPr>
          <w:lang w:val="en-US"/>
        </w:rPr>
        <w:t xml:space="preserve"> </w:t>
      </w:r>
      <w:r w:rsidR="00E1101D">
        <w:rPr>
          <w:lang w:val="en-US"/>
        </w:rPr>
        <w:t xml:space="preserve">RB </w:t>
      </w:r>
      <w:r w:rsidR="00532369">
        <w:rPr>
          <w:lang w:val="en-US"/>
        </w:rPr>
        <w:t>values (see sub-clause 13 of TS38.213)</w:t>
      </w:r>
      <w:r w:rsidR="00C2140A">
        <w:rPr>
          <w:lang w:val="en-US"/>
        </w:rPr>
        <w:t>. This resulting in large implementation restriction</w:t>
      </w:r>
      <w:r w:rsidR="00532369">
        <w:rPr>
          <w:lang w:val="en-US"/>
        </w:rPr>
        <w:t>s</w:t>
      </w:r>
      <w:r>
        <w:rPr>
          <w:lang w:val="en-US"/>
        </w:rPr>
        <w:t xml:space="preserve"> on where the CD-SSBs could be placed</w:t>
      </w:r>
      <w:r w:rsidR="00C2140A">
        <w:rPr>
          <w:lang w:val="en-US"/>
        </w:rPr>
        <w:t xml:space="preserve">. </w:t>
      </w:r>
      <w:r w:rsidR="00532369">
        <w:rPr>
          <w:lang w:val="en-US"/>
        </w:rPr>
        <w:t>On the other hand, i</w:t>
      </w:r>
      <w:r w:rsidR="00C2140A">
        <w:rPr>
          <w:lang w:val="en-US"/>
        </w:rPr>
        <w:t>f CORESET grid</w:t>
      </w:r>
      <w:r w:rsidR="00532369">
        <w:rPr>
          <w:lang w:val="en-US"/>
        </w:rPr>
        <w:t xml:space="preserve"> </w:t>
      </w:r>
      <w:r w:rsidR="00C2140A">
        <w:rPr>
          <w:lang w:val="en-US"/>
        </w:rPr>
        <w:t xml:space="preserve">would be aligned to CORESET#0 of </w:t>
      </w:r>
      <w:r w:rsidR="00532369">
        <w:rPr>
          <w:lang w:val="en-US"/>
        </w:rPr>
        <w:t>the</w:t>
      </w:r>
      <w:r w:rsidR="00C2140A">
        <w:rPr>
          <w:lang w:val="en-US"/>
        </w:rPr>
        <w:t xml:space="preserve"> CD-SSB, the CORESET</w:t>
      </w:r>
      <w:r w:rsidR="00B21F0C">
        <w:rPr>
          <w:lang w:val="en-US"/>
        </w:rPr>
        <w:t>s</w:t>
      </w:r>
      <w:r w:rsidR="00C2140A">
        <w:rPr>
          <w:lang w:val="en-US"/>
        </w:rPr>
        <w:t xml:space="preserve"> of each serving cell would </w:t>
      </w:r>
      <w:r w:rsidR="00B21F0C">
        <w:rPr>
          <w:lang w:val="en-US"/>
        </w:rPr>
        <w:t xml:space="preserve">be </w:t>
      </w:r>
      <w:r w:rsidR="00C2140A">
        <w:rPr>
          <w:lang w:val="en-US"/>
        </w:rPr>
        <w:t>aligned,</w:t>
      </w:r>
      <w:r w:rsidR="00532369">
        <w:rPr>
          <w:lang w:val="en-US"/>
        </w:rPr>
        <w:t xml:space="preserve"> CORESET of different cell would be misaligned,</w:t>
      </w:r>
      <w:r w:rsidR="00C2140A">
        <w:rPr>
          <w:lang w:val="en-US"/>
        </w:rPr>
        <w:t xml:space="preserve"> </w:t>
      </w:r>
      <w:r w:rsidR="00532369">
        <w:rPr>
          <w:lang w:val="en-US"/>
        </w:rPr>
        <w:t>but</w:t>
      </w:r>
      <w:r w:rsidR="00C2140A">
        <w:rPr>
          <w:lang w:val="en-US"/>
        </w:rPr>
        <w:t xml:space="preserve"> </w:t>
      </w:r>
      <w:r w:rsidR="00B21F0C">
        <w:rPr>
          <w:lang w:val="en-US"/>
        </w:rPr>
        <w:t xml:space="preserve">the </w:t>
      </w:r>
      <w:r w:rsidR="00C2140A">
        <w:rPr>
          <w:lang w:val="en-US"/>
        </w:rPr>
        <w:t>cells c</w:t>
      </w:r>
      <w:r w:rsidR="00B21F0C">
        <w:rPr>
          <w:lang w:val="en-US"/>
        </w:rPr>
        <w:t>ould</w:t>
      </w:r>
      <w:r w:rsidR="00C2140A">
        <w:rPr>
          <w:lang w:val="en-US"/>
        </w:rPr>
        <w:t xml:space="preserve"> have the same </w:t>
      </w:r>
      <w:r w:rsidR="00B21F0C">
        <w:rPr>
          <w:lang w:val="en-US"/>
        </w:rPr>
        <w:t xml:space="preserve">point A. </w:t>
      </w:r>
      <w:r w:rsidR="00C2140A">
        <w:rPr>
          <w:lang w:val="en-US"/>
        </w:rPr>
        <w:t xml:space="preserve"> </w:t>
      </w:r>
    </w:p>
    <w:p w14:paraId="565E1A4E" w14:textId="3A07CFFE" w:rsidR="00B21F0C" w:rsidRPr="001E4CAC" w:rsidRDefault="00B21F0C">
      <w:pPr>
        <w:rPr>
          <w:bCs/>
          <w:i/>
          <w:lang w:val="en-US"/>
        </w:rPr>
      </w:pPr>
      <w:r w:rsidRPr="001E4CAC">
        <w:rPr>
          <w:b/>
          <w:bCs/>
          <w:i/>
          <w:lang w:val="en-US"/>
        </w:rPr>
        <w:t>Proposal</w:t>
      </w:r>
      <w:r w:rsidR="000B51DD" w:rsidRPr="001E4CAC">
        <w:rPr>
          <w:b/>
          <w:bCs/>
          <w:i/>
          <w:lang w:val="en-US"/>
        </w:rPr>
        <w:t>-</w:t>
      </w:r>
      <w:r w:rsidR="00FA2261" w:rsidRPr="001E4CAC">
        <w:rPr>
          <w:b/>
          <w:bCs/>
          <w:i/>
          <w:lang w:val="en-US"/>
        </w:rPr>
        <w:t>2</w:t>
      </w:r>
      <w:r w:rsidRPr="001E4CAC">
        <w:rPr>
          <w:b/>
          <w:bCs/>
          <w:i/>
          <w:lang w:val="en-US"/>
        </w:rPr>
        <w:t>:</w:t>
      </w:r>
      <w:r w:rsidRPr="001E4CAC">
        <w:rPr>
          <w:bCs/>
          <w:i/>
          <w:lang w:val="en-US"/>
        </w:rPr>
        <w:t xml:space="preserve"> NR CORESET’s 6PRB grid is aligned with the PRB0 of CORESET#0 instead of Point A</w:t>
      </w:r>
      <w:r w:rsidR="00532369" w:rsidRPr="001E4CAC">
        <w:rPr>
          <w:bCs/>
          <w:i/>
          <w:lang w:val="en-US"/>
        </w:rPr>
        <w:t>.</w:t>
      </w:r>
    </w:p>
    <w:p w14:paraId="37A294AC" w14:textId="65409FD7" w:rsidR="00F447AC" w:rsidRPr="00A51522" w:rsidRDefault="00F447AC" w:rsidP="00F447AC">
      <w:pPr>
        <w:pStyle w:val="Heading1"/>
      </w:pPr>
      <w:r>
        <w:t>Open issues on search-space design</w:t>
      </w:r>
    </w:p>
    <w:p w14:paraId="75037C49" w14:textId="32AD1F2F" w:rsidR="007341DA" w:rsidRDefault="002252D3" w:rsidP="007341DA">
      <w:pPr>
        <w:pStyle w:val="Heading2"/>
        <w:rPr>
          <w:lang w:val="en-US"/>
        </w:rPr>
      </w:pPr>
      <w:r>
        <w:rPr>
          <w:lang w:val="en-US"/>
        </w:rPr>
        <w:t xml:space="preserve">Specification corrections </w:t>
      </w:r>
    </w:p>
    <w:p w14:paraId="0DF24546" w14:textId="7DB99904" w:rsidR="00F447AC" w:rsidRDefault="00F447AC" w:rsidP="00163D02">
      <w:r>
        <w:rPr>
          <w:lang w:val="en-US"/>
        </w:rPr>
        <w:t>The first co</w:t>
      </w:r>
      <w:r w:rsidR="000A6C5D">
        <w:rPr>
          <w:lang w:val="en-US"/>
        </w:rPr>
        <w:t>rrection stems from the fact that</w:t>
      </w:r>
      <w:r>
        <w:rPr>
          <w:lang w:val="en-US"/>
        </w:rPr>
        <w:t xml:space="preserve"> overbooking is supported on Pcells, and therefore, UE </w:t>
      </w:r>
      <w:r w:rsidR="00532369" w:rsidRPr="00532369">
        <w:rPr>
          <w:u w:val="single"/>
          <w:lang w:val="en-US"/>
        </w:rPr>
        <w:t>is</w:t>
      </w:r>
      <w:r>
        <w:rPr>
          <w:lang w:val="en-US"/>
        </w:rPr>
        <w:t xml:space="preserve"> expected to be configured with more than the maximum limit</w:t>
      </w:r>
      <w:r w:rsidR="00532369">
        <w:rPr>
          <w:lang w:val="en-US"/>
        </w:rPr>
        <w:t>. H</w:t>
      </w:r>
      <w:r>
        <w:rPr>
          <w:lang w:val="en-US"/>
        </w:rPr>
        <w:t>owever</w:t>
      </w:r>
      <w:r w:rsidR="007341DA">
        <w:rPr>
          <w:lang w:val="en-US"/>
        </w:rPr>
        <w:t>,</w:t>
      </w:r>
      <w:r>
        <w:rPr>
          <w:lang w:val="en-US"/>
        </w:rPr>
        <w:t xml:space="preserve"> UE is not expected to monitor more than the maxim limit</w:t>
      </w:r>
      <w:r w:rsidR="007341DA">
        <w:rPr>
          <w:lang w:val="en-US"/>
        </w:rPr>
        <w:t xml:space="preserve"> in a given slot</w:t>
      </w:r>
      <w:r>
        <w:rPr>
          <w:lang w:val="en-US"/>
        </w:rPr>
        <w:t>.</w:t>
      </w:r>
      <w:r w:rsidRPr="00F447AC">
        <w:t xml:space="preserve"> </w:t>
      </w:r>
      <w:r w:rsidR="009E79E1">
        <w:t xml:space="preserve">Therefore, the following wording shall be adopted. </w:t>
      </w:r>
    </w:p>
    <w:p w14:paraId="6C12AB2B" w14:textId="3CDEEC32" w:rsidR="00F447AC" w:rsidRDefault="00F447AC" w:rsidP="00163D02">
      <w:pPr>
        <w:rPr>
          <w:lang w:val="en-US"/>
        </w:rPr>
      </w:pPr>
      <w:r>
        <w:t>TS38.213 Sub-clause 10</w:t>
      </w:r>
    </w:p>
    <w:tbl>
      <w:tblPr>
        <w:tblStyle w:val="TableGrid"/>
        <w:tblW w:w="0" w:type="auto"/>
        <w:tblLook w:val="04A0" w:firstRow="1" w:lastRow="0" w:firstColumn="1" w:lastColumn="0" w:noHBand="0" w:noVBand="1"/>
      </w:tblPr>
      <w:tblGrid>
        <w:gridCol w:w="9629"/>
      </w:tblGrid>
      <w:tr w:rsidR="00F447AC" w14:paraId="6205E2F6" w14:textId="77777777" w:rsidTr="4FB8EC98">
        <w:trPr>
          <w:trHeight w:val="765"/>
        </w:trPr>
        <w:tc>
          <w:tcPr>
            <w:tcW w:w="9629" w:type="dxa"/>
          </w:tcPr>
          <w:p w14:paraId="381A3F94" w14:textId="5CE3B2C7" w:rsidR="00F447AC" w:rsidRPr="008671BB" w:rsidRDefault="00F447AC">
            <w:pPr>
              <w:rPr>
                <w:i/>
                <w:iCs/>
                <w:lang w:eastAsia="ko-KR"/>
              </w:rPr>
            </w:pPr>
            <w:r w:rsidRPr="008671BB">
              <w:rPr>
                <w:i/>
                <w:iCs/>
                <w:lang w:eastAsia="ko-KR"/>
              </w:rPr>
              <w:t xml:space="preserve">When the UE is configured for carrier aggregation operation over more than 4 cells, the UE is not expected to </w:t>
            </w:r>
            <w:r w:rsidRPr="008671BB">
              <w:rPr>
                <w:i/>
                <w:iCs/>
                <w:strike/>
                <w:color w:val="FF0000"/>
                <w:lang w:eastAsia="ko-KR"/>
              </w:rPr>
              <w:t>be</w:t>
            </w:r>
            <w:r w:rsidRPr="008671BB">
              <w:rPr>
                <w:i/>
                <w:iCs/>
                <w:lang w:eastAsia="ko-KR"/>
              </w:rPr>
              <w:t xml:space="preserve"> </w:t>
            </w:r>
            <w:r w:rsidRPr="008671BB">
              <w:rPr>
                <w:i/>
                <w:iCs/>
                <w:strike/>
                <w:color w:val="FF0000"/>
                <w:lang w:eastAsia="ko-KR"/>
              </w:rPr>
              <w:t>configured</w:t>
            </w:r>
            <w:r w:rsidRPr="008671BB">
              <w:rPr>
                <w:i/>
                <w:iCs/>
                <w:lang w:eastAsia="ko-KR"/>
              </w:rPr>
              <w:t xml:space="preserve"> </w:t>
            </w:r>
            <w:r w:rsidRPr="008671BB">
              <w:rPr>
                <w:i/>
                <w:iCs/>
                <w:strike/>
                <w:color w:val="FF0000"/>
                <w:lang w:eastAsia="ko-KR"/>
              </w:rPr>
              <w:t>with</w:t>
            </w:r>
            <w:r w:rsidR="00A638AE" w:rsidRPr="008671BB">
              <w:rPr>
                <w:i/>
                <w:iCs/>
                <w:strike/>
                <w:color w:val="FF0000"/>
                <w:lang w:eastAsia="ko-KR"/>
              </w:rPr>
              <w:t xml:space="preserve"> </w:t>
            </w:r>
            <w:r w:rsidRPr="008671BB">
              <w:rPr>
                <w:i/>
                <w:iCs/>
                <w:color w:val="FF0000"/>
                <w:lang w:eastAsia="ko-KR"/>
              </w:rPr>
              <w:t>monitor</w:t>
            </w:r>
            <w:r w:rsidRPr="008671BB">
              <w:rPr>
                <w:i/>
                <w:iCs/>
                <w:lang w:eastAsia="ko-KR"/>
              </w:rPr>
              <w:t xml:space="preserve"> a number of PDCCH candidates </w:t>
            </w:r>
            <w:r w:rsidRPr="008671BB">
              <w:rPr>
                <w:i/>
                <w:iCs/>
                <w:strike/>
                <w:color w:val="FF0000"/>
                <w:lang w:eastAsia="ko-KR"/>
              </w:rPr>
              <w:t>to monitor</w:t>
            </w:r>
            <w:r w:rsidRPr="008671BB">
              <w:rPr>
                <w:i/>
                <w:iCs/>
                <w:lang w:eastAsia="ko-KR"/>
              </w:rPr>
              <w:t xml:space="preserve"> per slot that is larger than the maximum number. </w:t>
            </w:r>
          </w:p>
        </w:tc>
      </w:tr>
    </w:tbl>
    <w:p w14:paraId="500C05E3" w14:textId="77777777" w:rsidR="00F447AC" w:rsidRDefault="00F447AC" w:rsidP="00F447AC"/>
    <w:p w14:paraId="6BA0AF52" w14:textId="6B45E207" w:rsidR="000E4602" w:rsidRDefault="009E79E1" w:rsidP="00163D02">
      <w:pPr>
        <w:rPr>
          <w:lang w:val="en-US"/>
        </w:rPr>
      </w:pPr>
      <w:r>
        <w:rPr>
          <w:lang w:val="en-US"/>
        </w:rPr>
        <w:t xml:space="preserve">The second correction is editorial, because it is </w:t>
      </w:r>
      <w:r w:rsidR="007341DA">
        <w:rPr>
          <w:lang w:val="en-US"/>
        </w:rPr>
        <w:t xml:space="preserve">unclear what is </w:t>
      </w:r>
      <w:r>
        <w:rPr>
          <w:lang w:val="en-US"/>
        </w:rPr>
        <w:t>“</w:t>
      </w:r>
      <w:r w:rsidR="007341DA">
        <w:rPr>
          <w:lang w:val="en-US"/>
        </w:rPr>
        <w:t xml:space="preserve">the </w:t>
      </w:r>
      <w:r>
        <w:rPr>
          <w:lang w:val="en-US"/>
        </w:rPr>
        <w:t>location” of a search-space.</w:t>
      </w:r>
    </w:p>
    <w:p w14:paraId="2C7A582C" w14:textId="3D04F675" w:rsidR="009E79E1" w:rsidRDefault="009E79E1" w:rsidP="00163D02">
      <w:pPr>
        <w:rPr>
          <w:lang w:val="en-US"/>
        </w:rPr>
      </w:pPr>
      <w:r>
        <w:rPr>
          <w:lang w:val="en-US"/>
        </w:rPr>
        <w:t>TS38.213 Sub-clause 10</w:t>
      </w:r>
    </w:p>
    <w:tbl>
      <w:tblPr>
        <w:tblStyle w:val="TableGrid"/>
        <w:tblW w:w="0" w:type="auto"/>
        <w:tblLook w:val="04A0" w:firstRow="1" w:lastRow="0" w:firstColumn="1" w:lastColumn="0" w:noHBand="0" w:noVBand="1"/>
      </w:tblPr>
      <w:tblGrid>
        <w:gridCol w:w="9629"/>
      </w:tblGrid>
      <w:tr w:rsidR="009E79E1" w14:paraId="31FD3735" w14:textId="77777777" w:rsidTr="4FB8EC98">
        <w:tc>
          <w:tcPr>
            <w:tcW w:w="9629" w:type="dxa"/>
          </w:tcPr>
          <w:p w14:paraId="4ABC5743" w14:textId="08DA905B" w:rsidR="009E79E1" w:rsidRPr="008671BB" w:rsidRDefault="009E79E1" w:rsidP="0002696A">
            <w:pPr>
              <w:spacing w:after="0"/>
              <w:rPr>
                <w:i/>
                <w:iCs/>
              </w:rPr>
            </w:pPr>
            <w:r w:rsidRPr="008671BB">
              <w:rPr>
                <w:i/>
                <w:iCs/>
              </w:rPr>
              <w:t xml:space="preserve">For all search space sets within a slot </w:t>
            </w:r>
            <w:r w:rsidRPr="009E79E1">
              <w:rPr>
                <w:i/>
                <w:noProof/>
                <w:position w:val="-6"/>
              </w:rPr>
              <w:drawing>
                <wp:inline distT="0" distB="0" distL="0" distR="0" wp14:anchorId="5A3BB47C" wp14:editId="023526A4">
                  <wp:extent cx="121920" cy="1219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r w:rsidRPr="008671BB">
              <w:rPr>
                <w:i/>
                <w:iCs/>
              </w:rPr>
              <w:t xml:space="preserve">, denote by </w:t>
            </w:r>
            <w:r w:rsidRPr="009E79E1">
              <w:rPr>
                <w:i/>
                <w:noProof/>
                <w:position w:val="-10"/>
              </w:rPr>
              <w:drawing>
                <wp:inline distT="0" distB="0" distL="0" distR="0" wp14:anchorId="3F87D6C8" wp14:editId="07CE15DC">
                  <wp:extent cx="220980" cy="198120"/>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0980" cy="198120"/>
                          </a:xfrm>
                          <a:prstGeom prst="rect">
                            <a:avLst/>
                          </a:prstGeom>
                          <a:noFill/>
                          <a:ln>
                            <a:noFill/>
                          </a:ln>
                        </pic:spPr>
                      </pic:pic>
                    </a:graphicData>
                  </a:graphic>
                </wp:inline>
              </w:drawing>
            </w:r>
            <w:r w:rsidRPr="008671BB">
              <w:rPr>
                <w:i/>
                <w:iCs/>
              </w:rPr>
              <w:t xml:space="preserve"> a set of common search space sets in a corresponding set </w:t>
            </w:r>
            <w:r w:rsidRPr="009E79E1">
              <w:rPr>
                <w:i/>
                <w:noProof/>
                <w:position w:val="-10"/>
              </w:rPr>
              <w:drawing>
                <wp:inline distT="0" distB="0" distL="0" distR="0" wp14:anchorId="59479969" wp14:editId="44639E1C">
                  <wp:extent cx="198120" cy="1981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8671BB">
              <w:rPr>
                <w:i/>
                <w:iCs/>
              </w:rPr>
              <w:t xml:space="preserve"> of control resource sets with cardinality of </w:t>
            </w:r>
            <w:r w:rsidRPr="009E79E1">
              <w:rPr>
                <w:i/>
                <w:noProof/>
                <w:position w:val="-10"/>
              </w:rPr>
              <w:drawing>
                <wp:inline distT="0" distB="0" distL="0" distR="0" wp14:anchorId="2AD53A6C" wp14:editId="62D44EE4">
                  <wp:extent cx="198120" cy="1981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8671BB">
              <w:rPr>
                <w:i/>
                <w:iCs/>
              </w:rPr>
              <w:t xml:space="preserve"> and by </w:t>
            </w:r>
            <w:r w:rsidRPr="009E79E1">
              <w:rPr>
                <w:i/>
                <w:noProof/>
                <w:position w:val="-10"/>
              </w:rPr>
              <w:drawing>
                <wp:inline distT="0" distB="0" distL="0" distR="0" wp14:anchorId="512EFC94" wp14:editId="711DCD57">
                  <wp:extent cx="228600" cy="198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198120"/>
                          </a:xfrm>
                          <a:prstGeom prst="rect">
                            <a:avLst/>
                          </a:prstGeom>
                          <a:noFill/>
                          <a:ln>
                            <a:noFill/>
                          </a:ln>
                        </pic:spPr>
                      </pic:pic>
                    </a:graphicData>
                  </a:graphic>
                </wp:inline>
              </w:drawing>
            </w:r>
            <w:r w:rsidRPr="008671BB">
              <w:rPr>
                <w:i/>
                <w:iCs/>
              </w:rPr>
              <w:t xml:space="preserve"> a set of UE-specific search space sets in a </w:t>
            </w:r>
            <w:r w:rsidRPr="008671BB">
              <w:rPr>
                <w:i/>
                <w:iCs/>
              </w:rPr>
              <w:lastRenderedPageBreak/>
              <w:t xml:space="preserve">corresponding set </w:t>
            </w:r>
            <w:r w:rsidRPr="009E79E1">
              <w:rPr>
                <w:i/>
                <w:noProof/>
                <w:position w:val="-10"/>
              </w:rPr>
              <w:drawing>
                <wp:inline distT="0" distB="0" distL="0" distR="0" wp14:anchorId="129C8E37" wp14:editId="3EA60A5E">
                  <wp:extent cx="198120" cy="198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8671BB">
              <w:rPr>
                <w:i/>
                <w:iCs/>
              </w:rPr>
              <w:t xml:space="preserve"> of control resource sets with cardinality of </w:t>
            </w:r>
            <w:r w:rsidRPr="009E79E1">
              <w:rPr>
                <w:i/>
                <w:noProof/>
                <w:position w:val="-10"/>
              </w:rPr>
              <w:drawing>
                <wp:inline distT="0" distB="0" distL="0" distR="0" wp14:anchorId="1B087C4B" wp14:editId="00FE31FC">
                  <wp:extent cx="228600" cy="198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198120"/>
                          </a:xfrm>
                          <a:prstGeom prst="rect">
                            <a:avLst/>
                          </a:prstGeom>
                          <a:noFill/>
                          <a:ln>
                            <a:noFill/>
                          </a:ln>
                        </pic:spPr>
                      </pic:pic>
                    </a:graphicData>
                  </a:graphic>
                </wp:inline>
              </w:drawing>
            </w:r>
            <w:r w:rsidRPr="008671BB">
              <w:rPr>
                <w:i/>
                <w:iCs/>
              </w:rPr>
              <w:t xml:space="preserve">. The </w:t>
            </w:r>
            <w:r w:rsidRPr="008671BB">
              <w:rPr>
                <w:i/>
                <w:iCs/>
                <w:strike/>
                <w:color w:val="FF0000"/>
              </w:rPr>
              <w:t>location of</w:t>
            </w:r>
            <w:r w:rsidRPr="008671BB">
              <w:rPr>
                <w:i/>
                <w:iCs/>
              </w:rPr>
              <w:t xml:space="preserve"> UE-specific search space sets </w:t>
            </w:r>
            <w:r w:rsidRPr="009E79E1">
              <w:rPr>
                <w:i/>
                <w:noProof/>
                <w:position w:val="-12"/>
              </w:rPr>
              <w:drawing>
                <wp:inline distT="0" distB="0" distL="0" distR="0" wp14:anchorId="2F951872" wp14:editId="602E10F2">
                  <wp:extent cx="121920" cy="198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1920" cy="198120"/>
                          </a:xfrm>
                          <a:prstGeom prst="rect">
                            <a:avLst/>
                          </a:prstGeom>
                          <a:noFill/>
                          <a:ln>
                            <a:noFill/>
                          </a:ln>
                        </pic:spPr>
                      </pic:pic>
                    </a:graphicData>
                  </a:graphic>
                </wp:inline>
              </w:drawing>
            </w:r>
            <w:r w:rsidRPr="008671BB">
              <w:rPr>
                <w:i/>
                <w:iCs/>
              </w:rPr>
              <w:t xml:space="preserve">, </w:t>
            </w:r>
            <w:r w:rsidRPr="009E79E1">
              <w:rPr>
                <w:i/>
                <w:noProof/>
                <w:position w:val="-10"/>
              </w:rPr>
              <w:drawing>
                <wp:inline distT="0" distB="0" distL="0" distR="0" wp14:anchorId="05D7A708" wp14:editId="52365E6C">
                  <wp:extent cx="579120" cy="198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9120" cy="198120"/>
                          </a:xfrm>
                          <a:prstGeom prst="rect">
                            <a:avLst/>
                          </a:prstGeom>
                          <a:noFill/>
                          <a:ln>
                            <a:noFill/>
                          </a:ln>
                        </pic:spPr>
                      </pic:pic>
                    </a:graphicData>
                  </a:graphic>
                </wp:inline>
              </w:drawing>
            </w:r>
            <w:r w:rsidRPr="008671BB">
              <w:rPr>
                <w:i/>
                <w:iCs/>
              </w:rPr>
              <w:t xml:space="preserve">, in </w:t>
            </w:r>
            <w:r w:rsidRPr="009E79E1">
              <w:rPr>
                <w:i/>
                <w:noProof/>
                <w:position w:val="-10"/>
              </w:rPr>
              <w:drawing>
                <wp:inline distT="0" distB="0" distL="0" distR="0" wp14:anchorId="3D2F9AAC" wp14:editId="1451E5AC">
                  <wp:extent cx="22860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198120"/>
                          </a:xfrm>
                          <a:prstGeom prst="rect">
                            <a:avLst/>
                          </a:prstGeom>
                          <a:noFill/>
                          <a:ln>
                            <a:noFill/>
                          </a:ln>
                        </pic:spPr>
                      </pic:pic>
                    </a:graphicData>
                  </a:graphic>
                </wp:inline>
              </w:drawing>
            </w:r>
            <w:r w:rsidRPr="008671BB">
              <w:rPr>
                <w:i/>
                <w:iCs/>
              </w:rPr>
              <w:t xml:space="preserve"> </w:t>
            </w:r>
            <w:r w:rsidRPr="008671BB">
              <w:rPr>
                <w:i/>
                <w:iCs/>
                <w:color w:val="FF0000"/>
              </w:rPr>
              <w:t>are ordered</w:t>
            </w:r>
            <w:r w:rsidRPr="008671BB">
              <w:rPr>
                <w:i/>
                <w:iCs/>
              </w:rPr>
              <w:t xml:space="preserve"> </w:t>
            </w:r>
            <w:r w:rsidRPr="008671BB">
              <w:rPr>
                <w:i/>
                <w:iCs/>
                <w:strike/>
                <w:color w:val="FF0000"/>
              </w:rPr>
              <w:t>is</w:t>
            </w:r>
            <w:r w:rsidRPr="008671BB">
              <w:rPr>
                <w:i/>
                <w:iCs/>
              </w:rPr>
              <w:t xml:space="preserve"> according to an ascending order of the search space set index </w:t>
            </w:r>
            <w:r w:rsidRPr="009E79E1">
              <w:rPr>
                <w:i/>
                <w:noProof/>
                <w:position w:val="-10"/>
              </w:rPr>
              <w:drawing>
                <wp:inline distT="0" distB="0" distL="0" distR="0" wp14:anchorId="664D9E3C" wp14:editId="098EEE1F">
                  <wp:extent cx="121920" cy="175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1920" cy="175260"/>
                          </a:xfrm>
                          <a:prstGeom prst="rect">
                            <a:avLst/>
                          </a:prstGeom>
                          <a:noFill/>
                          <a:ln>
                            <a:noFill/>
                          </a:ln>
                        </pic:spPr>
                      </pic:pic>
                    </a:graphicData>
                  </a:graphic>
                </wp:inline>
              </w:drawing>
            </w:r>
            <w:r w:rsidRPr="008671BB">
              <w:rPr>
                <w:i/>
                <w:iCs/>
              </w:rPr>
              <w:t xml:space="preserve">. </w:t>
            </w:r>
          </w:p>
          <w:p w14:paraId="2F9CEB57" w14:textId="77777777" w:rsidR="009E79E1" w:rsidRPr="009E79E1" w:rsidRDefault="009E79E1" w:rsidP="00163D02"/>
        </w:tc>
      </w:tr>
    </w:tbl>
    <w:p w14:paraId="2162DD06" w14:textId="77777777" w:rsidR="00536D21" w:rsidRDefault="00536D21" w:rsidP="00163D02">
      <w:pPr>
        <w:rPr>
          <w:lang w:val="en-US"/>
        </w:rPr>
      </w:pPr>
    </w:p>
    <w:p w14:paraId="6D0789D8" w14:textId="5B5235FE" w:rsidR="00536D21" w:rsidRDefault="00536D21" w:rsidP="00163D02">
      <w:pPr>
        <w:rPr>
          <w:lang w:val="en-US"/>
        </w:rPr>
      </w:pPr>
      <w:r>
        <w:rPr>
          <w:lang w:val="en-US"/>
        </w:rPr>
        <w:t>The third correction is editorial and clarifies the intention of the se</w:t>
      </w:r>
      <w:r w:rsidR="004351A0">
        <w:rPr>
          <w:lang w:val="en-US"/>
        </w:rPr>
        <w:t>n</w:t>
      </w:r>
      <w:r>
        <w:rPr>
          <w:lang w:val="en-US"/>
        </w:rPr>
        <w:t>tence.</w:t>
      </w:r>
    </w:p>
    <w:p w14:paraId="1FF6326E" w14:textId="75F07306" w:rsidR="009E79E1" w:rsidRDefault="009E79E1" w:rsidP="00163D02">
      <w:pPr>
        <w:rPr>
          <w:lang w:val="en-US"/>
        </w:rPr>
      </w:pPr>
      <w:r>
        <w:rPr>
          <w:lang w:val="en-US"/>
        </w:rPr>
        <w:t>TS38.213 Sub-clause 10</w:t>
      </w:r>
    </w:p>
    <w:tbl>
      <w:tblPr>
        <w:tblStyle w:val="TableGrid"/>
        <w:tblW w:w="0" w:type="auto"/>
        <w:tblLook w:val="04A0" w:firstRow="1" w:lastRow="0" w:firstColumn="1" w:lastColumn="0" w:noHBand="0" w:noVBand="1"/>
      </w:tblPr>
      <w:tblGrid>
        <w:gridCol w:w="9629"/>
      </w:tblGrid>
      <w:tr w:rsidR="009E79E1" w14:paraId="4600C49D" w14:textId="77777777" w:rsidTr="4FB8EC98">
        <w:tc>
          <w:tcPr>
            <w:tcW w:w="9629" w:type="dxa"/>
          </w:tcPr>
          <w:p w14:paraId="06B337D2" w14:textId="1D37A36F" w:rsidR="009E79E1" w:rsidRPr="0002696A" w:rsidRDefault="009E79E1">
            <w:pPr>
              <w:rPr>
                <w:rFonts w:eastAsiaTheme="minorEastAsia"/>
                <w:i/>
                <w:iCs/>
              </w:rPr>
            </w:pPr>
            <w:r w:rsidRPr="0002696A">
              <w:rPr>
                <w:rFonts w:eastAsiaTheme="minorEastAsia"/>
                <w:i/>
                <w:iCs/>
              </w:rPr>
              <w:t>The UE allocates monitored PDCCH candidates to UE-specific search space sets of the primary cell with</w:t>
            </w:r>
            <w:r w:rsidRPr="0002696A">
              <w:rPr>
                <w:i/>
                <w:iCs/>
              </w:rPr>
              <w:t xml:space="preserve"> subcarrier spacing configuration </w:t>
            </w:r>
            <w:r w:rsidRPr="0002696A">
              <w:rPr>
                <w:i/>
                <w:noProof/>
                <w:position w:val="-10"/>
              </w:rPr>
              <w:drawing>
                <wp:inline distT="0" distB="0" distL="0" distR="0" wp14:anchorId="2479ADFC" wp14:editId="0E6307DC">
                  <wp:extent cx="144780" cy="17526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r w:rsidRPr="0002696A">
              <w:rPr>
                <w:i/>
                <w:iCs/>
              </w:rPr>
              <w:t xml:space="preserve"> </w:t>
            </w:r>
            <w:r w:rsidRPr="0002696A">
              <w:rPr>
                <w:rFonts w:eastAsiaTheme="minorEastAsia"/>
                <w:i/>
                <w:iCs/>
              </w:rPr>
              <w:t xml:space="preserve">in </w:t>
            </w:r>
            <w:r w:rsidRPr="0002696A">
              <w:rPr>
                <w:i/>
                <w:iCs/>
              </w:rPr>
              <w:t xml:space="preserve">slot </w:t>
            </w:r>
            <w:r w:rsidRPr="0002696A">
              <w:rPr>
                <w:i/>
                <w:noProof/>
                <w:position w:val="-6"/>
              </w:rPr>
              <w:drawing>
                <wp:inline distT="0" distB="0" distL="0" distR="0" wp14:anchorId="6B145950" wp14:editId="6C237B5C">
                  <wp:extent cx="121920" cy="1219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r w:rsidRPr="0002696A">
              <w:rPr>
                <w:i/>
                <w:iCs/>
              </w:rPr>
              <w:t xml:space="preserve"> </w:t>
            </w:r>
            <w:r w:rsidRPr="0002696A">
              <w:rPr>
                <w:rFonts w:eastAsiaTheme="minorEastAsia"/>
                <w:i/>
                <w:iCs/>
              </w:rPr>
              <w:t>according to the following pseudocode. A UE is not expected to monitor PDCCH in a UE-specific search space set without</w:t>
            </w:r>
            <w:r w:rsidR="00536D21" w:rsidRPr="0002696A">
              <w:rPr>
                <w:rFonts w:eastAsiaTheme="minorEastAsia"/>
                <w:i/>
                <w:iCs/>
              </w:rPr>
              <w:t xml:space="preserve"> </w:t>
            </w:r>
            <w:r w:rsidR="00536D21" w:rsidRPr="0002696A">
              <w:rPr>
                <w:rFonts w:eastAsiaTheme="minorEastAsia"/>
                <w:i/>
                <w:iCs/>
                <w:color w:val="FF0000"/>
              </w:rPr>
              <w:t>allocated</w:t>
            </w:r>
            <w:r w:rsidRPr="0002696A">
              <w:rPr>
                <w:rFonts w:eastAsiaTheme="minorEastAsia"/>
                <w:i/>
                <w:iCs/>
              </w:rPr>
              <w:t xml:space="preserve"> </w:t>
            </w:r>
            <w:r w:rsidRPr="0002696A">
              <w:rPr>
                <w:rFonts w:eastAsiaTheme="minorEastAsia"/>
                <w:i/>
                <w:iCs/>
                <w:strike/>
                <w:color w:val="FF0000"/>
              </w:rPr>
              <w:t>monitored</w:t>
            </w:r>
            <w:r w:rsidRPr="0002696A">
              <w:rPr>
                <w:rFonts w:eastAsiaTheme="minorEastAsia"/>
                <w:i/>
                <w:iCs/>
                <w:color w:val="FF0000"/>
              </w:rPr>
              <w:t xml:space="preserve"> </w:t>
            </w:r>
            <w:r w:rsidRPr="0002696A">
              <w:rPr>
                <w:rFonts w:eastAsiaTheme="minorEastAsia"/>
                <w:i/>
                <w:iCs/>
              </w:rPr>
              <w:t>PDCCH candidates.</w:t>
            </w:r>
          </w:p>
          <w:p w14:paraId="19936119" w14:textId="77777777" w:rsidR="009E79E1" w:rsidRPr="009E79E1" w:rsidRDefault="009E79E1" w:rsidP="00163D02"/>
        </w:tc>
      </w:tr>
    </w:tbl>
    <w:p w14:paraId="1090FC20" w14:textId="252502F0" w:rsidR="009E79E1" w:rsidRDefault="009E79E1" w:rsidP="00163D02">
      <w:pPr>
        <w:rPr>
          <w:lang w:val="en-US"/>
        </w:rPr>
      </w:pPr>
    </w:p>
    <w:p w14:paraId="6853D9FA" w14:textId="488D644C" w:rsidR="000E4602" w:rsidRDefault="007341DA" w:rsidP="007341DA">
      <w:pPr>
        <w:pStyle w:val="Heading2"/>
        <w:rPr>
          <w:lang w:val="en-US"/>
        </w:rPr>
      </w:pPr>
      <w:r>
        <w:rPr>
          <w:lang w:val="en-US"/>
        </w:rPr>
        <w:t>Open issues on BD and CCE capabilities</w:t>
      </w:r>
      <w:r w:rsidR="00AB35E5">
        <w:rPr>
          <w:lang w:val="en-US"/>
        </w:rPr>
        <w:t xml:space="preserve"> in CA</w:t>
      </w:r>
    </w:p>
    <w:p w14:paraId="4106AFD1" w14:textId="3AD0C4B6" w:rsidR="00AA0649" w:rsidRPr="00AA0649" w:rsidRDefault="00AA0649" w:rsidP="00163D02">
      <w:pPr>
        <w:rPr>
          <w:b/>
          <w:u w:val="single"/>
          <w:lang w:val="en-US"/>
        </w:rPr>
      </w:pPr>
      <w:r w:rsidRPr="00AA0649">
        <w:rPr>
          <w:b/>
          <w:u w:val="single"/>
          <w:lang w:val="en-US"/>
        </w:rPr>
        <w:t xml:space="preserve">Cross-carrier scheduling </w:t>
      </w:r>
    </w:p>
    <w:p w14:paraId="09AA17DB" w14:textId="48FA2FC0" w:rsidR="00685C9D" w:rsidRDefault="00A91731" w:rsidP="00163D02">
      <w:pPr>
        <w:rPr>
          <w:lang w:val="en-US"/>
        </w:rPr>
      </w:pPr>
      <w:r>
        <w:rPr>
          <w:lang w:val="en-US"/>
        </w:rPr>
        <w:t>The status of agreements on BD and CCE capabilities can</w:t>
      </w:r>
      <w:r w:rsidR="006A1CD9">
        <w:rPr>
          <w:lang w:val="en-US"/>
        </w:rPr>
        <w:t xml:space="preserve"> be summarized in Table 1</w:t>
      </w:r>
      <w:r>
        <w:rPr>
          <w:lang w:val="en-US"/>
        </w:rPr>
        <w:t xml:space="preserve">  </w:t>
      </w:r>
    </w:p>
    <w:p w14:paraId="2794B560" w14:textId="7B832CC3" w:rsidR="006A1CD9" w:rsidRDefault="006A1CD9" w:rsidP="006A1CD9">
      <w:pPr>
        <w:pStyle w:val="Caption"/>
        <w:keepNext/>
      </w:pPr>
      <w:r>
        <w:t xml:space="preserve">Table </w:t>
      </w:r>
      <w:r>
        <w:fldChar w:fldCharType="begin"/>
      </w:r>
      <w:r>
        <w:instrText xml:space="preserve"> SEQ Table \* ARABIC </w:instrText>
      </w:r>
      <w:r>
        <w:fldChar w:fldCharType="separate"/>
      </w:r>
      <w:r w:rsidR="00CA01F1">
        <w:rPr>
          <w:noProof/>
        </w:rPr>
        <w:t>1</w:t>
      </w:r>
      <w:r>
        <w:fldChar w:fldCharType="end"/>
      </w:r>
      <w:r>
        <w:t xml:space="preserve"> Standardization status of </w:t>
      </w:r>
      <w:r>
        <w:rPr>
          <w:noProof/>
        </w:rPr>
        <w:t>BD and CCE capabilities for CA</w:t>
      </w:r>
    </w:p>
    <w:tbl>
      <w:tblPr>
        <w:tblStyle w:val="GridTable5Dark-Accent5"/>
        <w:tblW w:w="9493" w:type="dxa"/>
        <w:tblLook w:val="04A0" w:firstRow="1" w:lastRow="0" w:firstColumn="1" w:lastColumn="0" w:noHBand="0" w:noVBand="1"/>
      </w:tblPr>
      <w:tblGrid>
        <w:gridCol w:w="5382"/>
        <w:gridCol w:w="1701"/>
        <w:gridCol w:w="1134"/>
        <w:gridCol w:w="1276"/>
      </w:tblGrid>
      <w:tr w:rsidR="00685C9D" w:rsidRPr="00685C9D" w14:paraId="676D8781" w14:textId="77777777" w:rsidTr="003938FE">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382" w:type="dxa"/>
            <w:hideMark/>
          </w:tcPr>
          <w:p w14:paraId="26D1EDE0" w14:textId="77777777" w:rsidR="00685C9D" w:rsidRPr="008671BB" w:rsidRDefault="00685C9D" w:rsidP="008671BB">
            <w:pPr>
              <w:overflowPunct/>
              <w:autoSpaceDE/>
              <w:autoSpaceDN/>
              <w:adjustRightInd/>
              <w:spacing w:after="0"/>
              <w:jc w:val="both"/>
              <w:textAlignment w:val="auto"/>
              <w:rPr>
                <w:rFonts w:eastAsia="Times New Roman"/>
                <w:lang w:val="en-US"/>
              </w:rPr>
            </w:pPr>
            <w:r w:rsidRPr="008671BB">
              <w:rPr>
                <w:color w:val="FFFFFF" w:themeColor="light1"/>
                <w:kern w:val="24"/>
                <w:lang w:val="en-US"/>
              </w:rPr>
              <w:t>UE CCE and BD capability for CA</w:t>
            </w:r>
          </w:p>
          <w:p w14:paraId="5E9F6318" w14:textId="4C3C9180" w:rsidR="00685C9D" w:rsidRPr="008671BB" w:rsidRDefault="00685C9D" w:rsidP="008671BB">
            <w:pPr>
              <w:overflowPunct/>
              <w:autoSpaceDE/>
              <w:autoSpaceDN/>
              <w:adjustRightInd/>
              <w:spacing w:after="0"/>
              <w:jc w:val="both"/>
              <w:textAlignment w:val="auto"/>
              <w:rPr>
                <w:rFonts w:eastAsia="Times New Roman"/>
                <w:lang w:val="en-US"/>
              </w:rPr>
            </w:pPr>
            <w:r w:rsidRPr="4FB8EC98">
              <w:rPr>
                <w:rFonts w:eastAsia="Times New Roman"/>
                <w:color w:val="FFFFFF" w:themeColor="light1"/>
                <w:kern w:val="24"/>
                <w:lang w:val="en-US"/>
              </w:rPr>
              <w:t xml:space="preserve"> (</w:t>
            </w:r>
            <w:r w:rsidRPr="008671BB">
              <w:rPr>
                <w:i/>
                <w:iCs/>
                <w:color w:val="FFFFFF" w:themeColor="light1"/>
                <w:kern w:val="24"/>
                <w:lang w:val="en-US"/>
              </w:rPr>
              <w:t>T denotes configured cells, y denotes BD-capability)</w:t>
            </w:r>
          </w:p>
        </w:tc>
        <w:tc>
          <w:tcPr>
            <w:tcW w:w="1701" w:type="dxa"/>
            <w:hideMark/>
          </w:tcPr>
          <w:p w14:paraId="23A97CD1" w14:textId="77777777" w:rsidR="00685C9D" w:rsidRPr="008671BB" w:rsidRDefault="00685C9D" w:rsidP="008671BB">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lang w:val="en-US"/>
              </w:rPr>
            </w:pPr>
            <w:r w:rsidRPr="008671BB">
              <w:rPr>
                <w:color w:val="FFFFFF" w:themeColor="light1"/>
                <w:kern w:val="24"/>
                <w:lang w:val="en-US"/>
              </w:rPr>
              <w:t>T&lt;=4</w:t>
            </w:r>
          </w:p>
        </w:tc>
        <w:tc>
          <w:tcPr>
            <w:tcW w:w="1134" w:type="dxa"/>
            <w:hideMark/>
          </w:tcPr>
          <w:p w14:paraId="38262363" w14:textId="77777777" w:rsidR="00685C9D" w:rsidRPr="008671BB" w:rsidRDefault="00685C9D" w:rsidP="008671BB">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lang w:val="en-US"/>
              </w:rPr>
            </w:pPr>
            <w:r w:rsidRPr="008671BB">
              <w:rPr>
                <w:color w:val="FFFFFF" w:themeColor="light1"/>
                <w:kern w:val="24"/>
                <w:lang w:val="en-US"/>
              </w:rPr>
              <w:t>4&lt;T&lt;=y</w:t>
            </w:r>
          </w:p>
        </w:tc>
        <w:tc>
          <w:tcPr>
            <w:tcW w:w="1276" w:type="dxa"/>
            <w:hideMark/>
          </w:tcPr>
          <w:p w14:paraId="2A284F0E" w14:textId="77777777" w:rsidR="00685C9D" w:rsidRPr="008671BB" w:rsidRDefault="00685C9D" w:rsidP="008671BB">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lang w:val="en-US"/>
              </w:rPr>
            </w:pPr>
            <w:r w:rsidRPr="008671BB">
              <w:rPr>
                <w:color w:val="FFFFFF" w:themeColor="light1"/>
                <w:kern w:val="24"/>
                <w:lang w:val="en-US"/>
              </w:rPr>
              <w:t>T&gt;y</w:t>
            </w:r>
          </w:p>
        </w:tc>
      </w:tr>
      <w:tr w:rsidR="00685C9D" w:rsidRPr="00685C9D" w14:paraId="33E6EB4B" w14:textId="77777777" w:rsidTr="003938FE">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5382" w:type="dxa"/>
            <w:hideMark/>
          </w:tcPr>
          <w:p w14:paraId="6FF43B46" w14:textId="77777777" w:rsidR="00685C9D" w:rsidRPr="008671BB" w:rsidRDefault="00685C9D" w:rsidP="008671BB">
            <w:pPr>
              <w:overflowPunct/>
              <w:autoSpaceDE/>
              <w:autoSpaceDN/>
              <w:adjustRightInd/>
              <w:spacing w:after="0"/>
              <w:textAlignment w:val="auto"/>
              <w:rPr>
                <w:rFonts w:eastAsia="Times New Roman"/>
                <w:lang w:val="en-US"/>
              </w:rPr>
            </w:pPr>
            <w:r w:rsidRPr="008671BB">
              <w:rPr>
                <w:color w:val="FFFFFF" w:themeColor="light1"/>
                <w:kern w:val="24"/>
                <w:lang w:val="en-US"/>
              </w:rPr>
              <w:t>Self-scheduling and same numerology</w:t>
            </w:r>
          </w:p>
        </w:tc>
        <w:tc>
          <w:tcPr>
            <w:tcW w:w="1701" w:type="dxa"/>
            <w:hideMark/>
          </w:tcPr>
          <w:p w14:paraId="0792DD5A" w14:textId="77777777" w:rsidR="00685C9D" w:rsidRPr="008671BB" w:rsidRDefault="00685C9D" w:rsidP="008671BB">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lang w:val="en-US"/>
              </w:rPr>
            </w:pPr>
            <w:r w:rsidRPr="008671BB">
              <w:rPr>
                <w:color w:val="000000" w:themeColor="dark1"/>
                <w:kern w:val="24"/>
                <w:lang w:val="en-US"/>
              </w:rPr>
              <w:t>Agreed</w:t>
            </w:r>
          </w:p>
        </w:tc>
        <w:tc>
          <w:tcPr>
            <w:tcW w:w="1134" w:type="dxa"/>
            <w:hideMark/>
          </w:tcPr>
          <w:p w14:paraId="28426EFC" w14:textId="77777777" w:rsidR="00685C9D" w:rsidRPr="008671BB" w:rsidRDefault="00685C9D" w:rsidP="008671BB">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lang w:val="en-US"/>
              </w:rPr>
            </w:pPr>
            <w:r w:rsidRPr="008671BB">
              <w:rPr>
                <w:color w:val="000000" w:themeColor="dark1"/>
                <w:kern w:val="24"/>
                <w:lang w:val="en-US"/>
              </w:rPr>
              <w:t>Agreed</w:t>
            </w:r>
          </w:p>
        </w:tc>
        <w:tc>
          <w:tcPr>
            <w:tcW w:w="1276" w:type="dxa"/>
            <w:hideMark/>
          </w:tcPr>
          <w:p w14:paraId="17A8703F" w14:textId="77777777" w:rsidR="00685C9D" w:rsidRPr="008671BB" w:rsidRDefault="00685C9D" w:rsidP="008671BB">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lang w:val="en-US"/>
              </w:rPr>
            </w:pPr>
            <w:r w:rsidRPr="008671BB">
              <w:rPr>
                <w:color w:val="000000" w:themeColor="dark1"/>
                <w:kern w:val="24"/>
                <w:lang w:val="en-US"/>
              </w:rPr>
              <w:t>Agreed</w:t>
            </w:r>
          </w:p>
        </w:tc>
      </w:tr>
      <w:tr w:rsidR="00685C9D" w:rsidRPr="00685C9D" w14:paraId="6C74D479" w14:textId="77777777" w:rsidTr="003938FE">
        <w:trPr>
          <w:trHeight w:val="288"/>
        </w:trPr>
        <w:tc>
          <w:tcPr>
            <w:cnfStyle w:val="001000000000" w:firstRow="0" w:lastRow="0" w:firstColumn="1" w:lastColumn="0" w:oddVBand="0" w:evenVBand="0" w:oddHBand="0" w:evenHBand="0" w:firstRowFirstColumn="0" w:firstRowLastColumn="0" w:lastRowFirstColumn="0" w:lastRowLastColumn="0"/>
            <w:tcW w:w="5382" w:type="dxa"/>
            <w:hideMark/>
          </w:tcPr>
          <w:p w14:paraId="3CDD5DE2" w14:textId="77777777" w:rsidR="00685C9D" w:rsidRPr="008671BB" w:rsidRDefault="00685C9D" w:rsidP="008671BB">
            <w:pPr>
              <w:overflowPunct/>
              <w:autoSpaceDE/>
              <w:autoSpaceDN/>
              <w:adjustRightInd/>
              <w:spacing w:after="0"/>
              <w:textAlignment w:val="auto"/>
              <w:rPr>
                <w:rFonts w:eastAsia="Times New Roman"/>
                <w:lang w:val="en-US"/>
              </w:rPr>
            </w:pPr>
            <w:r w:rsidRPr="008671BB">
              <w:rPr>
                <w:color w:val="FFFFFF" w:themeColor="light1"/>
                <w:kern w:val="24"/>
                <w:lang w:val="en-US"/>
              </w:rPr>
              <w:t>Self-scheduling and different numerology</w:t>
            </w:r>
          </w:p>
        </w:tc>
        <w:tc>
          <w:tcPr>
            <w:tcW w:w="1701" w:type="dxa"/>
            <w:hideMark/>
          </w:tcPr>
          <w:p w14:paraId="13678570" w14:textId="77777777" w:rsidR="00685C9D" w:rsidRPr="008671BB" w:rsidRDefault="00685C9D" w:rsidP="008671B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8671BB">
              <w:rPr>
                <w:color w:val="000000" w:themeColor="dark1"/>
                <w:kern w:val="24"/>
                <w:lang w:val="en-US"/>
              </w:rPr>
              <w:t>Agreed</w:t>
            </w:r>
          </w:p>
        </w:tc>
        <w:tc>
          <w:tcPr>
            <w:tcW w:w="1134" w:type="dxa"/>
            <w:hideMark/>
          </w:tcPr>
          <w:p w14:paraId="0576E778" w14:textId="77777777" w:rsidR="00685C9D" w:rsidRPr="008671BB" w:rsidRDefault="00685C9D" w:rsidP="008671B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8671BB">
              <w:rPr>
                <w:color w:val="000000" w:themeColor="dark1"/>
                <w:kern w:val="24"/>
                <w:lang w:val="en-US"/>
              </w:rPr>
              <w:t>Agreed</w:t>
            </w:r>
          </w:p>
        </w:tc>
        <w:tc>
          <w:tcPr>
            <w:tcW w:w="1276" w:type="dxa"/>
            <w:hideMark/>
          </w:tcPr>
          <w:p w14:paraId="3D9A8889" w14:textId="77777777" w:rsidR="00685C9D" w:rsidRPr="008671BB" w:rsidRDefault="00685C9D" w:rsidP="008671B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8671BB">
              <w:rPr>
                <w:color w:val="000000" w:themeColor="dark1"/>
                <w:kern w:val="24"/>
                <w:lang w:val="en-US"/>
              </w:rPr>
              <w:t>WA</w:t>
            </w:r>
          </w:p>
        </w:tc>
      </w:tr>
      <w:tr w:rsidR="00685C9D" w:rsidRPr="00685C9D" w14:paraId="7277263E" w14:textId="77777777" w:rsidTr="003938FE">
        <w:trPr>
          <w:cnfStyle w:val="000000100000" w:firstRow="0" w:lastRow="0" w:firstColumn="0" w:lastColumn="0" w:oddVBand="0" w:evenVBand="0" w:oddHBand="1" w:evenHBand="0" w:firstRowFirstColumn="0" w:firstRowLastColumn="0" w:lastRowFirstColumn="0" w:lastRowLastColumn="0"/>
          <w:trHeight w:val="259"/>
        </w:trPr>
        <w:tc>
          <w:tcPr>
            <w:cnfStyle w:val="001000000000" w:firstRow="0" w:lastRow="0" w:firstColumn="1" w:lastColumn="0" w:oddVBand="0" w:evenVBand="0" w:oddHBand="0" w:evenHBand="0" w:firstRowFirstColumn="0" w:firstRowLastColumn="0" w:lastRowFirstColumn="0" w:lastRowLastColumn="0"/>
            <w:tcW w:w="5382" w:type="dxa"/>
            <w:hideMark/>
          </w:tcPr>
          <w:p w14:paraId="59080497" w14:textId="77777777" w:rsidR="00685C9D" w:rsidRPr="008671BB" w:rsidRDefault="00685C9D" w:rsidP="008671BB">
            <w:pPr>
              <w:overflowPunct/>
              <w:autoSpaceDE/>
              <w:autoSpaceDN/>
              <w:adjustRightInd/>
              <w:spacing w:after="0"/>
              <w:textAlignment w:val="auto"/>
              <w:rPr>
                <w:rFonts w:eastAsia="Times New Roman"/>
                <w:lang w:val="en-US"/>
              </w:rPr>
            </w:pPr>
            <w:r w:rsidRPr="008671BB">
              <w:rPr>
                <w:color w:val="FFFFFF" w:themeColor="light1"/>
                <w:kern w:val="24"/>
                <w:lang w:val="en-US"/>
              </w:rPr>
              <w:t>Cross-scheduling and same numerology</w:t>
            </w:r>
          </w:p>
        </w:tc>
        <w:tc>
          <w:tcPr>
            <w:tcW w:w="1701" w:type="dxa"/>
            <w:hideMark/>
          </w:tcPr>
          <w:p w14:paraId="23A4FE95" w14:textId="77777777" w:rsidR="00685C9D" w:rsidRPr="008671BB" w:rsidRDefault="00685C9D" w:rsidP="008671BB">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lang w:val="en-US"/>
              </w:rPr>
            </w:pPr>
            <w:r w:rsidRPr="008671BB">
              <w:rPr>
                <w:color w:val="000000" w:themeColor="dark1"/>
                <w:kern w:val="24"/>
                <w:lang w:val="en-US"/>
              </w:rPr>
              <w:t>Agreed</w:t>
            </w:r>
          </w:p>
        </w:tc>
        <w:tc>
          <w:tcPr>
            <w:tcW w:w="1134" w:type="dxa"/>
            <w:hideMark/>
          </w:tcPr>
          <w:p w14:paraId="0BC758EC" w14:textId="77777777" w:rsidR="00685C9D" w:rsidRPr="008671BB" w:rsidRDefault="00685C9D" w:rsidP="008671BB">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lang w:val="en-US"/>
              </w:rPr>
            </w:pPr>
            <w:r w:rsidRPr="008671BB">
              <w:rPr>
                <w:color w:val="000000" w:themeColor="dark1"/>
                <w:kern w:val="24"/>
                <w:lang w:val="en-US"/>
              </w:rPr>
              <w:t>Agreed</w:t>
            </w:r>
          </w:p>
        </w:tc>
        <w:tc>
          <w:tcPr>
            <w:tcW w:w="1276" w:type="dxa"/>
            <w:hideMark/>
          </w:tcPr>
          <w:p w14:paraId="79AB1173" w14:textId="7715E972" w:rsidR="00685C9D" w:rsidRPr="008671BB" w:rsidRDefault="006A1CD9" w:rsidP="008671BB">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lang w:val="en-US"/>
              </w:rPr>
            </w:pPr>
            <w:r w:rsidRPr="008671BB">
              <w:rPr>
                <w:color w:val="000000" w:themeColor="dark1"/>
                <w:kern w:val="24"/>
                <w:lang w:val="en-US"/>
              </w:rPr>
              <w:t>A</w:t>
            </w:r>
            <w:r w:rsidR="00685C9D" w:rsidRPr="008671BB">
              <w:rPr>
                <w:color w:val="000000" w:themeColor="dark1"/>
                <w:kern w:val="24"/>
                <w:lang w:val="en-US"/>
              </w:rPr>
              <w:t>greement</w:t>
            </w:r>
            <w:r w:rsidRPr="4FB8EC98">
              <w:rPr>
                <w:rFonts w:eastAsia="Times New Roman"/>
                <w:color w:val="000000" w:themeColor="dark1"/>
                <w:kern w:val="24"/>
                <w:lang w:val="en-US"/>
              </w:rPr>
              <w:t xml:space="preserve"> </w:t>
            </w:r>
          </w:p>
          <w:p w14:paraId="32C96010" w14:textId="7BEE281D" w:rsidR="00685C9D" w:rsidRPr="008671BB" w:rsidRDefault="004351A0" w:rsidP="008671BB">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lang w:val="en-US"/>
              </w:rPr>
            </w:pPr>
            <w:r w:rsidRPr="008671BB">
              <w:rPr>
                <w:color w:val="000000" w:themeColor="dark1"/>
                <w:kern w:val="24"/>
                <w:lang w:val="en-US"/>
              </w:rPr>
              <w:t>m</w:t>
            </w:r>
            <w:r w:rsidR="00685C9D" w:rsidRPr="008671BB">
              <w:rPr>
                <w:color w:val="000000" w:themeColor="dark1"/>
                <w:kern w:val="24"/>
                <w:lang w:val="en-US"/>
              </w:rPr>
              <w:t>issing</w:t>
            </w:r>
            <w:r w:rsidR="006A1CD9" w:rsidRPr="4FB8EC98">
              <w:rPr>
                <w:rFonts w:eastAsia="Times New Roman"/>
                <w:color w:val="000000" w:themeColor="dark1"/>
                <w:kern w:val="24"/>
                <w:lang w:val="en-US"/>
              </w:rPr>
              <w:t xml:space="preserve"> </w:t>
            </w:r>
          </w:p>
        </w:tc>
      </w:tr>
      <w:tr w:rsidR="00685C9D" w:rsidRPr="00685C9D" w14:paraId="0B13C1B6" w14:textId="77777777" w:rsidTr="003938FE">
        <w:trPr>
          <w:trHeight w:val="288"/>
        </w:trPr>
        <w:tc>
          <w:tcPr>
            <w:cnfStyle w:val="001000000000" w:firstRow="0" w:lastRow="0" w:firstColumn="1" w:lastColumn="0" w:oddVBand="0" w:evenVBand="0" w:oddHBand="0" w:evenHBand="0" w:firstRowFirstColumn="0" w:firstRowLastColumn="0" w:lastRowFirstColumn="0" w:lastRowLastColumn="0"/>
            <w:tcW w:w="5382" w:type="dxa"/>
            <w:hideMark/>
          </w:tcPr>
          <w:p w14:paraId="60030FF5" w14:textId="77777777" w:rsidR="00685C9D" w:rsidRPr="008671BB" w:rsidRDefault="00685C9D" w:rsidP="008671BB">
            <w:pPr>
              <w:overflowPunct/>
              <w:autoSpaceDE/>
              <w:autoSpaceDN/>
              <w:adjustRightInd/>
              <w:spacing w:after="0"/>
              <w:textAlignment w:val="auto"/>
              <w:rPr>
                <w:rFonts w:eastAsia="Times New Roman"/>
                <w:lang w:val="en-US"/>
              </w:rPr>
            </w:pPr>
            <w:r w:rsidRPr="008671BB">
              <w:rPr>
                <w:color w:val="FFFFFF" w:themeColor="light1"/>
                <w:kern w:val="24"/>
                <w:lang w:val="en-US"/>
              </w:rPr>
              <w:t>Cross-scheduling and different numerology</w:t>
            </w:r>
          </w:p>
        </w:tc>
        <w:tc>
          <w:tcPr>
            <w:tcW w:w="1701" w:type="dxa"/>
            <w:hideMark/>
          </w:tcPr>
          <w:p w14:paraId="70881885" w14:textId="77777777" w:rsidR="00685C9D" w:rsidRPr="008671BB" w:rsidRDefault="00685C9D" w:rsidP="008671B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8671BB">
              <w:rPr>
                <w:color w:val="000000" w:themeColor="dark1"/>
                <w:kern w:val="24"/>
                <w:lang w:val="en-US"/>
              </w:rPr>
              <w:t>agreement</w:t>
            </w:r>
          </w:p>
          <w:p w14:paraId="3021A373" w14:textId="77777777" w:rsidR="00685C9D" w:rsidRPr="008671BB" w:rsidRDefault="00685C9D" w:rsidP="008671B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8671BB">
              <w:rPr>
                <w:color w:val="000000" w:themeColor="dark1"/>
                <w:kern w:val="24"/>
                <w:lang w:val="en-US"/>
              </w:rPr>
              <w:t>missing</w:t>
            </w:r>
          </w:p>
        </w:tc>
        <w:tc>
          <w:tcPr>
            <w:tcW w:w="1134" w:type="dxa"/>
            <w:hideMark/>
          </w:tcPr>
          <w:p w14:paraId="15883372" w14:textId="77777777" w:rsidR="00685C9D" w:rsidRPr="008671BB" w:rsidRDefault="00685C9D" w:rsidP="008671B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8671BB">
              <w:rPr>
                <w:color w:val="000000" w:themeColor="dark1"/>
                <w:kern w:val="24"/>
                <w:lang w:val="en-US"/>
              </w:rPr>
              <w:t>agreement</w:t>
            </w:r>
          </w:p>
          <w:p w14:paraId="252A4687" w14:textId="77777777" w:rsidR="00685C9D" w:rsidRPr="008671BB" w:rsidRDefault="00685C9D" w:rsidP="008671B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8671BB">
              <w:rPr>
                <w:color w:val="000000" w:themeColor="dark1"/>
                <w:kern w:val="24"/>
                <w:lang w:val="en-US"/>
              </w:rPr>
              <w:t>missing</w:t>
            </w:r>
          </w:p>
        </w:tc>
        <w:tc>
          <w:tcPr>
            <w:tcW w:w="1276" w:type="dxa"/>
            <w:hideMark/>
          </w:tcPr>
          <w:p w14:paraId="61E05FAA" w14:textId="77777777" w:rsidR="00685C9D" w:rsidRPr="008671BB" w:rsidRDefault="00685C9D" w:rsidP="008671B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8671BB">
              <w:rPr>
                <w:color w:val="000000" w:themeColor="dark1"/>
                <w:kern w:val="24"/>
                <w:lang w:val="en-US"/>
              </w:rPr>
              <w:t>agreement</w:t>
            </w:r>
          </w:p>
          <w:p w14:paraId="77C2E68E" w14:textId="77777777" w:rsidR="00685C9D" w:rsidRPr="008671BB" w:rsidRDefault="00685C9D" w:rsidP="008671B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8671BB">
              <w:rPr>
                <w:color w:val="000000" w:themeColor="dark1"/>
                <w:kern w:val="24"/>
                <w:lang w:val="en-US"/>
              </w:rPr>
              <w:t>missing</w:t>
            </w:r>
          </w:p>
        </w:tc>
      </w:tr>
    </w:tbl>
    <w:p w14:paraId="307C4659" w14:textId="77777777" w:rsidR="000E4602" w:rsidRPr="00163D02" w:rsidRDefault="000E4602" w:rsidP="00163D02">
      <w:pPr>
        <w:rPr>
          <w:lang w:val="en-US"/>
        </w:rPr>
      </w:pPr>
    </w:p>
    <w:p w14:paraId="5EE6F4F3" w14:textId="4A4FBFE5" w:rsidR="006A1CD9" w:rsidDel="006F6A87" w:rsidRDefault="006A1CD9" w:rsidP="006A1CD9">
      <w:pPr>
        <w:spacing w:after="0"/>
        <w:jc w:val="both"/>
      </w:pPr>
      <w:r>
        <w:t xml:space="preserve">For the last row of the Table 1, the </w:t>
      </w:r>
      <w:r w:rsidR="004200BF">
        <w:t>first</w:t>
      </w:r>
      <w:r>
        <w:t xml:space="preserve"> issue is how to determine the numerology to determine limits, based on numerology of scheduled or scheduling cell</w:t>
      </w:r>
      <w:r w:rsidDel="006F6A87">
        <w:t>. When scheduling from lower SCS to higher SCS, the processing time-line for scheduled PxSCH is the limiting factor, the BD and CCE limit should be determined by scheduled serving cell. On the other hand, when scheduling from higher SCS to lower SCS there is plenty of time for processing of PxSCH, the BD and CCE limits should be determined by s</w:t>
      </w:r>
      <w:r>
        <w:t>cheduling serving cell instead.</w:t>
      </w:r>
    </w:p>
    <w:p w14:paraId="5D4FF022" w14:textId="77777777" w:rsidR="006A1CD9" w:rsidDel="006F6A87" w:rsidRDefault="006A1CD9" w:rsidP="006A1CD9">
      <w:pPr>
        <w:spacing w:after="0"/>
        <w:jc w:val="both"/>
        <w:rPr>
          <w:b/>
        </w:rPr>
      </w:pPr>
    </w:p>
    <w:p w14:paraId="5EBC2ABB" w14:textId="5085B01A" w:rsidR="006A1CD9" w:rsidRPr="008671BB" w:rsidDel="006F6A87" w:rsidRDefault="006A1CD9" w:rsidP="008671BB">
      <w:pPr>
        <w:spacing w:after="0"/>
        <w:jc w:val="both"/>
        <w:rPr>
          <w:i/>
          <w:iCs/>
          <w:lang w:val="en-US"/>
        </w:rPr>
      </w:pPr>
      <w:r w:rsidRPr="008671BB" w:rsidDel="006F6A87">
        <w:rPr>
          <w:b/>
          <w:bCs/>
          <w:i/>
          <w:iCs/>
        </w:rPr>
        <w:t>Proposal</w:t>
      </w:r>
      <w:r w:rsidRPr="008671BB">
        <w:rPr>
          <w:b/>
          <w:bCs/>
          <w:i/>
          <w:iCs/>
        </w:rPr>
        <w:t>-</w:t>
      </w:r>
      <w:r w:rsidR="00FA2261">
        <w:rPr>
          <w:b/>
          <w:bCs/>
          <w:i/>
          <w:iCs/>
        </w:rPr>
        <w:t>3</w:t>
      </w:r>
      <w:r w:rsidR="004200BF" w:rsidRPr="008671BB">
        <w:rPr>
          <w:b/>
          <w:bCs/>
          <w:i/>
          <w:iCs/>
        </w:rPr>
        <w:t>:</w:t>
      </w:r>
      <w:r w:rsidR="004200BF" w:rsidRPr="008671BB">
        <w:rPr>
          <w:i/>
          <w:iCs/>
        </w:rPr>
        <w:t xml:space="preserve"> </w:t>
      </w:r>
      <w:r w:rsidRPr="008671BB">
        <w:rPr>
          <w:i/>
          <w:iCs/>
        </w:rPr>
        <w:t>For CA with cross-carrier scheduling</w:t>
      </w:r>
      <w:r w:rsidRPr="008671BB">
        <w:rPr>
          <w:i/>
          <w:iCs/>
          <w:lang w:val="en-US"/>
        </w:rPr>
        <w:t>, t</w:t>
      </w:r>
      <w:r w:rsidRPr="008671BB" w:rsidDel="006F6A87">
        <w:rPr>
          <w:i/>
          <w:iCs/>
          <w:lang w:val="en-US"/>
        </w:rPr>
        <w:t xml:space="preserve">he BD and CCE limit </w:t>
      </w:r>
      <w:r w:rsidRPr="008671BB">
        <w:rPr>
          <w:i/>
          <w:iCs/>
          <w:lang w:val="en-US"/>
        </w:rPr>
        <w:t xml:space="preserve">for the cross-SCS scheduled cell </w:t>
      </w:r>
      <w:r w:rsidRPr="008671BB" w:rsidDel="006F6A87">
        <w:rPr>
          <w:i/>
          <w:iCs/>
          <w:lang w:val="en-US"/>
        </w:rPr>
        <w:t>is determined by active numerology of</w:t>
      </w:r>
      <w:r w:rsidRPr="008671BB">
        <w:rPr>
          <w:i/>
          <w:iCs/>
          <w:lang w:val="en-US"/>
        </w:rPr>
        <w:t xml:space="preserve"> the </w:t>
      </w:r>
    </w:p>
    <w:p w14:paraId="73C034BA" w14:textId="77777777" w:rsidR="006A1CD9" w:rsidRPr="008671BB" w:rsidDel="006F6A87" w:rsidRDefault="006A1CD9">
      <w:pPr>
        <w:pStyle w:val="ListParagraph"/>
        <w:numPr>
          <w:ilvl w:val="1"/>
          <w:numId w:val="10"/>
        </w:numPr>
        <w:jc w:val="both"/>
        <w:rPr>
          <w:i/>
          <w:iCs/>
          <w:sz w:val="20"/>
          <w:szCs w:val="20"/>
          <w:lang w:val="en-US"/>
        </w:rPr>
      </w:pPr>
      <w:r w:rsidRPr="008671BB" w:rsidDel="006F6A87">
        <w:rPr>
          <w:i/>
          <w:iCs/>
          <w:sz w:val="20"/>
          <w:szCs w:val="20"/>
          <w:lang w:val="en-US"/>
        </w:rPr>
        <w:t xml:space="preserve">scheduled serving cell when </w:t>
      </w:r>
      <w:r w:rsidRPr="008671BB">
        <w:rPr>
          <w:i/>
          <w:iCs/>
          <w:sz w:val="20"/>
          <w:szCs w:val="20"/>
          <w:lang w:val="en-US"/>
        </w:rPr>
        <w:t xml:space="preserve">being </w:t>
      </w:r>
      <w:r w:rsidRPr="008671BB" w:rsidDel="006F6A87">
        <w:rPr>
          <w:i/>
          <w:iCs/>
          <w:sz w:val="20"/>
          <w:szCs w:val="20"/>
          <w:lang w:val="en-US"/>
        </w:rPr>
        <w:t>schedul</w:t>
      </w:r>
      <w:r w:rsidRPr="008671BB">
        <w:rPr>
          <w:i/>
          <w:iCs/>
          <w:sz w:val="20"/>
          <w:szCs w:val="20"/>
          <w:lang w:val="en-US"/>
        </w:rPr>
        <w:t>ed</w:t>
      </w:r>
      <w:r w:rsidRPr="008671BB" w:rsidDel="006F6A87">
        <w:rPr>
          <w:i/>
          <w:iCs/>
          <w:sz w:val="20"/>
          <w:szCs w:val="20"/>
          <w:lang w:val="en-US"/>
        </w:rPr>
        <w:t xml:space="preserve"> form </w:t>
      </w:r>
      <w:r w:rsidRPr="008671BB">
        <w:rPr>
          <w:i/>
          <w:iCs/>
          <w:sz w:val="20"/>
          <w:szCs w:val="20"/>
          <w:lang w:val="en-US"/>
        </w:rPr>
        <w:t xml:space="preserve">a </w:t>
      </w:r>
      <w:r w:rsidRPr="008671BB" w:rsidDel="006F6A87">
        <w:rPr>
          <w:i/>
          <w:iCs/>
          <w:sz w:val="20"/>
          <w:szCs w:val="20"/>
          <w:lang w:val="en-US"/>
        </w:rPr>
        <w:t xml:space="preserve">lower SCS </w:t>
      </w:r>
      <w:r w:rsidRPr="008671BB">
        <w:rPr>
          <w:i/>
          <w:iCs/>
          <w:sz w:val="20"/>
          <w:szCs w:val="20"/>
          <w:lang w:val="en-US"/>
        </w:rPr>
        <w:t>cell</w:t>
      </w:r>
    </w:p>
    <w:p w14:paraId="2FB3B9E2" w14:textId="77777777" w:rsidR="006A1CD9" w:rsidRPr="008671BB" w:rsidRDefault="006A1CD9">
      <w:pPr>
        <w:pStyle w:val="ListParagraph"/>
        <w:numPr>
          <w:ilvl w:val="1"/>
          <w:numId w:val="10"/>
        </w:numPr>
        <w:jc w:val="both"/>
        <w:rPr>
          <w:b/>
          <w:bCs/>
          <w:i/>
          <w:iCs/>
          <w:sz w:val="20"/>
          <w:szCs w:val="20"/>
          <w:lang w:val="en-US"/>
        </w:rPr>
      </w:pPr>
      <w:r w:rsidRPr="008671BB" w:rsidDel="006F6A87">
        <w:rPr>
          <w:i/>
          <w:iCs/>
          <w:sz w:val="20"/>
          <w:szCs w:val="20"/>
          <w:lang w:val="en-US"/>
        </w:rPr>
        <w:t xml:space="preserve">scheduling serving cell when </w:t>
      </w:r>
      <w:r w:rsidRPr="008671BB">
        <w:rPr>
          <w:i/>
          <w:iCs/>
          <w:sz w:val="20"/>
          <w:szCs w:val="20"/>
          <w:lang w:val="en-US"/>
        </w:rPr>
        <w:t xml:space="preserve">being </w:t>
      </w:r>
      <w:r w:rsidRPr="008671BB" w:rsidDel="006F6A87">
        <w:rPr>
          <w:i/>
          <w:iCs/>
          <w:sz w:val="20"/>
          <w:szCs w:val="20"/>
          <w:lang w:val="en-US"/>
        </w:rPr>
        <w:t>schedul</w:t>
      </w:r>
      <w:r w:rsidRPr="008671BB">
        <w:rPr>
          <w:i/>
          <w:iCs/>
          <w:sz w:val="20"/>
          <w:szCs w:val="20"/>
          <w:lang w:val="en-US"/>
        </w:rPr>
        <w:t>ed</w:t>
      </w:r>
      <w:r w:rsidRPr="008671BB" w:rsidDel="006F6A87">
        <w:rPr>
          <w:i/>
          <w:iCs/>
          <w:sz w:val="20"/>
          <w:szCs w:val="20"/>
          <w:lang w:val="en-US"/>
        </w:rPr>
        <w:t xml:space="preserve"> from </w:t>
      </w:r>
      <w:r w:rsidRPr="008671BB">
        <w:rPr>
          <w:i/>
          <w:iCs/>
          <w:sz w:val="20"/>
          <w:szCs w:val="20"/>
          <w:lang w:val="en-US"/>
        </w:rPr>
        <w:t xml:space="preserve">a </w:t>
      </w:r>
      <w:r w:rsidRPr="008671BB" w:rsidDel="006F6A87">
        <w:rPr>
          <w:i/>
          <w:iCs/>
          <w:sz w:val="20"/>
          <w:szCs w:val="20"/>
          <w:lang w:val="en-US"/>
        </w:rPr>
        <w:t xml:space="preserve">higher SCS </w:t>
      </w:r>
      <w:r w:rsidRPr="008671BB">
        <w:rPr>
          <w:i/>
          <w:iCs/>
          <w:sz w:val="20"/>
          <w:szCs w:val="20"/>
          <w:lang w:val="en-US"/>
        </w:rPr>
        <w:t>cell</w:t>
      </w:r>
      <w:r w:rsidRPr="008671BB">
        <w:rPr>
          <w:b/>
          <w:bCs/>
          <w:i/>
          <w:iCs/>
          <w:sz w:val="20"/>
          <w:szCs w:val="20"/>
          <w:lang w:val="en-US"/>
        </w:rPr>
        <w:t xml:space="preserve"> </w:t>
      </w:r>
    </w:p>
    <w:p w14:paraId="1CEEE5C0" w14:textId="77777777" w:rsidR="006A1CD9" w:rsidRDefault="006A1CD9" w:rsidP="006A1CD9">
      <w:pPr>
        <w:rPr>
          <w:i/>
          <w:iCs/>
          <w:lang w:val="en-US" w:eastAsia="ko-KR"/>
        </w:rPr>
      </w:pPr>
    </w:p>
    <w:p w14:paraId="61C6A9F1" w14:textId="4500ED61" w:rsidR="00947322" w:rsidRDefault="004200BF" w:rsidP="002252D3">
      <w:pPr>
        <w:jc w:val="both"/>
      </w:pPr>
      <w:r>
        <w:t xml:space="preserve">Second issue of cross-carrier scheduling is related to </w:t>
      </w:r>
      <w:r w:rsidR="002252D3" w:rsidRPr="008671BB">
        <w:rPr>
          <w:i/>
          <w:iCs/>
        </w:rPr>
        <w:t xml:space="preserve">searchSpaceSharingCA-DL </w:t>
      </w:r>
      <w:r w:rsidR="002252D3" w:rsidRPr="002252D3">
        <w:t>capability</w:t>
      </w:r>
      <w:r>
        <w:t>. It was agreed in Reno 2017 that if UE indicates capability</w:t>
      </w:r>
      <w:r w:rsidR="000B51DD">
        <w:t xml:space="preserve"> of </w:t>
      </w:r>
      <w:r w:rsidR="000B51DD" w:rsidRPr="008671BB">
        <w:rPr>
          <w:i/>
          <w:iCs/>
        </w:rPr>
        <w:t>PDCCH candidate sharing</w:t>
      </w:r>
      <w:r>
        <w:t>, then gNB may transmit self-scheduling DCI</w:t>
      </w:r>
      <w:r w:rsidR="000B51DD">
        <w:t>s</w:t>
      </w:r>
      <w:r>
        <w:t xml:space="preserve"> and cross-scheduling DCI</w:t>
      </w:r>
      <w:r w:rsidR="000B51DD">
        <w:t>s</w:t>
      </w:r>
      <w:r w:rsidR="002252D3">
        <w:t xml:space="preserve"> </w:t>
      </w:r>
      <w:r>
        <w:t>on the configured</w:t>
      </w:r>
      <w:r w:rsidR="000B51DD">
        <w:t xml:space="preserve"> original</w:t>
      </w:r>
      <w:r>
        <w:t xml:space="preserve"> search-space-set</w:t>
      </w:r>
      <w:r w:rsidR="008E33D7">
        <w:t xml:space="preserve"> (with offset 0)</w:t>
      </w:r>
      <w:r w:rsidR="000B51DD">
        <w:t xml:space="preserve"> for self-scheduling</w:t>
      </w:r>
      <w:r>
        <w:t xml:space="preserve"> </w:t>
      </w:r>
      <w:r w:rsidR="000B51DD">
        <w:t xml:space="preserve">as well as on </w:t>
      </w:r>
      <w:r>
        <w:t xml:space="preserve">the </w:t>
      </w:r>
      <w:r w:rsidR="000B51DD">
        <w:t xml:space="preserve">version </w:t>
      </w:r>
      <w:r>
        <w:t>shifted by</w:t>
      </w:r>
      <w:r w:rsidR="008E33D7">
        <w:t xml:space="preserve"> non-zero</w:t>
      </w:r>
      <w:r>
        <w:t xml:space="preserve"> </w:t>
      </w:r>
      <w:r w:rsidR="000B51DD">
        <w:t>offset for cross-scheduling</w:t>
      </w:r>
      <w:r>
        <w:t>.</w:t>
      </w:r>
      <w:r w:rsidR="000B51DD">
        <w:t xml:space="preserve"> </w:t>
      </w:r>
    </w:p>
    <w:p w14:paraId="474AA003" w14:textId="41254CDA" w:rsidR="00947322" w:rsidRDefault="000B51DD" w:rsidP="002252D3">
      <w:pPr>
        <w:jc w:val="both"/>
      </w:pPr>
      <w:r>
        <w:t xml:space="preserve">If </w:t>
      </w:r>
      <w:r w:rsidR="00947322" w:rsidRPr="008671BB">
        <w:rPr>
          <w:i/>
          <w:iCs/>
        </w:rPr>
        <w:t>searchSpaceSharingCA-DL</w:t>
      </w:r>
      <w:r w:rsidR="00947322" w:rsidRPr="73BA0079">
        <w:t xml:space="preserve"> </w:t>
      </w:r>
      <w:r>
        <w:t xml:space="preserve">is not </w:t>
      </w:r>
      <w:r w:rsidR="00947322">
        <w:t>indicated</w:t>
      </w:r>
      <w:r>
        <w:t xml:space="preserve"> by UE, then the agreement</w:t>
      </w:r>
      <w:r w:rsidR="00D53128">
        <w:t>s and WA</w:t>
      </w:r>
      <w:r>
        <w:t xml:space="preserve"> from self-scheduling can be followed. If</w:t>
      </w:r>
      <w:r w:rsidRPr="008671BB">
        <w:rPr>
          <w:i/>
          <w:iCs/>
        </w:rPr>
        <w:t xml:space="preserve"> </w:t>
      </w:r>
      <w:r w:rsidR="00947322" w:rsidRPr="008671BB">
        <w:rPr>
          <w:i/>
          <w:iCs/>
        </w:rPr>
        <w:t>searchSpaceSharingCA-DL</w:t>
      </w:r>
      <w:r w:rsidR="00947322" w:rsidRPr="73BA0079">
        <w:t xml:space="preserve"> </w:t>
      </w:r>
      <w:r w:rsidR="001338BA">
        <w:t xml:space="preserve">is </w:t>
      </w:r>
      <w:r w:rsidR="00947322">
        <w:t>indicated</w:t>
      </w:r>
      <w:r w:rsidR="00B6674F">
        <w:t>,</w:t>
      </w:r>
      <w:r>
        <w:t xml:space="preserve"> should PDCCH candidates be counted twice for each serving cell</w:t>
      </w:r>
      <w:r w:rsidR="00B6674F">
        <w:t xml:space="preserve"> or only once?</w:t>
      </w:r>
      <w:r w:rsidR="00947322">
        <w:t xml:space="preserve"> From DCI decoding point of view, UE performs only one BD per each candidate. And, UE needs to perform two </w:t>
      </w:r>
      <w:r w:rsidR="001338BA">
        <w:t>DCI “prunings” for detected PDCCH, one for self-scheduled cell and one for cross-scheduled cell</w:t>
      </w:r>
      <w:r w:rsidR="00947322">
        <w:t xml:space="preserve">. Therefore, if UE indicated </w:t>
      </w:r>
      <w:r w:rsidR="00947322" w:rsidRPr="008671BB">
        <w:rPr>
          <w:i/>
          <w:iCs/>
        </w:rPr>
        <w:t>searchSpaceSharingCA-DL</w:t>
      </w:r>
      <w:r w:rsidR="00D53128" w:rsidRPr="008671BB">
        <w:rPr>
          <w:i/>
          <w:iCs/>
        </w:rPr>
        <w:t>,</w:t>
      </w:r>
      <w:r w:rsidR="00947322" w:rsidRPr="008671BB">
        <w:rPr>
          <w:i/>
          <w:iCs/>
        </w:rPr>
        <w:t xml:space="preserve"> </w:t>
      </w:r>
      <w:r w:rsidR="00947322">
        <w:t xml:space="preserve">it should be capable of </w:t>
      </w:r>
      <w:r w:rsidR="001338BA">
        <w:t>performing joint BD algorithm for both self-scheduled and cross-scheduled serving cell</w:t>
      </w:r>
      <w:r w:rsidR="00947322">
        <w:t>, and thus we think that PDCCH candidates should be counted</w:t>
      </w:r>
      <w:r w:rsidR="008E33D7">
        <w:t xml:space="preserve"> only once in each serving cell. As consequence,</w:t>
      </w:r>
      <w:r w:rsidR="00947322">
        <w:t xml:space="preserve"> the self-scheduling agreement</w:t>
      </w:r>
      <w:r w:rsidR="008E33D7">
        <w:t>s in TAB1</w:t>
      </w:r>
      <w:r w:rsidR="00947322">
        <w:t xml:space="preserve"> </w:t>
      </w:r>
      <w:r w:rsidR="00B6674F">
        <w:t>sh</w:t>
      </w:r>
      <w:r w:rsidR="00947322">
        <w:t>ould be applicable also for cross-carrier scheduling</w:t>
      </w:r>
      <w:r w:rsidR="00B6674F">
        <w:t xml:space="preserve"> irrespective of </w:t>
      </w:r>
      <w:r w:rsidR="00B6674F" w:rsidRPr="008671BB">
        <w:rPr>
          <w:i/>
          <w:iCs/>
        </w:rPr>
        <w:t>searchSpaceSharingCA-DL</w:t>
      </w:r>
      <w:r w:rsidR="00947322">
        <w:t xml:space="preserve">. </w:t>
      </w:r>
    </w:p>
    <w:p w14:paraId="3E6A3A0D" w14:textId="2AC9FA09" w:rsidR="00D53128" w:rsidRPr="008671BB" w:rsidRDefault="00947322">
      <w:pPr>
        <w:jc w:val="both"/>
        <w:rPr>
          <w:i/>
          <w:iCs/>
        </w:rPr>
      </w:pPr>
      <w:r w:rsidRPr="008671BB">
        <w:rPr>
          <w:b/>
          <w:bCs/>
          <w:i/>
          <w:iCs/>
        </w:rPr>
        <w:lastRenderedPageBreak/>
        <w:t>Proposal</w:t>
      </w:r>
      <w:r w:rsidR="006F5B37" w:rsidRPr="008671BB">
        <w:rPr>
          <w:b/>
          <w:bCs/>
          <w:i/>
          <w:iCs/>
        </w:rPr>
        <w:t>-</w:t>
      </w:r>
      <w:r w:rsidR="00FA2261">
        <w:rPr>
          <w:b/>
          <w:bCs/>
          <w:i/>
          <w:iCs/>
        </w:rPr>
        <w:t>4</w:t>
      </w:r>
      <w:r w:rsidRPr="008671BB">
        <w:rPr>
          <w:b/>
          <w:bCs/>
          <w:i/>
          <w:iCs/>
        </w:rPr>
        <w:t>:</w:t>
      </w:r>
      <w:r w:rsidRPr="008671BB">
        <w:rPr>
          <w:i/>
          <w:iCs/>
        </w:rPr>
        <w:t xml:space="preserve"> </w:t>
      </w:r>
      <w:r w:rsidR="006F5B37" w:rsidRPr="008671BB">
        <w:rPr>
          <w:i/>
          <w:iCs/>
        </w:rPr>
        <w:t>In case of cross-carrier scheduling</w:t>
      </w:r>
      <w:r w:rsidR="007031BB" w:rsidRPr="008671BB">
        <w:rPr>
          <w:i/>
          <w:iCs/>
        </w:rPr>
        <w:t>,</w:t>
      </w:r>
      <w:r w:rsidR="006F5B37" w:rsidRPr="008671BB">
        <w:rPr>
          <w:i/>
          <w:iCs/>
        </w:rPr>
        <w:t xml:space="preserve"> only the PDCCH candidate of the search-space</w:t>
      </w:r>
      <w:r w:rsidR="00B6674F">
        <w:rPr>
          <w:i/>
          <w:iCs/>
        </w:rPr>
        <w:t xml:space="preserve"> with offset</w:t>
      </w:r>
      <w:r w:rsidR="006F5B37" w:rsidRPr="008671BB">
        <w:rPr>
          <w:i/>
          <w:iCs/>
        </w:rPr>
        <w:t xml:space="preserve"> corresponding to a serving cell are counted in the serving cell</w:t>
      </w:r>
      <w:r w:rsidR="00B6674F">
        <w:rPr>
          <w:i/>
          <w:iCs/>
        </w:rPr>
        <w:t xml:space="preserve"> BD and CCE</w:t>
      </w:r>
      <w:r w:rsidR="006F5B37" w:rsidRPr="008671BB">
        <w:rPr>
          <w:i/>
          <w:iCs/>
        </w:rPr>
        <w:t xml:space="preserve"> limits.</w:t>
      </w:r>
      <w:r w:rsidR="007031BB" w:rsidRPr="008671BB">
        <w:rPr>
          <w:i/>
          <w:iCs/>
        </w:rPr>
        <w:t xml:space="preserve"> </w:t>
      </w:r>
    </w:p>
    <w:p w14:paraId="58174945" w14:textId="18C2ED91" w:rsidR="007031BB" w:rsidRPr="008671BB" w:rsidRDefault="007031BB">
      <w:pPr>
        <w:jc w:val="both"/>
        <w:rPr>
          <w:i/>
          <w:iCs/>
        </w:rPr>
      </w:pPr>
      <w:r w:rsidRPr="008671BB">
        <w:rPr>
          <w:b/>
          <w:bCs/>
          <w:i/>
          <w:iCs/>
        </w:rPr>
        <w:t>Observation-</w:t>
      </w:r>
      <w:r w:rsidR="00FA2261">
        <w:rPr>
          <w:b/>
          <w:bCs/>
          <w:i/>
          <w:iCs/>
        </w:rPr>
        <w:t>2</w:t>
      </w:r>
      <w:r w:rsidRPr="008671BB">
        <w:rPr>
          <w:b/>
          <w:bCs/>
          <w:i/>
          <w:iCs/>
        </w:rPr>
        <w:t xml:space="preserve">: </w:t>
      </w:r>
      <w:r w:rsidRPr="008671BB">
        <w:rPr>
          <w:i/>
          <w:iCs/>
        </w:rPr>
        <w:t xml:space="preserve">As a consequence of above </w:t>
      </w:r>
      <w:r w:rsidR="001338BA">
        <w:rPr>
          <w:i/>
          <w:iCs/>
        </w:rPr>
        <w:t>proposal</w:t>
      </w:r>
      <w:r w:rsidRPr="008671BB">
        <w:rPr>
          <w:i/>
          <w:iCs/>
        </w:rPr>
        <w:t>, the</w:t>
      </w:r>
      <w:r w:rsidR="00AA0649">
        <w:rPr>
          <w:i/>
          <w:iCs/>
        </w:rPr>
        <w:t xml:space="preserve"> set of</w:t>
      </w:r>
      <w:r w:rsidRPr="008671BB">
        <w:rPr>
          <w:i/>
          <w:iCs/>
        </w:rPr>
        <w:t xml:space="preserve"> agreements</w:t>
      </w:r>
      <w:r w:rsidR="00AA0649">
        <w:rPr>
          <w:i/>
          <w:iCs/>
        </w:rPr>
        <w:t xml:space="preserve"> related to CA BD and CCE in Table 1 restricted to</w:t>
      </w:r>
      <w:r w:rsidRPr="008671BB">
        <w:rPr>
          <w:i/>
          <w:iCs/>
        </w:rPr>
        <w:t xml:space="preserve"> self-scheduling can be generalized to cross-carrier scheduling. </w:t>
      </w:r>
    </w:p>
    <w:p w14:paraId="14C65F9A" w14:textId="77777777" w:rsidR="00AA0649" w:rsidRDefault="00AA0649" w:rsidP="007031BB"/>
    <w:p w14:paraId="6BB500F7" w14:textId="77777777" w:rsidR="00AA0649" w:rsidRDefault="00AA0649" w:rsidP="007031BB"/>
    <w:p w14:paraId="1755C2C1" w14:textId="1BC2CBCC" w:rsidR="00AA0649" w:rsidRPr="00AA0649" w:rsidRDefault="008E33D7" w:rsidP="007031BB">
      <w:pPr>
        <w:rPr>
          <w:b/>
          <w:u w:val="single"/>
        </w:rPr>
      </w:pPr>
      <w:r>
        <w:rPr>
          <w:b/>
          <w:u w:val="single"/>
        </w:rPr>
        <w:t>BD/CCE c</w:t>
      </w:r>
      <w:r w:rsidR="00AA0649" w:rsidRPr="00AA0649">
        <w:rPr>
          <w:b/>
          <w:u w:val="single"/>
        </w:rPr>
        <w:t>ap</w:t>
      </w:r>
      <w:r w:rsidR="00AA0649">
        <w:rPr>
          <w:b/>
          <w:u w:val="single"/>
        </w:rPr>
        <w:t>a</w:t>
      </w:r>
      <w:r w:rsidR="00AA0649" w:rsidRPr="00AA0649">
        <w:rPr>
          <w:b/>
          <w:u w:val="single"/>
        </w:rPr>
        <w:t>bility</w:t>
      </w:r>
      <w:r>
        <w:rPr>
          <w:b/>
          <w:u w:val="single"/>
        </w:rPr>
        <w:t xml:space="preserve"> in CA</w:t>
      </w:r>
      <w:r w:rsidR="00AA0649" w:rsidRPr="00AA0649">
        <w:rPr>
          <w:b/>
          <w:u w:val="single"/>
        </w:rPr>
        <w:t xml:space="preserve"> and BWP adaptation</w:t>
      </w:r>
      <w:r w:rsidR="00AA0649">
        <w:rPr>
          <w:b/>
          <w:u w:val="single"/>
        </w:rPr>
        <w:t>:</w:t>
      </w:r>
    </w:p>
    <w:p w14:paraId="43C7A87B" w14:textId="19F2EC09" w:rsidR="00AA0649" w:rsidRPr="00AA0649" w:rsidRDefault="00AA0649" w:rsidP="007031BB">
      <w:r w:rsidRPr="00AA0649">
        <w:t>I</w:t>
      </w:r>
      <w:r>
        <w:t xml:space="preserve">n RAN1#93, WA on difficult CA case where capability </w:t>
      </w:r>
      <w:r w:rsidRPr="00AA0649">
        <w:rPr>
          <w:i/>
        </w:rPr>
        <w:t>y</w:t>
      </w:r>
      <w:r>
        <w:t xml:space="preserve"> is smaller than number of configured serving cells </w:t>
      </w:r>
      <w:r w:rsidRPr="00AA0649">
        <w:rPr>
          <w:i/>
        </w:rPr>
        <w:t>T</w:t>
      </w:r>
      <w:r>
        <w:t xml:space="preserve"> (T&gt;y). And it was not clear how this WA interacts with BWP adaptation.</w:t>
      </w:r>
    </w:p>
    <w:p w14:paraId="7590477D" w14:textId="0920A0DB" w:rsidR="007031BB" w:rsidRPr="00985DB4" w:rsidRDefault="007031BB" w:rsidP="007031BB">
      <w:r w:rsidRPr="00985DB4">
        <w:rPr>
          <w:highlight w:val="green"/>
        </w:rPr>
        <w:t>Agreements</w:t>
      </w:r>
      <w:r w:rsidRPr="00985DB4">
        <w:t>:</w:t>
      </w:r>
    </w:p>
    <w:p w14:paraId="3B136F89" w14:textId="77777777" w:rsidR="007031BB" w:rsidRPr="00985DB4" w:rsidRDefault="007031BB" w:rsidP="007031BB">
      <w:pPr>
        <w:numPr>
          <w:ilvl w:val="0"/>
          <w:numId w:val="16"/>
        </w:numPr>
        <w:overflowPunct/>
        <w:autoSpaceDE/>
        <w:autoSpaceDN/>
        <w:adjustRightInd/>
        <w:spacing w:after="0"/>
        <w:textAlignment w:val="auto"/>
        <w:rPr>
          <w:lang w:val="en-US"/>
        </w:rPr>
      </w:pPr>
      <w:r w:rsidRPr="00985DB4">
        <w:rPr>
          <w:lang w:val="en-US"/>
        </w:rPr>
        <w:t xml:space="preserve">For UE BD capability reporting y = integer(4, …, 16), at least for </w:t>
      </w:r>
      <w:r w:rsidRPr="007031BB">
        <w:rPr>
          <w:lang w:val="en-US"/>
        </w:rPr>
        <w:t>self-scheduling</w:t>
      </w:r>
      <w:r w:rsidRPr="00985DB4">
        <w:rPr>
          <w:lang w:val="en-US"/>
        </w:rPr>
        <w:t>,</w:t>
      </w:r>
    </w:p>
    <w:p w14:paraId="73AAAE9D" w14:textId="77777777" w:rsidR="007031BB" w:rsidRPr="00985DB4" w:rsidRDefault="007031BB" w:rsidP="007031BB">
      <w:pPr>
        <w:numPr>
          <w:ilvl w:val="0"/>
          <w:numId w:val="15"/>
        </w:numPr>
        <w:overflowPunct/>
        <w:autoSpaceDE/>
        <w:autoSpaceDN/>
        <w:adjustRightInd/>
        <w:spacing w:after="0"/>
        <w:textAlignment w:val="auto"/>
        <w:rPr>
          <w:lang w:val="en-US"/>
        </w:rPr>
      </w:pPr>
      <w:r w:rsidRPr="00985DB4">
        <w:rPr>
          <w:lang w:val="en-US"/>
        </w:rPr>
        <w:t>For UE not supporting CA with different numerologies, the reported value equally applies to all numerologies</w:t>
      </w:r>
    </w:p>
    <w:p w14:paraId="75F9A0B0" w14:textId="77777777" w:rsidR="007031BB" w:rsidRPr="00985DB4" w:rsidRDefault="007031BB" w:rsidP="007031BB">
      <w:pPr>
        <w:numPr>
          <w:ilvl w:val="0"/>
          <w:numId w:val="15"/>
        </w:numPr>
        <w:overflowPunct/>
        <w:autoSpaceDE/>
        <w:autoSpaceDN/>
        <w:adjustRightInd/>
        <w:spacing w:after="0"/>
        <w:textAlignment w:val="auto"/>
        <w:rPr>
          <w:lang w:val="en-US"/>
        </w:rPr>
      </w:pPr>
      <w:r w:rsidRPr="00985DB4">
        <w:t>(</w:t>
      </w:r>
      <w:r w:rsidRPr="00985DB4">
        <w:rPr>
          <w:highlight w:val="darkYellow"/>
        </w:rPr>
        <w:t>Working assumption</w:t>
      </w:r>
      <w:r w:rsidRPr="00985DB4">
        <w:t>)</w:t>
      </w:r>
      <w:r w:rsidRPr="00985DB4">
        <w:rPr>
          <w:lang w:val="en-US"/>
        </w:rPr>
        <w:t xml:space="preserve"> For UE supporting CA with different numerologies, </w:t>
      </w:r>
    </w:p>
    <w:p w14:paraId="04967042" w14:textId="77777777" w:rsidR="007031BB" w:rsidRPr="00985DB4" w:rsidRDefault="007031BB" w:rsidP="007031BB">
      <w:pPr>
        <w:numPr>
          <w:ilvl w:val="1"/>
          <w:numId w:val="15"/>
        </w:numPr>
        <w:overflowPunct/>
        <w:autoSpaceDE/>
        <w:autoSpaceDN/>
        <w:adjustRightInd/>
        <w:spacing w:after="0"/>
        <w:textAlignment w:val="auto"/>
        <w:rPr>
          <w:lang w:val="en-US"/>
        </w:rPr>
      </w:pPr>
      <w:r w:rsidRPr="00985DB4">
        <w:rPr>
          <w:lang w:val="en-US"/>
        </w:rPr>
        <w:t>When the UE is configured with CA with the same numerology, the reported value applies</w:t>
      </w:r>
    </w:p>
    <w:p w14:paraId="1A5D523F" w14:textId="77777777" w:rsidR="007031BB" w:rsidRPr="00985DB4" w:rsidRDefault="007031BB" w:rsidP="007031BB">
      <w:pPr>
        <w:numPr>
          <w:ilvl w:val="1"/>
          <w:numId w:val="15"/>
        </w:numPr>
        <w:overflowPunct/>
        <w:autoSpaceDE/>
        <w:autoSpaceDN/>
        <w:adjustRightInd/>
        <w:spacing w:after="0"/>
        <w:textAlignment w:val="auto"/>
        <w:rPr>
          <w:lang w:val="en-US"/>
        </w:rPr>
      </w:pPr>
      <w:r w:rsidRPr="00985DB4">
        <w:rPr>
          <w:lang w:val="en-US"/>
        </w:rPr>
        <w:t>When the UE is configured with CA with different numerologies, the reported value applies to each set of DL-CCs with the same numerology, i.e.:</w:t>
      </w:r>
    </w:p>
    <w:p w14:paraId="0928EC31" w14:textId="77777777" w:rsidR="007031BB" w:rsidRPr="00985DB4" w:rsidRDefault="007031BB" w:rsidP="007031BB">
      <w:pPr>
        <w:numPr>
          <w:ilvl w:val="2"/>
          <w:numId w:val="15"/>
        </w:numPr>
        <w:tabs>
          <w:tab w:val="num" w:pos="2160"/>
        </w:tabs>
        <w:overflowPunct/>
        <w:autoSpaceDE/>
        <w:autoSpaceDN/>
        <w:adjustRightInd/>
        <w:spacing w:after="0"/>
        <w:textAlignment w:val="auto"/>
        <w:rPr>
          <w:lang w:val="en-US"/>
        </w:rPr>
      </w:pPr>
      <w:r w:rsidRPr="00985DB4">
        <w:rPr>
          <w:lang w:val="en-US"/>
        </w:rPr>
        <w:t xml:space="preserve">If a UE is configured with DL-CCs of X0, X1, X2, X3, where Xi denotes the number of DL-CCs with the numerology i, the </w:t>
      </w:r>
      <w:r w:rsidRPr="00532CA5">
        <w:rPr>
          <w:color w:val="FF0000"/>
          <w:u w:val="single"/>
          <w:lang w:val="en-US"/>
        </w:rPr>
        <w:t>limit</w:t>
      </w:r>
      <w:r>
        <w:rPr>
          <w:lang w:val="en-US"/>
        </w:rPr>
        <w:t xml:space="preserve"> </w:t>
      </w:r>
      <w:r w:rsidRPr="00532CA5">
        <w:rPr>
          <w:strike/>
          <w:color w:val="FF0000"/>
          <w:lang w:val="en-US"/>
        </w:rPr>
        <w:t>total number</w:t>
      </w:r>
      <w:r w:rsidRPr="00985DB4">
        <w:rPr>
          <w:lang w:val="en-US"/>
        </w:rPr>
        <w:t xml:space="preserve"> of (BDs or CCEs) for the DL-CCs with the numerology i is given by Floor{Xi / (X0 + X1 + X2 + X3) * (Mi or Ni) * y} per slot of the numerology i</w:t>
      </w:r>
    </w:p>
    <w:p w14:paraId="01F9DB36" w14:textId="77777777" w:rsidR="007031BB" w:rsidRPr="00985DB4" w:rsidRDefault="007031BB" w:rsidP="007031BB">
      <w:pPr>
        <w:numPr>
          <w:ilvl w:val="3"/>
          <w:numId w:val="15"/>
        </w:numPr>
        <w:overflowPunct/>
        <w:autoSpaceDE/>
        <w:autoSpaceDN/>
        <w:adjustRightInd/>
        <w:spacing w:after="0"/>
        <w:textAlignment w:val="auto"/>
      </w:pPr>
      <w:r w:rsidRPr="00985DB4">
        <w:rPr>
          <w:lang w:val="en-US"/>
        </w:rPr>
        <w:t>Where Mi and Ni represent the number of BDs and CCEs per slot specified for non-CA case, respectively</w:t>
      </w:r>
    </w:p>
    <w:p w14:paraId="695B5E10" w14:textId="77777777" w:rsidR="007031BB" w:rsidRPr="00985DB4" w:rsidRDefault="007031BB" w:rsidP="007031BB">
      <w:pPr>
        <w:numPr>
          <w:ilvl w:val="3"/>
          <w:numId w:val="15"/>
        </w:numPr>
        <w:overflowPunct/>
        <w:autoSpaceDE/>
        <w:autoSpaceDN/>
        <w:adjustRightInd/>
        <w:spacing w:after="0"/>
        <w:textAlignment w:val="auto"/>
      </w:pPr>
      <w:r w:rsidRPr="00985DB4">
        <w:t>Note: some of the values of Xi may be zero depending on the CA configuration</w:t>
      </w:r>
    </w:p>
    <w:p w14:paraId="71347589" w14:textId="77777777" w:rsidR="007031BB" w:rsidRPr="00985DB4" w:rsidRDefault="007031BB" w:rsidP="007031BB">
      <w:pPr>
        <w:numPr>
          <w:ilvl w:val="1"/>
          <w:numId w:val="15"/>
        </w:numPr>
        <w:overflowPunct/>
        <w:autoSpaceDE/>
        <w:autoSpaceDN/>
        <w:adjustRightInd/>
        <w:spacing w:after="0"/>
        <w:textAlignment w:val="auto"/>
      </w:pPr>
      <w:r w:rsidRPr="00985DB4">
        <w:t>For each CC, the non-CA limit still applies</w:t>
      </w:r>
    </w:p>
    <w:p w14:paraId="048E04EE" w14:textId="77777777" w:rsidR="007031BB" w:rsidRPr="00985DB4" w:rsidRDefault="007031BB" w:rsidP="007031BB">
      <w:pPr>
        <w:numPr>
          <w:ilvl w:val="0"/>
          <w:numId w:val="15"/>
        </w:numPr>
        <w:overflowPunct/>
        <w:autoSpaceDE/>
        <w:autoSpaceDN/>
        <w:adjustRightInd/>
        <w:spacing w:after="0"/>
        <w:textAlignment w:val="auto"/>
      </w:pPr>
      <w:r w:rsidRPr="007031BB">
        <w:rPr>
          <w:highlight w:val="yellow"/>
        </w:rPr>
        <w:t>FFS the impact of BWP, if any</w:t>
      </w:r>
    </w:p>
    <w:p w14:paraId="280BD794" w14:textId="695A0ED2" w:rsidR="007031BB" w:rsidRDefault="007031BB" w:rsidP="002252D3">
      <w:pPr>
        <w:jc w:val="both"/>
        <w:rPr>
          <w:i/>
        </w:rPr>
      </w:pPr>
    </w:p>
    <w:p w14:paraId="62066A77" w14:textId="1E0E8B32" w:rsidR="00685C9D" w:rsidRPr="00685C9D" w:rsidRDefault="007031BB" w:rsidP="008E33D7">
      <w:pPr>
        <w:jc w:val="both"/>
      </w:pPr>
      <w:r>
        <w:t>For BWP features 6-1, 6-2 and 6-3, configured</w:t>
      </w:r>
      <w:r w:rsidR="006F60D9">
        <w:t xml:space="preserve"> </w:t>
      </w:r>
      <w:r w:rsidR="00B6674F">
        <w:t xml:space="preserve">dedicated </w:t>
      </w:r>
      <w:r w:rsidR="006F60D9">
        <w:t>BWP</w:t>
      </w:r>
      <w:r w:rsidR="00B6674F">
        <w:t>(s)</w:t>
      </w:r>
      <w:r w:rsidR="006F60D9">
        <w:t xml:space="preserve"> of a serving cell are of the same numerology</w:t>
      </w:r>
      <w:r w:rsidR="00B6674F">
        <w:t xml:space="preserve"> while initial BWP can be of different numerology</w:t>
      </w:r>
      <w:r w:rsidR="006F60D9">
        <w:t>.</w:t>
      </w:r>
      <w:r>
        <w:t xml:space="preserve"> In 6-4,</w:t>
      </w:r>
      <w:r w:rsidR="006F60D9">
        <w:t xml:space="preserve"> </w:t>
      </w:r>
      <w:r w:rsidR="00B6674F">
        <w:t>also dedicated BWP can be configured with different numerology</w:t>
      </w:r>
      <w:r>
        <w:t xml:space="preserve">. </w:t>
      </w:r>
      <w:r w:rsidR="00FA2261">
        <w:t>In mandatory feature 6-1, BWP can be changed only by</w:t>
      </w:r>
      <w:r w:rsidR="008E33D7">
        <w:t xml:space="preserve"> RRC</w:t>
      </w:r>
      <w:r w:rsidR="00FA2261">
        <w:t xml:space="preserve"> reconfiguration</w:t>
      </w:r>
      <w:r w:rsidR="008E33D7">
        <w:t>, therefore there is no impact from dynamic switching</w:t>
      </w:r>
      <w:r w:rsidR="00FA2261">
        <w:t xml:space="preserve">. However, in the other features, active numerology of a serving cell can change dynamically. </w:t>
      </w:r>
      <w:r>
        <w:t>We see two alternatives</w:t>
      </w:r>
      <w:r w:rsidR="00FA2261">
        <w:t xml:space="preserve"> how to determine BD limits</w:t>
      </w:r>
      <w:r>
        <w:t>:</w:t>
      </w:r>
    </w:p>
    <w:p w14:paraId="61E6EFD0" w14:textId="5A83A0C7" w:rsidR="00685C9D" w:rsidRPr="006F5B37" w:rsidRDefault="006F60D9" w:rsidP="008E33D7">
      <w:pPr>
        <w:pStyle w:val="ListParagraph"/>
        <w:numPr>
          <w:ilvl w:val="0"/>
          <w:numId w:val="8"/>
        </w:numPr>
        <w:jc w:val="both"/>
        <w:rPr>
          <w:sz w:val="20"/>
          <w:szCs w:val="20"/>
          <w:lang w:val="en-US"/>
        </w:rPr>
      </w:pPr>
      <w:r w:rsidRPr="008671BB">
        <w:rPr>
          <w:b/>
          <w:bCs/>
          <w:sz w:val="20"/>
          <w:szCs w:val="20"/>
          <w:lang w:val="en-US"/>
        </w:rPr>
        <w:t>A</w:t>
      </w:r>
      <w:r w:rsidR="00685C9D" w:rsidRPr="008671BB">
        <w:rPr>
          <w:b/>
          <w:bCs/>
          <w:sz w:val="20"/>
          <w:szCs w:val="20"/>
          <w:lang w:val="en-US"/>
        </w:rPr>
        <w:t>lt1</w:t>
      </w:r>
      <w:r w:rsidR="00685C9D" w:rsidRPr="006F5B37">
        <w:rPr>
          <w:sz w:val="20"/>
          <w:szCs w:val="20"/>
          <w:lang w:val="en-US"/>
        </w:rPr>
        <w:t xml:space="preserve">: </w:t>
      </w:r>
      <w:r w:rsidRPr="006F5B37">
        <w:rPr>
          <w:sz w:val="20"/>
          <w:szCs w:val="20"/>
          <w:lang w:val="en-US"/>
        </w:rPr>
        <w:t>D</w:t>
      </w:r>
      <w:r w:rsidR="00685C9D" w:rsidRPr="006F5B37">
        <w:rPr>
          <w:sz w:val="20"/>
          <w:szCs w:val="20"/>
          <w:lang w:val="en-US"/>
        </w:rPr>
        <w:t xml:space="preserve">etermination based </w:t>
      </w:r>
      <w:r w:rsidR="00FA2261">
        <w:rPr>
          <w:sz w:val="20"/>
          <w:szCs w:val="20"/>
          <w:lang w:val="en-US"/>
        </w:rPr>
        <w:t>on active numerology,</w:t>
      </w:r>
      <w:r w:rsidR="00685C9D" w:rsidRPr="006F5B37">
        <w:rPr>
          <w:sz w:val="20"/>
          <w:szCs w:val="20"/>
          <w:lang w:val="en-US"/>
        </w:rPr>
        <w:t xml:space="preserve"> the BD/CCE limit per SCS group will dynamically change</w:t>
      </w:r>
      <w:r w:rsidR="00FA2261">
        <w:rPr>
          <w:sz w:val="20"/>
          <w:szCs w:val="20"/>
          <w:lang w:val="en-US"/>
        </w:rPr>
        <w:t xml:space="preserve"> on slot bases</w:t>
      </w:r>
      <w:r w:rsidRPr="006F5B37">
        <w:rPr>
          <w:sz w:val="20"/>
          <w:szCs w:val="20"/>
          <w:lang w:val="en-US"/>
        </w:rPr>
        <w:t>.</w:t>
      </w:r>
    </w:p>
    <w:p w14:paraId="738AE2F7" w14:textId="2C9E61B7" w:rsidR="00685C9D" w:rsidRPr="006F5B37" w:rsidRDefault="00685C9D" w:rsidP="008E33D7">
      <w:pPr>
        <w:pStyle w:val="ListParagraph"/>
        <w:numPr>
          <w:ilvl w:val="0"/>
          <w:numId w:val="8"/>
        </w:numPr>
        <w:jc w:val="both"/>
        <w:rPr>
          <w:sz w:val="20"/>
          <w:szCs w:val="20"/>
          <w:lang w:val="en-US"/>
        </w:rPr>
      </w:pPr>
      <w:r w:rsidRPr="008671BB">
        <w:rPr>
          <w:b/>
          <w:bCs/>
          <w:sz w:val="20"/>
          <w:szCs w:val="20"/>
          <w:lang w:val="en-US"/>
        </w:rPr>
        <w:t>Alt2:</w:t>
      </w:r>
      <w:r w:rsidRPr="006F5B37">
        <w:rPr>
          <w:sz w:val="20"/>
          <w:szCs w:val="20"/>
          <w:lang w:val="en-US"/>
        </w:rPr>
        <w:t xml:space="preserve"> </w:t>
      </w:r>
      <w:r w:rsidR="006F60D9" w:rsidRPr="006F5B37">
        <w:rPr>
          <w:sz w:val="20"/>
          <w:szCs w:val="20"/>
          <w:lang w:val="en-US"/>
        </w:rPr>
        <w:t>The numerology of serving cell for BD/CCE limit is d</w:t>
      </w:r>
      <w:r w:rsidRPr="006F5B37">
        <w:rPr>
          <w:sz w:val="20"/>
          <w:szCs w:val="20"/>
          <w:lang w:val="en-US"/>
        </w:rPr>
        <w:t>etermined by the</w:t>
      </w:r>
      <w:r w:rsidR="006F60D9" w:rsidRPr="006F5B37">
        <w:rPr>
          <w:sz w:val="20"/>
          <w:szCs w:val="20"/>
          <w:lang w:val="en-US"/>
        </w:rPr>
        <w:t xml:space="preserve"> BWP with the</w:t>
      </w:r>
      <w:r w:rsidRPr="006F5B37">
        <w:rPr>
          <w:sz w:val="20"/>
          <w:szCs w:val="20"/>
          <w:lang w:val="en-US"/>
        </w:rPr>
        <w:t xml:space="preserve"> lowest configured SCS</w:t>
      </w:r>
      <w:r w:rsidR="006F60D9" w:rsidRPr="006F5B37">
        <w:rPr>
          <w:sz w:val="20"/>
          <w:szCs w:val="20"/>
          <w:lang w:val="en-US"/>
        </w:rPr>
        <w:t xml:space="preserve"> in the serving cell. The BD/CCE limits of other BWP of the serving cell are linearly scaled down and rounded.  </w:t>
      </w:r>
    </w:p>
    <w:p w14:paraId="5BEF5EEE" w14:textId="44DE35D3" w:rsidR="006F60D9" w:rsidRDefault="006F60D9" w:rsidP="008E33D7">
      <w:pPr>
        <w:jc w:val="both"/>
      </w:pPr>
    </w:p>
    <w:p w14:paraId="462F1E0E" w14:textId="11C0020B" w:rsidR="0050658D" w:rsidRDefault="0050658D" w:rsidP="008E33D7">
      <w:pPr>
        <w:jc w:val="both"/>
      </w:pPr>
      <w:r>
        <w:t>On one hand, following the</w:t>
      </w:r>
      <w:r w:rsidR="006F60D9">
        <w:t xml:space="preserve"> spirit of the above Working assumption</w:t>
      </w:r>
      <w:r w:rsidR="008E33D7">
        <w:t>,</w:t>
      </w:r>
      <w:r>
        <w:t xml:space="preserve"> Alt1 would be </w:t>
      </w:r>
      <w:r w:rsidR="008E33D7">
        <w:t>more optimal</w:t>
      </w:r>
      <w:r>
        <w:t xml:space="preserve"> choice</w:t>
      </w:r>
      <w:r w:rsidR="006F60D9">
        <w:t>.</w:t>
      </w:r>
      <w:r>
        <w:t xml:space="preserve"> On the other hand, dynamic change of BD limits would be difficult to implement</w:t>
      </w:r>
      <w:r w:rsidR="00CA01F1">
        <w:t>, unless gNB configures the same number of BDs to all BWPs of cells of the given SCS</w:t>
      </w:r>
      <w:r>
        <w:t xml:space="preserve">. </w:t>
      </w:r>
      <w:r w:rsidR="00CA01F1">
        <w:t>Furthermore</w:t>
      </w:r>
      <w:r>
        <w:t>,</w:t>
      </w:r>
      <w:r w:rsidR="006F60D9">
        <w:t xml:space="preserve"> </w:t>
      </w:r>
      <w:r w:rsidR="00FA2261">
        <w:t>mixed numerology</w:t>
      </w:r>
      <w:r w:rsidR="008E33D7">
        <w:t xml:space="preserve"> deployment</w:t>
      </w:r>
      <w:r w:rsidR="00FA2261">
        <w:t xml:space="preserve"> can </w:t>
      </w:r>
      <w:r w:rsidR="006F60D9">
        <w:t>be</w:t>
      </w:r>
      <w:r w:rsidR="00FA2261">
        <w:t xml:space="preserve"> achieved</w:t>
      </w:r>
      <w:r w:rsidR="006F60D9">
        <w:t xml:space="preserve"> by</w:t>
      </w:r>
      <w:r>
        <w:t xml:space="preserve"> configuring two serving cells, each serving cell w</w:t>
      </w:r>
      <w:r w:rsidR="008E33D7">
        <w:t>ith BWPs of the same numerology.</w:t>
      </w:r>
      <w:r>
        <w:t xml:space="preserve"> </w:t>
      </w:r>
      <w:r w:rsidR="008E33D7">
        <w:t>T</w:t>
      </w:r>
      <w:r>
        <w:t>herefore</w:t>
      </w:r>
      <w:r w:rsidR="008E33D7">
        <w:t>,</w:t>
      </w:r>
      <w:r w:rsidR="006F60D9">
        <w:t xml:space="preserve"> not optimizing the capability</w:t>
      </w:r>
      <w:r>
        <w:t xml:space="preserve"> signalling for </w:t>
      </w:r>
      <w:r w:rsidR="00FA2261">
        <w:t>mixed numerology in a serving cell</w:t>
      </w:r>
      <w:r>
        <w:t xml:space="preserve"> would be acceptable to us, and we </w:t>
      </w:r>
      <w:r w:rsidR="00FA2261">
        <w:t xml:space="preserve">therefore </w:t>
      </w:r>
      <w:r>
        <w:t>propose the Alt2.</w:t>
      </w:r>
    </w:p>
    <w:p w14:paraId="5E2092B7" w14:textId="481FA4DF" w:rsidR="0050658D" w:rsidRDefault="0050658D">
      <w:pPr>
        <w:rPr>
          <w:i/>
          <w:iCs/>
          <w:lang w:val="en-US"/>
        </w:rPr>
      </w:pPr>
      <w:r w:rsidRPr="008671BB">
        <w:rPr>
          <w:b/>
          <w:bCs/>
          <w:i/>
          <w:iCs/>
          <w:lang w:val="en-US"/>
        </w:rPr>
        <w:t>Proposal-</w:t>
      </w:r>
      <w:r w:rsidR="00FA2261">
        <w:rPr>
          <w:b/>
          <w:bCs/>
          <w:i/>
          <w:iCs/>
          <w:lang w:val="en-US"/>
        </w:rPr>
        <w:t>5</w:t>
      </w:r>
      <w:r w:rsidRPr="008671BB">
        <w:rPr>
          <w:i/>
          <w:iCs/>
          <w:lang w:val="en-US"/>
        </w:rPr>
        <w:t xml:space="preserve">: </w:t>
      </w:r>
      <w:r w:rsidR="007031BB" w:rsidRPr="008671BB">
        <w:rPr>
          <w:i/>
          <w:iCs/>
          <w:lang w:val="en-US"/>
        </w:rPr>
        <w:t>A</w:t>
      </w:r>
      <w:r w:rsidRPr="008671BB">
        <w:rPr>
          <w:i/>
          <w:iCs/>
          <w:lang w:val="en-US"/>
        </w:rPr>
        <w:t xml:space="preserve"> numerology of serving cell for BD/CCE limit is determined by the BWP with the lowest configured SCS in the serving cell. The BD/CCE limits of other BWP of the serving cell are linearly scaled down and rounded.  </w:t>
      </w:r>
    </w:p>
    <w:p w14:paraId="30118B1D" w14:textId="245C948A" w:rsidR="00E231CD" w:rsidRDefault="00E231CD" w:rsidP="00E231CD">
      <w:pPr>
        <w:pStyle w:val="Heading1"/>
        <w:rPr>
          <w:lang w:val="en-US"/>
        </w:rPr>
      </w:pPr>
      <w:r>
        <w:rPr>
          <w:lang w:val="en-US"/>
        </w:rPr>
        <w:t>Response to RAN2 LS on CORESET#0 monitoring</w:t>
      </w:r>
    </w:p>
    <w:p w14:paraId="20F1AEEA" w14:textId="0E1B162C" w:rsidR="00E231CD" w:rsidRPr="00E75D35" w:rsidRDefault="00E231CD" w:rsidP="00E231CD">
      <w:pPr>
        <w:jc w:val="both"/>
        <w:rPr>
          <w:bCs/>
          <w:lang w:eastAsia="zh-CN"/>
        </w:rPr>
      </w:pPr>
      <w:r w:rsidRPr="00E75D35">
        <w:rPr>
          <w:bCs/>
          <w:lang w:eastAsia="zh-CN"/>
        </w:rPr>
        <w:t>In this section</w:t>
      </w:r>
      <w:r w:rsidR="00CA01F1">
        <w:rPr>
          <w:bCs/>
          <w:lang w:eastAsia="zh-CN"/>
        </w:rPr>
        <w:t>,</w:t>
      </w:r>
      <w:r w:rsidRPr="00E75D35">
        <w:rPr>
          <w:bCs/>
          <w:lang w:eastAsia="zh-CN"/>
        </w:rPr>
        <w:t xml:space="preserve"> we will try to address </w:t>
      </w:r>
      <w:r w:rsidR="00AE507F">
        <w:rPr>
          <w:bCs/>
          <w:lang w:eastAsia="zh-CN"/>
        </w:rPr>
        <w:t xml:space="preserve">the issue #2 RAN2 LS </w:t>
      </w:r>
      <w:r w:rsidR="00AE507F">
        <w:rPr>
          <w:bCs/>
          <w:lang w:eastAsia="zh-CN"/>
        </w:rPr>
        <w:fldChar w:fldCharType="begin"/>
      </w:r>
      <w:r w:rsidR="00AE507F">
        <w:rPr>
          <w:bCs/>
          <w:lang w:eastAsia="zh-CN"/>
        </w:rPr>
        <w:instrText xml:space="preserve"> REF _Ref521507789 \r \h </w:instrText>
      </w:r>
      <w:r w:rsidR="00AE507F">
        <w:rPr>
          <w:bCs/>
          <w:lang w:eastAsia="zh-CN"/>
        </w:rPr>
      </w:r>
      <w:r w:rsidR="00AE507F">
        <w:rPr>
          <w:bCs/>
          <w:lang w:eastAsia="zh-CN"/>
        </w:rPr>
        <w:fldChar w:fldCharType="separate"/>
      </w:r>
      <w:r w:rsidR="00AE507F">
        <w:rPr>
          <w:bCs/>
          <w:lang w:eastAsia="zh-CN"/>
        </w:rPr>
        <w:t>[1]</w:t>
      </w:r>
      <w:r w:rsidR="00AE507F">
        <w:rPr>
          <w:bCs/>
          <w:lang w:eastAsia="zh-CN"/>
        </w:rPr>
        <w:fldChar w:fldCharType="end"/>
      </w:r>
      <w:r w:rsidR="00AE507F">
        <w:rPr>
          <w:bCs/>
          <w:lang w:eastAsia="zh-CN"/>
        </w:rPr>
        <w:t xml:space="preserve"> </w:t>
      </w:r>
      <w:r w:rsidRPr="00E75D35">
        <w:rPr>
          <w:lang w:val="en-US"/>
        </w:rPr>
        <w:t>and the two corresponding questions:</w:t>
      </w:r>
    </w:p>
    <w:p w14:paraId="0182BA96" w14:textId="0F5DEA49" w:rsidR="00E231CD" w:rsidRPr="00E75D35" w:rsidRDefault="00E231CD" w:rsidP="00E231CD">
      <w:pPr>
        <w:jc w:val="both"/>
        <w:rPr>
          <w:i/>
          <w:lang w:val="en-US" w:eastAsia="zh-CN"/>
        </w:rPr>
      </w:pPr>
      <w:r w:rsidRPr="00E75D35">
        <w:rPr>
          <w:b/>
          <w:bCs/>
          <w:i/>
          <w:lang w:eastAsia="zh-CN"/>
        </w:rPr>
        <w:t xml:space="preserve">Issue #2: </w:t>
      </w:r>
      <w:r w:rsidRPr="00E75D35">
        <w:rPr>
          <w:i/>
          <w:lang w:eastAsia="zh-CN"/>
        </w:rPr>
        <w:t xml:space="preserve">For an active DL BWP that overlaps with neither the initial DL BWP nor with the SS/PBCH block associated to the initial DL BWP (from now on: "non-overlapping" active DL BWP), RAN2 understands that additional </w:t>
      </w:r>
      <w:r w:rsidRPr="00E75D35">
        <w:rPr>
          <w:i/>
          <w:lang w:eastAsia="zh-CN"/>
        </w:rPr>
        <w:lastRenderedPageBreak/>
        <w:t>CORESET/search space(s) need to be configured in the active DL BWP to provide SI broadcast and paging to a connected UE. What is not clear is whether an SS/PBCH block necessarily needs to be associated to the additional CORESET/search space(s) and, specifically, if a UE needs to monitor such SS/PBCH block.</w:t>
      </w:r>
    </w:p>
    <w:p w14:paraId="0F3CC6F1" w14:textId="77777777" w:rsidR="00E231CD" w:rsidRPr="00E75D35" w:rsidRDefault="00E231CD" w:rsidP="00E231CD">
      <w:pPr>
        <w:jc w:val="both"/>
        <w:rPr>
          <w:i/>
          <w:lang w:eastAsia="zh-CN"/>
        </w:rPr>
      </w:pPr>
      <w:r w:rsidRPr="00E75D35">
        <w:rPr>
          <w:i/>
          <w:lang w:eastAsia="zh-CN"/>
        </w:rPr>
        <w:t xml:space="preserve">Note that, at least for Rel-15, RAN2 has agreed that - for all purposes apart from RRM measurements - a UE will only be configured with a single SS/PBCH block, i.e. the one associated to the initial DL BWP. So RAN2 discussed whether, in a "non-overlapping" active DL BWP, broadcast transmission of SI/paging could be spatially QCL'ed with the SS/PBCH block associated to the initial DL BWP and if the UE could monitor such SS/PBCH block for this purpose. In fact, based on previous agreements, RAN2 assumes that, in a "non-overlapping" active DL BWP, a UE will be required to monitor the SS/PBCH block associated to the initial DL BWP only for RRM measurements (potentially using gaps), but not for BM, BFD, RLM (with the possible exception of the scenario covered by Issue#1, for which RAN2 is seeking answer). Whether the UE could monitor such SS/PBCH block also for receiving SI broadcast and paging is unclear. </w:t>
      </w:r>
    </w:p>
    <w:p w14:paraId="29A8B2BE" w14:textId="77777777" w:rsidR="00E231CD" w:rsidRPr="00E75D35" w:rsidRDefault="00E231CD" w:rsidP="00E231CD">
      <w:pPr>
        <w:jc w:val="both"/>
        <w:rPr>
          <w:i/>
          <w:lang w:eastAsia="zh-CN"/>
        </w:rPr>
      </w:pPr>
      <w:r w:rsidRPr="00E75D35">
        <w:rPr>
          <w:b/>
          <w:bCs/>
          <w:i/>
          <w:lang w:eastAsia="zh-CN"/>
        </w:rPr>
        <w:t xml:space="preserve">Question #2a: </w:t>
      </w:r>
      <w:r w:rsidRPr="00E75D35">
        <w:rPr>
          <w:i/>
          <w:lang w:eastAsia="zh-CN"/>
        </w:rPr>
        <w:t xml:space="preserve">In a "non-overlapping" active DL BWP, does a UE necessarily need to monitor an SS/PBCH block associated to the additional CORESET/search space to be able to receive </w:t>
      </w:r>
      <w:r w:rsidRPr="00E75D35">
        <w:rPr>
          <w:i/>
          <w:u w:val="single"/>
          <w:lang w:eastAsia="zh-CN"/>
        </w:rPr>
        <w:t>SI broadcast</w:t>
      </w:r>
      <w:r w:rsidRPr="00E75D35">
        <w:rPr>
          <w:i/>
          <w:lang w:eastAsia="zh-CN"/>
        </w:rPr>
        <w:t>? If yes, could this be the SS/PBCH block associated to the initial DL BWP? And under which conditions, if any, could the UE monitor it for this purpose?</w:t>
      </w:r>
    </w:p>
    <w:p w14:paraId="26311A74" w14:textId="0E3E4627" w:rsidR="00E231CD" w:rsidRPr="00E75D35" w:rsidRDefault="00E231CD" w:rsidP="003C7D33">
      <w:pPr>
        <w:jc w:val="both"/>
        <w:rPr>
          <w:lang w:eastAsia="zh-CN"/>
        </w:rPr>
      </w:pPr>
      <w:r w:rsidRPr="00E75D35">
        <w:rPr>
          <w:b/>
          <w:lang w:eastAsia="zh-CN"/>
        </w:rPr>
        <w:t>[Proposed RAN1 answer]:</w:t>
      </w:r>
      <w:r w:rsidRPr="00E75D35">
        <w:rPr>
          <w:lang w:eastAsia="zh-CN"/>
        </w:rPr>
        <w:t xml:space="preserve"> I</w:t>
      </w:r>
      <w:r w:rsidR="00CA01F1">
        <w:rPr>
          <w:lang w:eastAsia="zh-CN"/>
        </w:rPr>
        <w:t>f</w:t>
      </w:r>
      <w:r w:rsidRPr="00E75D35">
        <w:rPr>
          <w:lang w:eastAsia="zh-CN"/>
        </w:rPr>
        <w:t xml:space="preserve"> </w:t>
      </w:r>
      <w:r w:rsidR="00CA01F1">
        <w:rPr>
          <w:lang w:eastAsia="zh-CN"/>
        </w:rPr>
        <w:t xml:space="preserve">UE supports </w:t>
      </w:r>
      <w:r w:rsidRPr="00E75D35">
        <w:rPr>
          <w:lang w:eastAsia="zh-CN"/>
        </w:rPr>
        <w:t>feature 6-1a</w:t>
      </w:r>
      <w:r w:rsidR="0073557C">
        <w:rPr>
          <w:lang w:eastAsia="zh-CN"/>
        </w:rPr>
        <w:t xml:space="preserve"> (“no</w:t>
      </w:r>
      <w:r w:rsidR="00CA01F1">
        <w:rPr>
          <w:lang w:eastAsia="zh-CN"/>
        </w:rPr>
        <w:t>n</w:t>
      </w:r>
      <w:r w:rsidR="0073557C">
        <w:rPr>
          <w:lang w:eastAsia="zh-CN"/>
        </w:rPr>
        <w:t>-overlapping” active BWP)</w:t>
      </w:r>
      <w:r w:rsidR="00CA01F1">
        <w:rPr>
          <w:lang w:eastAsia="zh-CN"/>
        </w:rPr>
        <w:t xml:space="preserve"> then</w:t>
      </w:r>
      <w:r w:rsidRPr="00E75D35">
        <w:rPr>
          <w:lang w:eastAsia="zh-CN"/>
        </w:rPr>
        <w:t xml:space="preserve"> “</w:t>
      </w:r>
      <w:r w:rsidRPr="00E75D35">
        <w:t xml:space="preserve">BW of a UE-specific RRC configured BWP </w:t>
      </w:r>
      <w:r w:rsidRPr="00E75D35">
        <w:rPr>
          <w:lang w:eastAsia="zh-CN"/>
        </w:rPr>
        <w:t xml:space="preserve">may not include </w:t>
      </w:r>
      <w:r w:rsidRPr="00E75D35">
        <w:t>BW of the initial DL BWP and SSB for PCell/</w:t>
      </w:r>
      <w:r w:rsidRPr="00E75D35">
        <w:rPr>
          <w:highlight w:val="yellow"/>
        </w:rPr>
        <w:t>[PScell]</w:t>
      </w:r>
      <w:r w:rsidRPr="00E75D35">
        <w:t xml:space="preserve"> and BW of BWP may not include SSB for SCell”. This means that UE supporting feature 6-1a does not need to monitor SSB/PBCH block outside of active BWP to maintain sync. RAN1 assumes that RRC-connected UE monitors for DCI with SI-RNTI on </w:t>
      </w:r>
      <w:r w:rsidR="003C7D33">
        <w:t>each</w:t>
      </w:r>
      <w:r w:rsidRPr="00E75D35">
        <w:t xml:space="preserve"> active DL BWP o</w:t>
      </w:r>
      <w:r w:rsidR="003C7D33">
        <w:t xml:space="preserve">f a Pcell, if paged to do so. RAN1 also assumed that if configured </w:t>
      </w:r>
      <w:r w:rsidR="003C7D33" w:rsidRPr="003C7D33">
        <w:rPr>
          <w:i/>
        </w:rPr>
        <w:t>SearchSpace</w:t>
      </w:r>
      <w:r w:rsidR="003C7D33">
        <w:t xml:space="preserve"> is common search space,</w:t>
      </w:r>
      <w:r w:rsidR="00CA01F1">
        <w:t xml:space="preserve"> </w:t>
      </w:r>
      <w:r w:rsidR="003C7D33">
        <w:t xml:space="preserve">then UE monitors for DCI format 0_0 and DCI format 1_0 with CRC scrambled by a C-RNTI or a CS-RNTI (if configured), RA-RNTI, TC-RNTI, P-RNTI, SI-RNTI. </w:t>
      </w:r>
      <w:r w:rsidRPr="00E75D35">
        <w:t xml:space="preserve">To summarize, </w:t>
      </w:r>
      <w:r w:rsidRPr="003C7D33">
        <w:rPr>
          <w:b/>
          <w:lang w:eastAsia="zh-CN"/>
        </w:rPr>
        <w:t>UE supporting feature 6-1a</w:t>
      </w:r>
      <w:r w:rsidR="003C7D33" w:rsidRPr="003C7D33">
        <w:rPr>
          <w:b/>
          <w:lang w:eastAsia="zh-CN"/>
        </w:rPr>
        <w:t xml:space="preserve"> (“non-overlapping” active BWP)</w:t>
      </w:r>
      <w:r w:rsidRPr="003C7D33">
        <w:rPr>
          <w:b/>
          <w:lang w:eastAsia="zh-CN"/>
        </w:rPr>
        <w:t xml:space="preserve"> does not have to monitor an SS/PBCH block associated to the additional</w:t>
      </w:r>
      <w:r w:rsidR="003C7D33" w:rsidRPr="003C7D33">
        <w:rPr>
          <w:b/>
          <w:lang w:eastAsia="zh-CN"/>
        </w:rPr>
        <w:t xml:space="preserve"> </w:t>
      </w:r>
      <w:r w:rsidR="00E75D35" w:rsidRPr="003C7D33">
        <w:rPr>
          <w:b/>
          <w:lang w:eastAsia="zh-CN"/>
        </w:rPr>
        <w:t xml:space="preserve">UE-specific RRC configured </w:t>
      </w:r>
      <w:r w:rsidRPr="003C7D33">
        <w:rPr>
          <w:b/>
          <w:lang w:eastAsia="zh-CN"/>
        </w:rPr>
        <w:t xml:space="preserve">CORESET/search space on a </w:t>
      </w:r>
      <w:r w:rsidR="00E75D35" w:rsidRPr="003C7D33">
        <w:rPr>
          <w:b/>
          <w:lang w:eastAsia="zh-CN"/>
        </w:rPr>
        <w:t>UE-specific RRC configured</w:t>
      </w:r>
      <w:r w:rsidRPr="003C7D33">
        <w:rPr>
          <w:b/>
          <w:lang w:eastAsia="zh-CN"/>
        </w:rPr>
        <w:t xml:space="preserve"> </w:t>
      </w:r>
      <w:r w:rsidR="003C7D33" w:rsidRPr="003C7D33">
        <w:rPr>
          <w:b/>
          <w:lang w:eastAsia="zh-CN"/>
        </w:rPr>
        <w:t xml:space="preserve">“non-overlapping” </w:t>
      </w:r>
      <w:r w:rsidRPr="003C7D33">
        <w:rPr>
          <w:b/>
          <w:lang w:eastAsia="zh-CN"/>
        </w:rPr>
        <w:t>BWP</w:t>
      </w:r>
      <w:r w:rsidR="00E75D35" w:rsidRPr="003C7D33">
        <w:rPr>
          <w:b/>
          <w:lang w:eastAsia="zh-CN"/>
        </w:rPr>
        <w:t xml:space="preserve"> </w:t>
      </w:r>
      <w:r w:rsidRPr="003C7D33">
        <w:rPr>
          <w:b/>
          <w:lang w:eastAsia="zh-CN"/>
        </w:rPr>
        <w:t>to be able to receive SI broadcast</w:t>
      </w:r>
      <w:r w:rsidRPr="00E75D35">
        <w:rPr>
          <w:lang w:eastAsia="zh-CN"/>
        </w:rPr>
        <w:t>.</w:t>
      </w:r>
    </w:p>
    <w:p w14:paraId="0F8DA2F6" w14:textId="77777777" w:rsidR="00E231CD" w:rsidRPr="00E75D35" w:rsidRDefault="00E231CD" w:rsidP="00E231CD">
      <w:pPr>
        <w:jc w:val="both"/>
        <w:rPr>
          <w:i/>
          <w:lang w:eastAsia="zh-CN"/>
        </w:rPr>
      </w:pPr>
      <w:r w:rsidRPr="00E75D35">
        <w:rPr>
          <w:b/>
          <w:bCs/>
          <w:i/>
          <w:lang w:eastAsia="zh-CN"/>
        </w:rPr>
        <w:t xml:space="preserve">Question #2b: </w:t>
      </w:r>
      <w:r w:rsidRPr="00E75D35">
        <w:rPr>
          <w:i/>
          <w:lang w:eastAsia="zh-CN"/>
        </w:rPr>
        <w:t xml:space="preserve">In a "non-overlapping" active DL BWP, does a UE necessarily need to monitor an SS/PBCH block associated to the additional CORESET/search space to be able to receive </w:t>
      </w:r>
      <w:r w:rsidRPr="00E75D35">
        <w:rPr>
          <w:i/>
          <w:u w:val="single"/>
          <w:lang w:eastAsia="zh-CN"/>
        </w:rPr>
        <w:t>paging</w:t>
      </w:r>
      <w:r w:rsidRPr="00E75D35">
        <w:rPr>
          <w:i/>
          <w:lang w:eastAsia="zh-CN"/>
        </w:rPr>
        <w:t>? If yes, could this be the SS/PBCH block associated to the initial DL BWP? And under which conditions, if any, could the UE monitor it for this purpose?</w:t>
      </w:r>
    </w:p>
    <w:p w14:paraId="7CD28CD6" w14:textId="15FCCAC3" w:rsidR="00E231CD" w:rsidRPr="00E75D35" w:rsidRDefault="00E231CD" w:rsidP="00E231CD">
      <w:pPr>
        <w:jc w:val="both"/>
        <w:rPr>
          <w:lang w:eastAsia="zh-CN"/>
        </w:rPr>
      </w:pPr>
      <w:r w:rsidRPr="00E75D35">
        <w:rPr>
          <w:b/>
          <w:lang w:eastAsia="zh-CN"/>
        </w:rPr>
        <w:t>[Proposed RAN1 answer]</w:t>
      </w:r>
      <w:r w:rsidRPr="00E75D35">
        <w:rPr>
          <w:lang w:eastAsia="zh-CN"/>
        </w:rPr>
        <w:t>: From RAN1 perspective</w:t>
      </w:r>
      <w:r w:rsidR="00E75D35">
        <w:rPr>
          <w:lang w:eastAsia="zh-CN"/>
        </w:rPr>
        <w:t>,</w:t>
      </w:r>
      <w:r w:rsidRPr="00E75D35">
        <w:rPr>
          <w:lang w:eastAsia="zh-CN"/>
        </w:rPr>
        <w:t xml:space="preserve"> every BWP on a Pcell contains CSS for monitoring P-RNTI. Therefore, RAN1 assumes that </w:t>
      </w:r>
      <w:r w:rsidR="003C7D33">
        <w:rPr>
          <w:lang w:eastAsia="zh-CN"/>
        </w:rPr>
        <w:t xml:space="preserve">common </w:t>
      </w:r>
      <w:r w:rsidRPr="00E75D35">
        <w:rPr>
          <w:lang w:eastAsia="zh-CN"/>
        </w:rPr>
        <w:t xml:space="preserve">search-space for P-RNTI </w:t>
      </w:r>
      <w:r w:rsidR="003C7D33">
        <w:rPr>
          <w:lang w:eastAsia="zh-CN"/>
        </w:rPr>
        <w:t>is</w:t>
      </w:r>
      <w:r w:rsidRPr="00E75D35">
        <w:rPr>
          <w:lang w:eastAsia="zh-CN"/>
        </w:rPr>
        <w:t xml:space="preserve"> configured in </w:t>
      </w:r>
      <w:r w:rsidR="003C7D33">
        <w:rPr>
          <w:lang w:eastAsia="zh-CN"/>
        </w:rPr>
        <w:t>all</w:t>
      </w:r>
      <w:r w:rsidRPr="00E75D35">
        <w:rPr>
          <w:lang w:eastAsia="zh-CN"/>
        </w:rPr>
        <w:t xml:space="preserve"> BWPs of a Pcell. In other words, </w:t>
      </w:r>
      <w:r w:rsidRPr="003C7D33">
        <w:rPr>
          <w:b/>
          <w:lang w:eastAsia="zh-CN"/>
        </w:rPr>
        <w:t xml:space="preserve">UE </w:t>
      </w:r>
      <w:r w:rsidR="00E75D35" w:rsidRPr="003C7D33">
        <w:rPr>
          <w:b/>
          <w:lang w:eastAsia="zh-CN"/>
        </w:rPr>
        <w:t>supporting feature 6-1</w:t>
      </w:r>
      <w:r w:rsidR="003C7D33" w:rsidRPr="003C7D33">
        <w:rPr>
          <w:b/>
          <w:lang w:eastAsia="zh-CN"/>
        </w:rPr>
        <w:t>a (“non-overlapping” active BWP)</w:t>
      </w:r>
      <w:r w:rsidR="00E75D35" w:rsidRPr="003C7D33">
        <w:rPr>
          <w:b/>
          <w:lang w:eastAsia="zh-CN"/>
        </w:rPr>
        <w:t xml:space="preserve"> </w:t>
      </w:r>
      <w:r w:rsidRPr="003C7D33">
        <w:rPr>
          <w:b/>
          <w:lang w:eastAsia="zh-CN"/>
        </w:rPr>
        <w:t xml:space="preserve">does not have to monitor an SS/PBCH block associated to the additional </w:t>
      </w:r>
      <w:r w:rsidR="00E75D35" w:rsidRPr="003C7D33">
        <w:rPr>
          <w:b/>
          <w:lang w:eastAsia="zh-CN"/>
        </w:rPr>
        <w:t>UE-specific RRC configured CORESET/search space on a UE-specific</w:t>
      </w:r>
      <w:r w:rsidR="003C7D33" w:rsidRPr="003C7D33">
        <w:rPr>
          <w:b/>
          <w:lang w:eastAsia="zh-CN"/>
        </w:rPr>
        <w:t xml:space="preserve"> “non-overlapping” </w:t>
      </w:r>
      <w:r w:rsidR="00E75D35" w:rsidRPr="003C7D33">
        <w:rPr>
          <w:b/>
          <w:lang w:eastAsia="zh-CN"/>
        </w:rPr>
        <w:t xml:space="preserve">RRC configured BWP </w:t>
      </w:r>
      <w:r w:rsidRPr="003C7D33">
        <w:rPr>
          <w:b/>
          <w:lang w:eastAsia="zh-CN"/>
        </w:rPr>
        <w:t>to be able to receive paging</w:t>
      </w:r>
      <w:r w:rsidRPr="00E75D35">
        <w:rPr>
          <w:lang w:eastAsia="zh-CN"/>
        </w:rPr>
        <w:t>.</w:t>
      </w:r>
    </w:p>
    <w:p w14:paraId="0104CBF8" w14:textId="6D6E2270" w:rsidR="00E231CD" w:rsidRPr="00AE507F" w:rsidRDefault="00AE507F">
      <w:pPr>
        <w:rPr>
          <w:i/>
          <w:iCs/>
        </w:rPr>
      </w:pPr>
      <w:r w:rsidRPr="00AE507F">
        <w:rPr>
          <w:b/>
          <w:i/>
          <w:iCs/>
        </w:rPr>
        <w:t>Proposal-</w:t>
      </w:r>
      <w:r>
        <w:rPr>
          <w:b/>
          <w:i/>
          <w:iCs/>
        </w:rPr>
        <w:t>6</w:t>
      </w:r>
      <w:r w:rsidRPr="00AE507F">
        <w:rPr>
          <w:b/>
          <w:i/>
          <w:iCs/>
        </w:rPr>
        <w:t>:</w:t>
      </w:r>
      <w:r w:rsidRPr="00AE507F">
        <w:rPr>
          <w:i/>
          <w:iCs/>
        </w:rPr>
        <w:t xml:space="preserve"> Send LS to RAN2 with the above proposed answers</w:t>
      </w:r>
      <w:r>
        <w:rPr>
          <w:i/>
          <w:iCs/>
        </w:rPr>
        <w:t>.</w:t>
      </w:r>
    </w:p>
    <w:p w14:paraId="0D827FAF" w14:textId="07E146D4" w:rsidR="0034111C" w:rsidRPr="00A51522" w:rsidRDefault="0034111C" w:rsidP="00495C73">
      <w:pPr>
        <w:pStyle w:val="Heading1"/>
      </w:pPr>
      <w:r w:rsidRPr="00A51522">
        <w:tab/>
      </w:r>
      <w:r w:rsidR="00EE7FA7" w:rsidRPr="00A51522">
        <w:t>Conclusion</w:t>
      </w:r>
      <w:r w:rsidR="00DB39D4" w:rsidRPr="00A51522">
        <w:t>s</w:t>
      </w:r>
    </w:p>
    <w:p w14:paraId="626917E1" w14:textId="439AA708" w:rsidR="00731B79" w:rsidRDefault="003D3FBA" w:rsidP="4FB8EC98">
      <w:pPr>
        <w:spacing w:after="120"/>
        <w:jc w:val="both"/>
      </w:pPr>
      <w:r w:rsidRPr="00A51522">
        <w:t>In this contribution</w:t>
      </w:r>
      <w:r w:rsidR="009251C8">
        <w:t>,</w:t>
      </w:r>
      <w:r w:rsidRPr="00A51522">
        <w:t xml:space="preserve"> we have discussed </w:t>
      </w:r>
      <w:r w:rsidR="00A643E0" w:rsidRPr="008671BB">
        <w:t xml:space="preserve">remaining details </w:t>
      </w:r>
      <w:r w:rsidR="007031BB" w:rsidRPr="008671BB">
        <w:t>of R15 NR PDCCH design</w:t>
      </w:r>
      <w:r w:rsidR="006060C2" w:rsidRPr="008671BB">
        <w:t>.</w:t>
      </w:r>
      <w:r w:rsidR="00342AD2" w:rsidRPr="008671BB">
        <w:t xml:space="preserve"> Based on the discussion, we make the following</w:t>
      </w:r>
      <w:r w:rsidR="00A643E0" w:rsidRPr="008671BB">
        <w:t xml:space="preserve"> </w:t>
      </w:r>
      <w:r w:rsidR="00342AD2" w:rsidRPr="008671BB">
        <w:t>proposal</w:t>
      </w:r>
      <w:r w:rsidR="006060C2" w:rsidRPr="008671BB">
        <w:t>s</w:t>
      </w:r>
      <w:r w:rsidR="00FB3307" w:rsidRPr="008671BB">
        <w:t xml:space="preserve"> an</w:t>
      </w:r>
      <w:r w:rsidR="003C7D33">
        <w:t>d</w:t>
      </w:r>
      <w:r w:rsidR="00FB3307" w:rsidRPr="008671BB">
        <w:t xml:space="preserve"> observation</w:t>
      </w:r>
      <w:r w:rsidR="003C7D33">
        <w:t>s</w:t>
      </w:r>
      <w:r w:rsidR="00342AD2" w:rsidRPr="008671BB">
        <w:t>:</w:t>
      </w:r>
    </w:p>
    <w:p w14:paraId="1F06A5D7" w14:textId="725025FB" w:rsidR="00426925" w:rsidRPr="00426925" w:rsidRDefault="00426925" w:rsidP="4FB8EC98">
      <w:pPr>
        <w:spacing w:after="120"/>
        <w:jc w:val="both"/>
        <w:rPr>
          <w:b/>
          <w:bCs/>
          <w:u w:val="single"/>
        </w:rPr>
      </w:pPr>
      <w:r w:rsidRPr="00426925">
        <w:rPr>
          <w:b/>
          <w:u w:val="single"/>
        </w:rPr>
        <w:t>TCI state of CORESET#0</w:t>
      </w:r>
    </w:p>
    <w:p w14:paraId="227EC839" w14:textId="77777777" w:rsidR="00426925" w:rsidRDefault="00426925" w:rsidP="00426925">
      <w:pPr>
        <w:rPr>
          <w:bCs/>
          <w:i/>
          <w:lang w:val="en-US"/>
        </w:rPr>
      </w:pPr>
      <w:bookmarkStart w:id="1" w:name="_Hlk505720451"/>
      <w:r w:rsidRPr="001E4CAC">
        <w:rPr>
          <w:b/>
          <w:bCs/>
          <w:i/>
          <w:lang w:val="en-US"/>
        </w:rPr>
        <w:t>Observation-1</w:t>
      </w:r>
      <w:r w:rsidRPr="001E4CAC">
        <w:rPr>
          <w:bCs/>
          <w:i/>
          <w:lang w:val="en-US"/>
        </w:rPr>
        <w:t xml:space="preserve">: Alternatives 3 or 3’ have no impact on RAN2 specification. </w:t>
      </w:r>
    </w:p>
    <w:p w14:paraId="74D3EB33" w14:textId="77777777" w:rsidR="00426925" w:rsidRPr="001E4CAC" w:rsidRDefault="00426925" w:rsidP="00426925">
      <w:pPr>
        <w:rPr>
          <w:bCs/>
          <w:i/>
          <w:lang w:val="en-US"/>
        </w:rPr>
      </w:pPr>
      <w:r w:rsidRPr="001E4CAC">
        <w:rPr>
          <w:b/>
          <w:bCs/>
          <w:i/>
          <w:lang w:val="en-US"/>
        </w:rPr>
        <w:t>Proposal-1:</w:t>
      </w:r>
      <w:r w:rsidRPr="001E4CAC">
        <w:rPr>
          <w:bCs/>
          <w:i/>
          <w:lang w:val="en-US"/>
        </w:rPr>
        <w:t xml:space="preserve"> </w:t>
      </w:r>
      <w:r>
        <w:rPr>
          <w:bCs/>
          <w:i/>
          <w:lang w:val="en-US"/>
        </w:rPr>
        <w:t xml:space="preserve">If RAN1 decides to ask RAN2 for changes in RAN2 specification, RAN1 shall recommend Alt 1’, otherwise RAN1 shall adopt Alternative 3 or 3’. </w:t>
      </w:r>
    </w:p>
    <w:p w14:paraId="00F30216" w14:textId="77777777" w:rsidR="00426925" w:rsidRPr="001E4CAC" w:rsidRDefault="00426925" w:rsidP="00426925">
      <w:pPr>
        <w:rPr>
          <w:bCs/>
          <w:i/>
          <w:lang w:val="en-US"/>
        </w:rPr>
      </w:pPr>
      <w:r w:rsidRPr="001E4CAC">
        <w:rPr>
          <w:b/>
          <w:bCs/>
          <w:i/>
          <w:lang w:val="en-US"/>
        </w:rPr>
        <w:t>Proposal-2:</w:t>
      </w:r>
      <w:r w:rsidRPr="001E4CAC">
        <w:rPr>
          <w:bCs/>
          <w:i/>
          <w:lang w:val="en-US"/>
        </w:rPr>
        <w:t xml:space="preserve"> NR CORESET’s 6PRB grid is aligned with the PRB0 of CORESET#0 instead of Point A.</w:t>
      </w:r>
    </w:p>
    <w:p w14:paraId="02B24FB1" w14:textId="2A565B66" w:rsidR="00426925" w:rsidRDefault="00426925" w:rsidP="00426925">
      <w:pPr>
        <w:spacing w:after="0"/>
        <w:jc w:val="both"/>
        <w:rPr>
          <w:b/>
          <w:bCs/>
          <w:iCs/>
          <w:u w:val="single"/>
        </w:rPr>
      </w:pPr>
      <w:r w:rsidRPr="00426925">
        <w:rPr>
          <w:b/>
          <w:bCs/>
          <w:iCs/>
          <w:u w:val="single"/>
        </w:rPr>
        <w:t>BD and CCE limits in CA</w:t>
      </w:r>
    </w:p>
    <w:p w14:paraId="4DFD1A11" w14:textId="77777777" w:rsidR="00426925" w:rsidRPr="00426925" w:rsidRDefault="00426925" w:rsidP="00426925">
      <w:pPr>
        <w:spacing w:after="0"/>
        <w:jc w:val="both"/>
        <w:rPr>
          <w:b/>
          <w:bCs/>
          <w:iCs/>
          <w:u w:val="single"/>
        </w:rPr>
      </w:pPr>
    </w:p>
    <w:p w14:paraId="05A3B188" w14:textId="07CDF164" w:rsidR="00426925" w:rsidRPr="008671BB" w:rsidDel="006F6A87" w:rsidRDefault="00426925" w:rsidP="00426925">
      <w:pPr>
        <w:spacing w:after="0"/>
        <w:jc w:val="both"/>
        <w:rPr>
          <w:i/>
          <w:iCs/>
          <w:lang w:val="en-US"/>
        </w:rPr>
      </w:pPr>
      <w:r w:rsidRPr="008671BB" w:rsidDel="006F6A87">
        <w:rPr>
          <w:b/>
          <w:bCs/>
          <w:i/>
          <w:iCs/>
        </w:rPr>
        <w:t>Proposal</w:t>
      </w:r>
      <w:r w:rsidRPr="008671BB">
        <w:rPr>
          <w:b/>
          <w:bCs/>
          <w:i/>
          <w:iCs/>
        </w:rPr>
        <w:t>-</w:t>
      </w:r>
      <w:r>
        <w:rPr>
          <w:b/>
          <w:bCs/>
          <w:i/>
          <w:iCs/>
        </w:rPr>
        <w:t>3</w:t>
      </w:r>
      <w:r w:rsidRPr="008671BB">
        <w:rPr>
          <w:b/>
          <w:bCs/>
          <w:i/>
          <w:iCs/>
        </w:rPr>
        <w:t>:</w:t>
      </w:r>
      <w:r w:rsidRPr="008671BB">
        <w:rPr>
          <w:i/>
          <w:iCs/>
        </w:rPr>
        <w:t xml:space="preserve"> For CA with cross-carrier scheduling</w:t>
      </w:r>
      <w:r w:rsidRPr="008671BB">
        <w:rPr>
          <w:i/>
          <w:iCs/>
          <w:lang w:val="en-US"/>
        </w:rPr>
        <w:t>, t</w:t>
      </w:r>
      <w:r w:rsidRPr="008671BB" w:rsidDel="006F6A87">
        <w:rPr>
          <w:i/>
          <w:iCs/>
          <w:lang w:val="en-US"/>
        </w:rPr>
        <w:t xml:space="preserve">he BD and CCE limit </w:t>
      </w:r>
      <w:r w:rsidRPr="008671BB">
        <w:rPr>
          <w:i/>
          <w:iCs/>
          <w:lang w:val="en-US"/>
        </w:rPr>
        <w:t xml:space="preserve">for the cross-SCS scheduled cell </w:t>
      </w:r>
      <w:r w:rsidRPr="008671BB" w:rsidDel="006F6A87">
        <w:rPr>
          <w:i/>
          <w:iCs/>
          <w:lang w:val="en-US"/>
        </w:rPr>
        <w:t>is determined by active numerology of</w:t>
      </w:r>
      <w:r w:rsidRPr="008671BB">
        <w:rPr>
          <w:i/>
          <w:iCs/>
          <w:lang w:val="en-US"/>
        </w:rPr>
        <w:t xml:space="preserve"> the </w:t>
      </w:r>
    </w:p>
    <w:p w14:paraId="73DE4FF9" w14:textId="77777777" w:rsidR="00426925" w:rsidRPr="008671BB" w:rsidDel="006F6A87" w:rsidRDefault="00426925" w:rsidP="00426925">
      <w:pPr>
        <w:pStyle w:val="ListParagraph"/>
        <w:numPr>
          <w:ilvl w:val="1"/>
          <w:numId w:val="10"/>
        </w:numPr>
        <w:jc w:val="both"/>
        <w:rPr>
          <w:i/>
          <w:iCs/>
          <w:sz w:val="20"/>
          <w:szCs w:val="20"/>
          <w:lang w:val="en-US"/>
        </w:rPr>
      </w:pPr>
      <w:r w:rsidRPr="008671BB" w:rsidDel="006F6A87">
        <w:rPr>
          <w:i/>
          <w:iCs/>
          <w:sz w:val="20"/>
          <w:szCs w:val="20"/>
          <w:lang w:val="en-US"/>
        </w:rPr>
        <w:t xml:space="preserve">scheduled serving cell when </w:t>
      </w:r>
      <w:r w:rsidRPr="008671BB">
        <w:rPr>
          <w:i/>
          <w:iCs/>
          <w:sz w:val="20"/>
          <w:szCs w:val="20"/>
          <w:lang w:val="en-US"/>
        </w:rPr>
        <w:t xml:space="preserve">being </w:t>
      </w:r>
      <w:r w:rsidRPr="008671BB" w:rsidDel="006F6A87">
        <w:rPr>
          <w:i/>
          <w:iCs/>
          <w:sz w:val="20"/>
          <w:szCs w:val="20"/>
          <w:lang w:val="en-US"/>
        </w:rPr>
        <w:t>schedul</w:t>
      </w:r>
      <w:r w:rsidRPr="008671BB">
        <w:rPr>
          <w:i/>
          <w:iCs/>
          <w:sz w:val="20"/>
          <w:szCs w:val="20"/>
          <w:lang w:val="en-US"/>
        </w:rPr>
        <w:t>ed</w:t>
      </w:r>
      <w:r w:rsidRPr="008671BB" w:rsidDel="006F6A87">
        <w:rPr>
          <w:i/>
          <w:iCs/>
          <w:sz w:val="20"/>
          <w:szCs w:val="20"/>
          <w:lang w:val="en-US"/>
        </w:rPr>
        <w:t xml:space="preserve"> form </w:t>
      </w:r>
      <w:r w:rsidRPr="008671BB">
        <w:rPr>
          <w:i/>
          <w:iCs/>
          <w:sz w:val="20"/>
          <w:szCs w:val="20"/>
          <w:lang w:val="en-US"/>
        </w:rPr>
        <w:t xml:space="preserve">a </w:t>
      </w:r>
      <w:r w:rsidRPr="008671BB" w:rsidDel="006F6A87">
        <w:rPr>
          <w:i/>
          <w:iCs/>
          <w:sz w:val="20"/>
          <w:szCs w:val="20"/>
          <w:lang w:val="en-US"/>
        </w:rPr>
        <w:t xml:space="preserve">lower SCS </w:t>
      </w:r>
      <w:r w:rsidRPr="008671BB">
        <w:rPr>
          <w:i/>
          <w:iCs/>
          <w:sz w:val="20"/>
          <w:szCs w:val="20"/>
          <w:lang w:val="en-US"/>
        </w:rPr>
        <w:t>cell</w:t>
      </w:r>
    </w:p>
    <w:p w14:paraId="32AEF72E" w14:textId="77777777" w:rsidR="00426925" w:rsidRPr="008671BB" w:rsidRDefault="00426925" w:rsidP="00426925">
      <w:pPr>
        <w:pStyle w:val="ListParagraph"/>
        <w:numPr>
          <w:ilvl w:val="1"/>
          <w:numId w:val="10"/>
        </w:numPr>
        <w:spacing w:after="240"/>
        <w:jc w:val="both"/>
        <w:rPr>
          <w:b/>
          <w:bCs/>
          <w:i/>
          <w:iCs/>
          <w:sz w:val="20"/>
          <w:szCs w:val="20"/>
          <w:lang w:val="en-US"/>
        </w:rPr>
      </w:pPr>
      <w:r w:rsidRPr="008671BB" w:rsidDel="006F6A87">
        <w:rPr>
          <w:i/>
          <w:iCs/>
          <w:sz w:val="20"/>
          <w:szCs w:val="20"/>
          <w:lang w:val="en-US"/>
        </w:rPr>
        <w:t xml:space="preserve">scheduling serving cell when </w:t>
      </w:r>
      <w:r w:rsidRPr="008671BB">
        <w:rPr>
          <w:i/>
          <w:iCs/>
          <w:sz w:val="20"/>
          <w:szCs w:val="20"/>
          <w:lang w:val="en-US"/>
        </w:rPr>
        <w:t xml:space="preserve">being </w:t>
      </w:r>
      <w:r w:rsidRPr="008671BB" w:rsidDel="006F6A87">
        <w:rPr>
          <w:i/>
          <w:iCs/>
          <w:sz w:val="20"/>
          <w:szCs w:val="20"/>
          <w:lang w:val="en-US"/>
        </w:rPr>
        <w:t>schedul</w:t>
      </w:r>
      <w:r w:rsidRPr="008671BB">
        <w:rPr>
          <w:i/>
          <w:iCs/>
          <w:sz w:val="20"/>
          <w:szCs w:val="20"/>
          <w:lang w:val="en-US"/>
        </w:rPr>
        <w:t>ed</w:t>
      </w:r>
      <w:r w:rsidRPr="008671BB" w:rsidDel="006F6A87">
        <w:rPr>
          <w:i/>
          <w:iCs/>
          <w:sz w:val="20"/>
          <w:szCs w:val="20"/>
          <w:lang w:val="en-US"/>
        </w:rPr>
        <w:t xml:space="preserve"> from </w:t>
      </w:r>
      <w:r w:rsidRPr="008671BB">
        <w:rPr>
          <w:i/>
          <w:iCs/>
          <w:sz w:val="20"/>
          <w:szCs w:val="20"/>
          <w:lang w:val="en-US"/>
        </w:rPr>
        <w:t xml:space="preserve">a </w:t>
      </w:r>
      <w:r w:rsidRPr="008671BB" w:rsidDel="006F6A87">
        <w:rPr>
          <w:i/>
          <w:iCs/>
          <w:sz w:val="20"/>
          <w:szCs w:val="20"/>
          <w:lang w:val="en-US"/>
        </w:rPr>
        <w:t xml:space="preserve">higher SCS </w:t>
      </w:r>
      <w:r w:rsidRPr="008671BB">
        <w:rPr>
          <w:i/>
          <w:iCs/>
          <w:sz w:val="20"/>
          <w:szCs w:val="20"/>
          <w:lang w:val="en-US"/>
        </w:rPr>
        <w:t>cell</w:t>
      </w:r>
      <w:r w:rsidRPr="008671BB">
        <w:rPr>
          <w:b/>
          <w:bCs/>
          <w:i/>
          <w:iCs/>
          <w:sz w:val="20"/>
          <w:szCs w:val="20"/>
          <w:lang w:val="en-US"/>
        </w:rPr>
        <w:t xml:space="preserve"> </w:t>
      </w:r>
    </w:p>
    <w:p w14:paraId="7D4D73B4" w14:textId="77777777" w:rsidR="00426925" w:rsidRPr="008671BB" w:rsidRDefault="00426925" w:rsidP="00426925">
      <w:pPr>
        <w:jc w:val="both"/>
        <w:rPr>
          <w:i/>
          <w:iCs/>
        </w:rPr>
      </w:pPr>
      <w:r w:rsidRPr="008671BB">
        <w:rPr>
          <w:b/>
          <w:bCs/>
          <w:i/>
          <w:iCs/>
        </w:rPr>
        <w:t>Proposal-</w:t>
      </w:r>
      <w:r>
        <w:rPr>
          <w:b/>
          <w:bCs/>
          <w:i/>
          <w:iCs/>
        </w:rPr>
        <w:t>4</w:t>
      </w:r>
      <w:r w:rsidRPr="008671BB">
        <w:rPr>
          <w:b/>
          <w:bCs/>
          <w:i/>
          <w:iCs/>
        </w:rPr>
        <w:t>:</w:t>
      </w:r>
      <w:r w:rsidRPr="008671BB">
        <w:rPr>
          <w:i/>
          <w:iCs/>
        </w:rPr>
        <w:t xml:space="preserve"> In case of cross-carrier scheduling, only the PDCCH candidate of the search-space</w:t>
      </w:r>
      <w:r>
        <w:rPr>
          <w:i/>
          <w:iCs/>
        </w:rPr>
        <w:t xml:space="preserve"> with offset</w:t>
      </w:r>
      <w:r w:rsidRPr="008671BB">
        <w:rPr>
          <w:i/>
          <w:iCs/>
        </w:rPr>
        <w:t xml:space="preserve"> corresponding to a serving cell are counted in the serving cell</w:t>
      </w:r>
      <w:r>
        <w:rPr>
          <w:i/>
          <w:iCs/>
        </w:rPr>
        <w:t xml:space="preserve"> BD and CCE</w:t>
      </w:r>
      <w:r w:rsidRPr="008671BB">
        <w:rPr>
          <w:i/>
          <w:iCs/>
        </w:rPr>
        <w:t xml:space="preserve"> limits. </w:t>
      </w:r>
    </w:p>
    <w:p w14:paraId="1F5CB1FC" w14:textId="77777777" w:rsidR="00426925" w:rsidRPr="008671BB" w:rsidRDefault="00426925" w:rsidP="00426925">
      <w:pPr>
        <w:jc w:val="both"/>
        <w:rPr>
          <w:i/>
          <w:iCs/>
        </w:rPr>
      </w:pPr>
      <w:r w:rsidRPr="008671BB">
        <w:rPr>
          <w:b/>
          <w:bCs/>
          <w:i/>
          <w:iCs/>
        </w:rPr>
        <w:lastRenderedPageBreak/>
        <w:t>Observation-</w:t>
      </w:r>
      <w:r>
        <w:rPr>
          <w:b/>
          <w:bCs/>
          <w:i/>
          <w:iCs/>
        </w:rPr>
        <w:t>2</w:t>
      </w:r>
      <w:r w:rsidRPr="008671BB">
        <w:rPr>
          <w:b/>
          <w:bCs/>
          <w:i/>
          <w:iCs/>
        </w:rPr>
        <w:t xml:space="preserve">: </w:t>
      </w:r>
      <w:r w:rsidRPr="008671BB">
        <w:rPr>
          <w:i/>
          <w:iCs/>
        </w:rPr>
        <w:t xml:space="preserve">As a consequence of above </w:t>
      </w:r>
      <w:r>
        <w:rPr>
          <w:i/>
          <w:iCs/>
        </w:rPr>
        <w:t>proposal</w:t>
      </w:r>
      <w:r w:rsidRPr="008671BB">
        <w:rPr>
          <w:i/>
          <w:iCs/>
        </w:rPr>
        <w:t>, the</w:t>
      </w:r>
      <w:r>
        <w:rPr>
          <w:i/>
          <w:iCs/>
        </w:rPr>
        <w:t xml:space="preserve"> set of</w:t>
      </w:r>
      <w:r w:rsidRPr="008671BB">
        <w:rPr>
          <w:i/>
          <w:iCs/>
        </w:rPr>
        <w:t xml:space="preserve"> agreements</w:t>
      </w:r>
      <w:r>
        <w:rPr>
          <w:i/>
          <w:iCs/>
        </w:rPr>
        <w:t xml:space="preserve"> related to CA BD and CCE in Table 1 restricted to</w:t>
      </w:r>
      <w:r w:rsidRPr="008671BB">
        <w:rPr>
          <w:i/>
          <w:iCs/>
        </w:rPr>
        <w:t xml:space="preserve"> self-scheduling can be generalized to cross-carrier scheduling. </w:t>
      </w:r>
    </w:p>
    <w:p w14:paraId="4224D21C" w14:textId="01DDD8FE" w:rsidR="00426925" w:rsidRDefault="00426925" w:rsidP="00426925">
      <w:pPr>
        <w:rPr>
          <w:i/>
          <w:iCs/>
          <w:lang w:val="en-US"/>
        </w:rPr>
      </w:pPr>
      <w:r w:rsidRPr="008671BB">
        <w:rPr>
          <w:b/>
          <w:bCs/>
          <w:i/>
          <w:iCs/>
          <w:lang w:val="en-US"/>
        </w:rPr>
        <w:t>Proposal-</w:t>
      </w:r>
      <w:r>
        <w:rPr>
          <w:b/>
          <w:bCs/>
          <w:i/>
          <w:iCs/>
          <w:lang w:val="en-US"/>
        </w:rPr>
        <w:t>5</w:t>
      </w:r>
      <w:r w:rsidRPr="008671BB">
        <w:rPr>
          <w:i/>
          <w:iCs/>
          <w:lang w:val="en-US"/>
        </w:rPr>
        <w:t xml:space="preserve">: A numerology of serving cell for BD/CCE limit is determined by the BWP with the lowest configured SCS in the serving cell. The BD/CCE limits of other BWP of the serving cell are linearly scaled down and rounded.  </w:t>
      </w:r>
    </w:p>
    <w:p w14:paraId="36DA4172" w14:textId="5465D7DD" w:rsidR="00426925" w:rsidRPr="00426925" w:rsidRDefault="00426925" w:rsidP="00426925">
      <w:pPr>
        <w:rPr>
          <w:b/>
          <w:i/>
          <w:iCs/>
          <w:u w:val="single"/>
          <w:lang w:val="en-US"/>
        </w:rPr>
      </w:pPr>
      <w:r w:rsidRPr="00426925">
        <w:rPr>
          <w:b/>
          <w:i/>
          <w:iCs/>
          <w:u w:val="single"/>
          <w:lang w:val="en-US"/>
        </w:rPr>
        <w:t xml:space="preserve">Answer to RAN2 LS </w:t>
      </w:r>
      <w:r w:rsidRPr="00426925">
        <w:rPr>
          <w:b/>
          <w:i/>
          <w:iCs/>
          <w:u w:val="single"/>
          <w:lang w:val="en-US"/>
        </w:rPr>
        <w:fldChar w:fldCharType="begin"/>
      </w:r>
      <w:r w:rsidRPr="00426925">
        <w:rPr>
          <w:b/>
          <w:i/>
          <w:iCs/>
          <w:u w:val="single"/>
          <w:lang w:val="en-US"/>
        </w:rPr>
        <w:instrText xml:space="preserve"> REF _Ref521507789 \r \h  \* MERGEFORMAT </w:instrText>
      </w:r>
      <w:r w:rsidRPr="00426925">
        <w:rPr>
          <w:b/>
          <w:i/>
          <w:iCs/>
          <w:u w:val="single"/>
          <w:lang w:val="en-US"/>
        </w:rPr>
      </w:r>
      <w:r w:rsidRPr="00426925">
        <w:rPr>
          <w:b/>
          <w:i/>
          <w:iCs/>
          <w:u w:val="single"/>
          <w:lang w:val="en-US"/>
        </w:rPr>
        <w:fldChar w:fldCharType="separate"/>
      </w:r>
      <w:r w:rsidRPr="00426925">
        <w:rPr>
          <w:b/>
          <w:i/>
          <w:iCs/>
          <w:u w:val="single"/>
          <w:lang w:val="en-US"/>
        </w:rPr>
        <w:t>[1]</w:t>
      </w:r>
      <w:r w:rsidRPr="00426925">
        <w:rPr>
          <w:b/>
          <w:i/>
          <w:iCs/>
          <w:u w:val="single"/>
          <w:lang w:val="en-US"/>
        </w:rPr>
        <w:fldChar w:fldCharType="end"/>
      </w:r>
    </w:p>
    <w:p w14:paraId="199D538A" w14:textId="352C0C90" w:rsidR="00426925" w:rsidRPr="00AE507F" w:rsidRDefault="00426925" w:rsidP="00426925">
      <w:pPr>
        <w:rPr>
          <w:i/>
          <w:iCs/>
        </w:rPr>
      </w:pPr>
      <w:r w:rsidRPr="00AE507F">
        <w:rPr>
          <w:b/>
          <w:i/>
          <w:iCs/>
        </w:rPr>
        <w:t>Proposal-</w:t>
      </w:r>
      <w:r>
        <w:rPr>
          <w:b/>
          <w:i/>
          <w:iCs/>
        </w:rPr>
        <w:t>6</w:t>
      </w:r>
      <w:r w:rsidRPr="00AE507F">
        <w:rPr>
          <w:b/>
          <w:i/>
          <w:iCs/>
        </w:rPr>
        <w:t>:</w:t>
      </w:r>
      <w:r w:rsidRPr="00AE507F">
        <w:rPr>
          <w:i/>
          <w:iCs/>
        </w:rPr>
        <w:t xml:space="preserve"> Send LS to RAN2 with the above proposed answers</w:t>
      </w:r>
      <w:r>
        <w:rPr>
          <w:i/>
          <w:iCs/>
        </w:rPr>
        <w:t>.</w:t>
      </w:r>
    </w:p>
    <w:p w14:paraId="2F0729C1" w14:textId="77777777" w:rsidR="0034111C" w:rsidRPr="00BD5468" w:rsidRDefault="0034111C" w:rsidP="00495C73">
      <w:pPr>
        <w:pStyle w:val="Heading1"/>
      </w:pPr>
      <w:r w:rsidRPr="00BD5468">
        <w:t>References</w:t>
      </w:r>
      <w:r w:rsidR="00A2459D" w:rsidRPr="00BD5468">
        <w:t xml:space="preserve"> </w:t>
      </w:r>
      <w:bookmarkEnd w:id="1"/>
    </w:p>
    <w:p w14:paraId="78A8752D" w14:textId="2FDCCCE9" w:rsidR="003B049E" w:rsidRPr="00AE507F" w:rsidRDefault="00AE507F" w:rsidP="00AE507F">
      <w:pPr>
        <w:numPr>
          <w:ilvl w:val="0"/>
          <w:numId w:val="1"/>
        </w:numPr>
        <w:rPr>
          <w:sz w:val="18"/>
          <w:szCs w:val="18"/>
        </w:rPr>
      </w:pPr>
      <w:bookmarkStart w:id="2" w:name="_Ref513636775"/>
      <w:bookmarkStart w:id="3" w:name="_Ref521507789"/>
      <w:r w:rsidRPr="00AE507F">
        <w:rPr>
          <w:sz w:val="18"/>
          <w:szCs w:val="18"/>
        </w:rPr>
        <w:t>R2-1810968</w:t>
      </w:r>
      <w:r w:rsidR="003B049E" w:rsidRPr="00AE507F">
        <w:rPr>
          <w:sz w:val="18"/>
          <w:szCs w:val="18"/>
        </w:rPr>
        <w:t>, “</w:t>
      </w:r>
      <w:r w:rsidRPr="00AE507F">
        <w:rPr>
          <w:i/>
          <w:iCs/>
          <w:sz w:val="18"/>
          <w:szCs w:val="18"/>
        </w:rPr>
        <w:t>LS on Active DL BWPs overlapping/non-overlapping with Initial DL BWP</w:t>
      </w:r>
      <w:r w:rsidR="003B049E" w:rsidRPr="00AE507F">
        <w:rPr>
          <w:sz w:val="18"/>
          <w:szCs w:val="18"/>
        </w:rPr>
        <w:t xml:space="preserve">”, </w:t>
      </w:r>
      <w:bookmarkEnd w:id="2"/>
      <w:r w:rsidRPr="00AE507F">
        <w:rPr>
          <w:sz w:val="18"/>
          <w:szCs w:val="18"/>
        </w:rPr>
        <w:t>ZTE</w:t>
      </w:r>
      <w:bookmarkEnd w:id="3"/>
    </w:p>
    <w:p w14:paraId="05902CAE" w14:textId="3C55F946" w:rsidR="000C0530" w:rsidRPr="00A51522" w:rsidRDefault="000C0530" w:rsidP="000C0530">
      <w:pPr>
        <w:pStyle w:val="Heading1"/>
      </w:pPr>
      <w:r w:rsidRPr="00A51522">
        <w:tab/>
      </w:r>
      <w:r>
        <w:t>Appendix</w:t>
      </w:r>
    </w:p>
    <w:p w14:paraId="4FE2DADE" w14:textId="3932C5B5" w:rsidR="000C0530" w:rsidRDefault="000C0530" w:rsidP="00BA675D">
      <w:pPr>
        <w:ind w:left="357"/>
        <w:rPr>
          <w:sz w:val="18"/>
        </w:rPr>
      </w:pPr>
    </w:p>
    <w:p w14:paraId="3015174A" w14:textId="77777777" w:rsidR="000C0530" w:rsidRDefault="000C0530" w:rsidP="000C0530">
      <w:pPr>
        <w:pStyle w:val="BodyText"/>
        <w:ind w:left="1080"/>
      </w:pPr>
      <w:r w:rsidRPr="008671BB">
        <w:rPr>
          <w:b/>
          <w:bCs/>
        </w:rPr>
        <w:t>Alt-1</w:t>
      </w:r>
      <w:r>
        <w:t>:</w:t>
      </w:r>
    </w:p>
    <w:p w14:paraId="342B51A4" w14:textId="77777777" w:rsidR="000C0530" w:rsidRDefault="000C0530" w:rsidP="000C0530">
      <w:pPr>
        <w:pStyle w:val="BodyText"/>
        <w:ind w:left="1080"/>
      </w:pPr>
      <w:r>
        <w:t>Clarify that broadcast PDCCH uses selected SSB as QCL source for receiving broadcast data and that configured TCI states for CORESET #0 are used for reception of unicast data scheduled by PDCCH on search spaces other than SS#0</w:t>
      </w:r>
    </w:p>
    <w:p w14:paraId="7CE7DFA9" w14:textId="77777777" w:rsidR="000C0530" w:rsidRPr="008671BB" w:rsidRDefault="000C0530">
      <w:pPr>
        <w:pStyle w:val="BodyText"/>
        <w:ind w:left="1080"/>
        <w:rPr>
          <w:rFonts w:ascii="Yu Mincho" w:eastAsia="Yu Mincho" w:hAnsi="Yu Mincho" w:cs="Yu Mincho"/>
          <w:lang w:eastAsia="ja-JP"/>
        </w:rPr>
      </w:pPr>
      <w:r w:rsidRPr="008671BB">
        <w:rPr>
          <w:lang w:eastAsia="ja-JP"/>
        </w:rPr>
        <w:t>Pros: Flexibility in TCI state configuration on CORESET #0 only for unicast PDCCH without impacting broadcast PDCCH.</w:t>
      </w:r>
    </w:p>
    <w:p w14:paraId="667C437D" w14:textId="77777777" w:rsidR="000C0530" w:rsidRPr="008671BB" w:rsidRDefault="000C0530">
      <w:pPr>
        <w:pStyle w:val="BodyText"/>
        <w:ind w:left="1080"/>
        <w:rPr>
          <w:rFonts w:ascii="Yu Mincho" w:eastAsia="Yu Mincho" w:hAnsi="Yu Mincho" w:cs="Yu Mincho"/>
          <w:lang w:eastAsia="ja-JP"/>
        </w:rPr>
      </w:pPr>
      <w:r w:rsidRPr="008671BB">
        <w:rPr>
          <w:lang w:eastAsia="ja-JP"/>
        </w:rPr>
        <w:t>Cons: Need to address UE behaviour for the case of overlap of monitoring occasion for broadcast PDCCH and for unicast PDCCH associated to the CORESET #0 at one time. Effective number of CORESETs the UE has to dimension increases. [Unicast PDCCH cannot be transmitted on SS#0.]</w:t>
      </w:r>
    </w:p>
    <w:p w14:paraId="4835FE3B" w14:textId="77777777" w:rsidR="000C0530" w:rsidRPr="008671BB" w:rsidRDefault="000C0530">
      <w:pPr>
        <w:pStyle w:val="BodyText"/>
        <w:ind w:left="1080"/>
        <w:rPr>
          <w:rFonts w:ascii="Yu Mincho" w:eastAsia="Yu Mincho" w:hAnsi="Yu Mincho" w:cs="Yu Mincho"/>
          <w:lang w:eastAsia="ja-JP"/>
        </w:rPr>
      </w:pPr>
      <w:r w:rsidRPr="008671BB">
        <w:rPr>
          <w:lang w:eastAsia="ja-JP"/>
        </w:rPr>
        <w:t xml:space="preserve">Supported by: Ericsson, ZTE, Huawei, HiSilicon, </w:t>
      </w:r>
    </w:p>
    <w:p w14:paraId="5A6705E2" w14:textId="77777777" w:rsidR="000C0530" w:rsidRPr="008671BB" w:rsidRDefault="000C0530">
      <w:pPr>
        <w:pStyle w:val="BodyText"/>
        <w:ind w:left="1080"/>
        <w:rPr>
          <w:rFonts w:ascii="Yu Mincho" w:eastAsia="Yu Mincho" w:hAnsi="Yu Mincho" w:cs="Yu Mincho"/>
          <w:lang w:eastAsia="ja-JP"/>
        </w:rPr>
      </w:pPr>
      <w:r w:rsidRPr="008671BB">
        <w:rPr>
          <w:lang w:eastAsia="ja-JP"/>
        </w:rPr>
        <w:t xml:space="preserve">Objected by: Qualcomm, </w:t>
      </w:r>
    </w:p>
    <w:p w14:paraId="3D5990E2" w14:textId="77777777" w:rsidR="000C0530" w:rsidRDefault="000C0530" w:rsidP="000C0530">
      <w:pPr>
        <w:pStyle w:val="BodyText"/>
        <w:ind w:left="1080"/>
        <w:rPr>
          <w:rFonts w:eastAsia="Yu Mincho"/>
          <w:lang w:eastAsia="ja-JP"/>
        </w:rPr>
      </w:pPr>
    </w:p>
    <w:p w14:paraId="30180984" w14:textId="77777777" w:rsidR="000C0530" w:rsidRPr="008671BB" w:rsidRDefault="000C0530">
      <w:pPr>
        <w:pStyle w:val="BodyText"/>
        <w:ind w:left="1080"/>
        <w:rPr>
          <w:rFonts w:ascii="Yu Mincho" w:eastAsia="Yu Mincho" w:hAnsi="Yu Mincho" w:cs="Yu Mincho"/>
          <w:b/>
          <w:bCs/>
          <w:lang w:eastAsia="ja-JP"/>
        </w:rPr>
      </w:pPr>
      <w:r w:rsidRPr="008671BB">
        <w:rPr>
          <w:b/>
          <w:bCs/>
          <w:lang w:eastAsia="ja-JP"/>
        </w:rPr>
        <w:t>Alt-1’:</w:t>
      </w:r>
    </w:p>
    <w:p w14:paraId="2531D782" w14:textId="77777777" w:rsidR="000C0530" w:rsidRPr="008671BB" w:rsidRDefault="000C0530">
      <w:pPr>
        <w:pStyle w:val="BodyText"/>
        <w:ind w:left="1080"/>
        <w:rPr>
          <w:rFonts w:ascii="Yu Mincho" w:eastAsia="Yu Mincho" w:hAnsi="Yu Mincho" w:cs="Yu Mincho"/>
          <w:lang w:eastAsia="ja-JP"/>
        </w:rPr>
      </w:pPr>
      <w:r w:rsidRPr="008671BB">
        <w:rPr>
          <w:lang w:eastAsia="ja-JP"/>
        </w:rPr>
        <w:t>TCI state can be configured for CORESET #0 where the QCL reference is only an SSB. Once TCI state is configured for CORESET #0, the UE follows QCL assumption based on the TCI state configuration for both broadcast PDCCH and unicast PDCCH in the search space set(s) associated with the CORESET #0</w:t>
      </w:r>
    </w:p>
    <w:p w14:paraId="042565CE" w14:textId="77777777" w:rsidR="000C0530" w:rsidRPr="008671BB" w:rsidRDefault="000C0530">
      <w:pPr>
        <w:pStyle w:val="BodyText"/>
        <w:ind w:left="1080"/>
        <w:rPr>
          <w:rFonts w:ascii="Yu Mincho" w:eastAsia="Yu Mincho" w:hAnsi="Yu Mincho" w:cs="Yu Mincho"/>
          <w:lang w:eastAsia="ja-JP"/>
        </w:rPr>
      </w:pPr>
      <w:r w:rsidRPr="008671BB">
        <w:rPr>
          <w:lang w:eastAsia="ja-JP"/>
        </w:rPr>
        <w:t>Pros: Flexibility in TCI state configuration on CORESET #0 for both unicast PDCCH and broadcast PDCCH.</w:t>
      </w:r>
    </w:p>
    <w:p w14:paraId="29BF3F91" w14:textId="77777777" w:rsidR="000C0530" w:rsidRPr="008671BB" w:rsidRDefault="000C0530">
      <w:pPr>
        <w:pStyle w:val="BodyText"/>
        <w:ind w:left="1080"/>
        <w:rPr>
          <w:rFonts w:ascii="Yu Mincho" w:eastAsia="Yu Mincho" w:hAnsi="Yu Mincho" w:cs="Yu Mincho"/>
          <w:lang w:eastAsia="ja-JP"/>
        </w:rPr>
      </w:pPr>
      <w:r w:rsidRPr="008671BB">
        <w:rPr>
          <w:lang w:eastAsia="ja-JP"/>
        </w:rPr>
        <w:t>Cons: Since PDCCH and PDSCH share TCI state pool, configuring many SSBs in the TCI state pool reduces flexibility of configuring CSI-RS(s) in the TCI state pool.</w:t>
      </w:r>
    </w:p>
    <w:p w14:paraId="28F66C34" w14:textId="77777777" w:rsidR="000C0530" w:rsidRPr="008671BB" w:rsidRDefault="000C0530">
      <w:pPr>
        <w:pStyle w:val="BodyText"/>
        <w:ind w:left="1080"/>
        <w:rPr>
          <w:rFonts w:ascii="Yu Mincho" w:eastAsia="Yu Mincho" w:hAnsi="Yu Mincho" w:cs="Yu Mincho"/>
          <w:lang w:eastAsia="ja-JP"/>
        </w:rPr>
      </w:pPr>
      <w:r w:rsidRPr="008671BB">
        <w:rPr>
          <w:lang w:eastAsia="ja-JP"/>
        </w:rPr>
        <w:t xml:space="preserve">Supported by: Vivo, LGE, </w:t>
      </w:r>
    </w:p>
    <w:p w14:paraId="10A1C828" w14:textId="77777777" w:rsidR="000C0530" w:rsidRPr="008671BB" w:rsidRDefault="000C0530">
      <w:pPr>
        <w:pStyle w:val="BodyText"/>
        <w:ind w:left="1080"/>
        <w:rPr>
          <w:rFonts w:ascii="Yu Mincho" w:eastAsia="Yu Mincho" w:hAnsi="Yu Mincho" w:cs="Yu Mincho"/>
          <w:lang w:eastAsia="ja-JP"/>
        </w:rPr>
      </w:pPr>
      <w:r w:rsidRPr="008671BB">
        <w:rPr>
          <w:lang w:eastAsia="ja-JP"/>
        </w:rPr>
        <w:t xml:space="preserve">Objected by: Samsung, ZTE, Qualcomm, </w:t>
      </w:r>
    </w:p>
    <w:p w14:paraId="29886207" w14:textId="77777777" w:rsidR="000C0530" w:rsidRDefault="000C0530" w:rsidP="000C0530">
      <w:pPr>
        <w:pStyle w:val="BodyText"/>
        <w:ind w:left="1080"/>
        <w:rPr>
          <w:rFonts w:eastAsia="Yu Mincho"/>
          <w:lang w:eastAsia="ja-JP"/>
        </w:rPr>
      </w:pPr>
    </w:p>
    <w:p w14:paraId="7025628F" w14:textId="77777777" w:rsidR="000C0530" w:rsidRPr="008671BB" w:rsidRDefault="000C0530">
      <w:pPr>
        <w:pStyle w:val="BodyText"/>
        <w:ind w:left="1080"/>
        <w:rPr>
          <w:rFonts w:ascii="Yu Mincho" w:eastAsia="Yu Mincho" w:hAnsi="Yu Mincho" w:cs="Yu Mincho"/>
          <w:lang w:eastAsia="ja-JP"/>
        </w:rPr>
      </w:pPr>
      <w:r w:rsidRPr="008671BB">
        <w:rPr>
          <w:lang w:eastAsia="ja-JP"/>
        </w:rPr>
        <w:t>According to the RAN2 LS, the new CORESET#0 signalling does not contain TCI state configuration. Therefore, if we go with Alt.1 or Alt.1’, RRC signalling should be designed such that TCI state configuration for CORESET #0 is available.</w:t>
      </w:r>
    </w:p>
    <w:p w14:paraId="6542F4BE" w14:textId="77777777" w:rsidR="000C0530" w:rsidRPr="00850A6D" w:rsidRDefault="000C0530" w:rsidP="000C0530">
      <w:pPr>
        <w:pStyle w:val="BodyText"/>
        <w:ind w:left="1080"/>
        <w:rPr>
          <w:rFonts w:eastAsia="Yu Mincho"/>
          <w:lang w:eastAsia="ja-JP"/>
        </w:rPr>
      </w:pPr>
    </w:p>
    <w:p w14:paraId="54B41356" w14:textId="77777777" w:rsidR="000C0530" w:rsidRDefault="000C0530" w:rsidP="000C0530">
      <w:pPr>
        <w:pStyle w:val="BodyText"/>
        <w:ind w:left="1080"/>
      </w:pPr>
      <w:r w:rsidRPr="008671BB">
        <w:rPr>
          <w:b/>
          <w:bCs/>
        </w:rPr>
        <w:t>Alt-2</w:t>
      </w:r>
      <w:r>
        <w:t>:</w:t>
      </w:r>
    </w:p>
    <w:p w14:paraId="1B569CD1" w14:textId="77777777" w:rsidR="000C0530" w:rsidRDefault="000C0530" w:rsidP="000C0530">
      <w:pPr>
        <w:pStyle w:val="BodyText"/>
        <w:ind w:left="1080"/>
      </w:pPr>
      <w:r>
        <w:t>CORESET #0 is not RRC configured with TCI states.</w:t>
      </w:r>
    </w:p>
    <w:p w14:paraId="64CAB7D8" w14:textId="77777777" w:rsidR="000C0530" w:rsidRDefault="000C0530" w:rsidP="000C0530">
      <w:pPr>
        <w:pStyle w:val="BodyText"/>
        <w:ind w:left="1080"/>
      </w:pPr>
      <w:r>
        <w:t>According to the agreement above, the selected SSB is used as the QCL reference for reception of both broadcast and unicast PDCCH transmitted in CORESET #0.</w:t>
      </w:r>
    </w:p>
    <w:p w14:paraId="4FFBC2F8" w14:textId="77777777" w:rsidR="000C0530" w:rsidRDefault="000C0530" w:rsidP="000C0530">
      <w:pPr>
        <w:pStyle w:val="BodyText"/>
        <w:ind w:left="1080"/>
      </w:pPr>
      <w:r>
        <w:lastRenderedPageBreak/>
        <w:t>The selected SSB is indicated explicitly to the UE by MAC-CE signalling. The MAC-CE message contains the ID of the selected SSB. The selected SSB is the most recent one between MAC-CE and SSB selected as part of CBRA or CFRA.</w:t>
      </w:r>
    </w:p>
    <w:p w14:paraId="08737458" w14:textId="77777777" w:rsidR="000C0530" w:rsidRPr="008671BB" w:rsidRDefault="000C0530">
      <w:pPr>
        <w:pStyle w:val="BodyText"/>
        <w:ind w:left="1080"/>
        <w:rPr>
          <w:rFonts w:ascii="Yu Mincho" w:eastAsia="Yu Mincho" w:hAnsi="Yu Mincho" w:cs="Yu Mincho"/>
          <w:lang w:eastAsia="ja-JP"/>
        </w:rPr>
      </w:pPr>
      <w:r w:rsidRPr="008671BB">
        <w:rPr>
          <w:lang w:eastAsia="ja-JP"/>
        </w:rPr>
        <w:t xml:space="preserve">Pros: No RRC signalling is needed. </w:t>
      </w:r>
    </w:p>
    <w:p w14:paraId="50431C0D" w14:textId="77777777" w:rsidR="000C0530" w:rsidRDefault="000C0530" w:rsidP="000C0530">
      <w:pPr>
        <w:pStyle w:val="BodyText"/>
        <w:ind w:left="1080"/>
      </w:pPr>
      <w:r>
        <w:t>Cons: Need MAC-CE signalling design (new MAC-CE message or modification of existing MAC-CE message). Configuration limitation on TCI state pool for CORESET#0 to schedule unicast PDSCH using fallback DCI due to lack of TRS. [TCI field in DCI format 1_1 is per CORESET configuration; if no RRC configuration is available, PDSCH scheduled by DCI format 1_1 in a search space associated with the CORESET #0 always use the selected SSB.]</w:t>
      </w:r>
    </w:p>
    <w:p w14:paraId="3997EE86" w14:textId="77777777" w:rsidR="000C0530" w:rsidRPr="008671BB" w:rsidRDefault="000C0530">
      <w:pPr>
        <w:pStyle w:val="BodyText"/>
        <w:ind w:left="1080"/>
        <w:rPr>
          <w:rFonts w:ascii="Yu Mincho" w:eastAsia="Yu Mincho" w:hAnsi="Yu Mincho" w:cs="Yu Mincho"/>
          <w:lang w:eastAsia="ja-JP"/>
        </w:rPr>
      </w:pPr>
      <w:r w:rsidRPr="008671BB">
        <w:rPr>
          <w:lang w:eastAsia="ja-JP"/>
        </w:rPr>
        <w:t>Supported by: CMCC, Samsung, Qualcomm</w:t>
      </w:r>
      <w:r w:rsidRPr="008671BB">
        <w:rPr>
          <w:rFonts w:ascii="Yu Mincho" w:eastAsia="Yu Mincho" w:hAnsi="Yu Mincho" w:cs="Yu Mincho"/>
          <w:lang w:eastAsia="ja-JP"/>
        </w:rPr>
        <w:t xml:space="preserve">, </w:t>
      </w:r>
    </w:p>
    <w:p w14:paraId="14A64F51" w14:textId="77777777" w:rsidR="000C0530" w:rsidRPr="008671BB" w:rsidRDefault="000C0530">
      <w:pPr>
        <w:pStyle w:val="BodyText"/>
        <w:ind w:left="1080"/>
        <w:rPr>
          <w:rFonts w:ascii="Yu Mincho" w:eastAsia="Yu Mincho" w:hAnsi="Yu Mincho" w:cs="Yu Mincho"/>
          <w:lang w:eastAsia="ja-JP"/>
        </w:rPr>
      </w:pPr>
      <w:r w:rsidRPr="008671BB">
        <w:rPr>
          <w:lang w:eastAsia="ja-JP"/>
        </w:rPr>
        <w:t xml:space="preserve">Objected: Ericsson, vivo, </w:t>
      </w:r>
    </w:p>
    <w:p w14:paraId="4B3D9896" w14:textId="77777777" w:rsidR="000C0530" w:rsidRPr="00850A6D" w:rsidRDefault="000C0530" w:rsidP="000C0530">
      <w:pPr>
        <w:pStyle w:val="BodyText"/>
        <w:ind w:left="1080"/>
        <w:rPr>
          <w:rFonts w:eastAsia="Yu Mincho"/>
          <w:lang w:eastAsia="ja-JP"/>
        </w:rPr>
      </w:pPr>
    </w:p>
    <w:p w14:paraId="15139B3F" w14:textId="77777777" w:rsidR="000C0530" w:rsidRDefault="000C0530" w:rsidP="000C0530">
      <w:pPr>
        <w:pStyle w:val="BodyText"/>
        <w:ind w:left="1080"/>
      </w:pPr>
      <w:r w:rsidRPr="008671BB">
        <w:rPr>
          <w:b/>
          <w:bCs/>
        </w:rPr>
        <w:t>Alt-3</w:t>
      </w:r>
      <w:r>
        <w:t>:</w:t>
      </w:r>
    </w:p>
    <w:p w14:paraId="2C3770D1" w14:textId="77777777" w:rsidR="000C0530" w:rsidRDefault="000C0530" w:rsidP="000C0530">
      <w:pPr>
        <w:pStyle w:val="BodyText"/>
        <w:ind w:left="1080"/>
      </w:pPr>
      <w:r>
        <w:t>Any search space associated with the CORESET #0 cannot be used for unicast PDCCH with QCL Type D after RRC connection is established.</w:t>
      </w:r>
    </w:p>
    <w:p w14:paraId="65EFCCDA" w14:textId="77777777" w:rsidR="000C0530" w:rsidRPr="008671BB" w:rsidRDefault="000C0530">
      <w:pPr>
        <w:pStyle w:val="BodyText"/>
        <w:ind w:left="1080"/>
        <w:rPr>
          <w:rFonts w:ascii="Yu Mincho" w:eastAsia="Yu Mincho" w:hAnsi="Yu Mincho" w:cs="Yu Mincho"/>
          <w:lang w:eastAsia="ja-JP"/>
        </w:rPr>
      </w:pPr>
      <w:r w:rsidRPr="008671BB">
        <w:rPr>
          <w:lang w:eastAsia="ja-JP"/>
        </w:rPr>
        <w:t>Pros: Resolve the issue without RRC/MAC impact.</w:t>
      </w:r>
    </w:p>
    <w:p w14:paraId="3B92B99D" w14:textId="77777777" w:rsidR="000C0530" w:rsidRPr="008671BB" w:rsidRDefault="000C0530">
      <w:pPr>
        <w:pStyle w:val="BodyText"/>
        <w:ind w:left="1080"/>
        <w:rPr>
          <w:rFonts w:ascii="Yu Mincho" w:eastAsia="Yu Mincho" w:hAnsi="Yu Mincho" w:cs="Yu Mincho"/>
          <w:lang w:eastAsia="ja-JP"/>
        </w:rPr>
      </w:pPr>
      <w:r w:rsidRPr="008671BB">
        <w:rPr>
          <w:lang w:eastAsia="ja-JP"/>
        </w:rPr>
        <w:t>Cons: Need to supersede the previous agreement. Lack of the number of CORESETs.</w:t>
      </w:r>
      <w:r w:rsidRPr="00757031">
        <w:t xml:space="preserve"> </w:t>
      </w:r>
      <w:r>
        <w:t>[TCI field in DCI format 1_1 is per CORESET configuration; if no RRC configuration is available, PDSCH scheduled by DCI format 1_1 in a search space associated with the CORESET #0 always use the selected SSB.]</w:t>
      </w:r>
    </w:p>
    <w:p w14:paraId="06E77D87" w14:textId="77777777" w:rsidR="000C0530" w:rsidRPr="008671BB" w:rsidRDefault="000C0530">
      <w:pPr>
        <w:pStyle w:val="BodyText"/>
        <w:ind w:left="1080"/>
        <w:rPr>
          <w:rFonts w:ascii="Yu Mincho" w:eastAsia="Yu Mincho" w:hAnsi="Yu Mincho" w:cs="Yu Mincho"/>
          <w:lang w:eastAsia="ja-JP"/>
        </w:rPr>
      </w:pPr>
      <w:r w:rsidRPr="008671BB">
        <w:rPr>
          <w:lang w:eastAsia="ja-JP"/>
        </w:rPr>
        <w:t xml:space="preserve">Supported by: Vivo, Nokia, NSB, Intel, CMCC, </w:t>
      </w:r>
    </w:p>
    <w:p w14:paraId="79C74E13" w14:textId="77777777" w:rsidR="000C0530" w:rsidRPr="008671BB" w:rsidRDefault="000C0530">
      <w:pPr>
        <w:pStyle w:val="BodyText"/>
        <w:ind w:left="1080"/>
        <w:rPr>
          <w:rFonts w:ascii="Yu Mincho" w:eastAsia="Yu Mincho" w:hAnsi="Yu Mincho" w:cs="Yu Mincho"/>
          <w:lang w:eastAsia="ja-JP"/>
        </w:rPr>
      </w:pPr>
      <w:r w:rsidRPr="008671BB">
        <w:rPr>
          <w:lang w:eastAsia="ja-JP"/>
        </w:rPr>
        <w:t xml:space="preserve">Objected by: LGE, Samsung, Qualcomm, ZTE, </w:t>
      </w:r>
    </w:p>
    <w:p w14:paraId="6E0B2B48" w14:textId="77777777" w:rsidR="000C0530" w:rsidRPr="00850A6D" w:rsidRDefault="000C0530" w:rsidP="000C0530">
      <w:pPr>
        <w:pStyle w:val="BodyText"/>
        <w:ind w:left="1080"/>
        <w:rPr>
          <w:rFonts w:eastAsia="Yu Mincho"/>
          <w:lang w:eastAsia="ja-JP"/>
        </w:rPr>
      </w:pPr>
    </w:p>
    <w:p w14:paraId="3D885714" w14:textId="77777777" w:rsidR="000C0530" w:rsidRDefault="000C0530" w:rsidP="000C0530">
      <w:pPr>
        <w:pStyle w:val="BodyText"/>
        <w:ind w:left="1080"/>
      </w:pPr>
      <w:r w:rsidRPr="008671BB">
        <w:rPr>
          <w:b/>
          <w:bCs/>
        </w:rPr>
        <w:t>Alt-3’</w:t>
      </w:r>
      <w:r>
        <w:t>:</w:t>
      </w:r>
    </w:p>
    <w:p w14:paraId="32815FBA" w14:textId="77777777" w:rsidR="000C0530" w:rsidRDefault="000C0530" w:rsidP="000C0530">
      <w:pPr>
        <w:pStyle w:val="BodyText"/>
        <w:ind w:left="1080"/>
      </w:pPr>
      <w:r>
        <w:t>Any search space associated with the CORESET #0 cannot be used for unicast PDCCH with QCL Type D after RRC connection is established.</w:t>
      </w:r>
      <w:r w:rsidRPr="008671BB">
        <w:rPr>
          <w:rFonts w:ascii="Yu Mincho" w:eastAsia="Yu Mincho" w:hAnsi="Yu Mincho" w:cs="Yu Mincho"/>
          <w:lang w:eastAsia="ja-JP"/>
        </w:rPr>
        <w:t xml:space="preserve"> </w:t>
      </w:r>
      <w:r>
        <w:t>Align 6 PRB grid b/w CORESET #0 and other CORESETs. CORESET other than #0 can be configured for unicast PDCCH so that same physical resource configuration with the CORESET #0 with dedicated TCI-state configuration. In this case, no need to configure TCI state on CORESET #0 itself.</w:t>
      </w:r>
    </w:p>
    <w:p w14:paraId="284224A9" w14:textId="77777777" w:rsidR="000C0530" w:rsidRPr="008671BB" w:rsidRDefault="000C0530">
      <w:pPr>
        <w:pStyle w:val="BodyText"/>
        <w:ind w:left="1080"/>
        <w:rPr>
          <w:rFonts w:ascii="Yu Mincho" w:eastAsia="Yu Mincho" w:hAnsi="Yu Mincho" w:cs="Yu Mincho"/>
          <w:lang w:eastAsia="ja-JP"/>
        </w:rPr>
      </w:pPr>
      <w:r w:rsidRPr="008671BB">
        <w:rPr>
          <w:lang w:eastAsia="ja-JP"/>
        </w:rPr>
        <w:t>Pros: Resolve the issue without RRC/MAC impact.</w:t>
      </w:r>
    </w:p>
    <w:p w14:paraId="0C8522D1" w14:textId="77777777" w:rsidR="000C0530" w:rsidRPr="008671BB" w:rsidRDefault="000C0530">
      <w:pPr>
        <w:pStyle w:val="BodyText"/>
        <w:ind w:left="1080"/>
        <w:rPr>
          <w:rFonts w:ascii="Yu Mincho" w:eastAsia="Yu Mincho" w:hAnsi="Yu Mincho" w:cs="Yu Mincho"/>
          <w:lang w:eastAsia="ja-JP"/>
        </w:rPr>
      </w:pPr>
      <w:r w:rsidRPr="008671BB">
        <w:rPr>
          <w:lang w:eastAsia="ja-JP"/>
        </w:rPr>
        <w:t xml:space="preserve">Cons: [Complete alignment b/w CORESET#0 and dedicated CORESETs is impossible taking into account multiple SSBs over the frequency.] Need to address UE behaviour for the case of overlap of monitoring occasion for broadcast PDCCH and for unicast PDCCH associated to the CORESET #0 at one time. </w:t>
      </w:r>
      <w:r>
        <w:t>[TCI field in DCI format 1_1 is per CORESET configuration; if no RRC configuration is available, PDSCH scheduled by DCI format 1_1 in a search space associated with the CORESET #0 always use the selected SSB.]</w:t>
      </w:r>
    </w:p>
    <w:p w14:paraId="6A9560F9" w14:textId="77777777" w:rsidR="000C0530" w:rsidRPr="008671BB" w:rsidRDefault="000C0530">
      <w:pPr>
        <w:pStyle w:val="BodyText"/>
        <w:ind w:left="1080"/>
        <w:rPr>
          <w:rFonts w:ascii="Yu Mincho" w:eastAsia="Yu Mincho" w:hAnsi="Yu Mincho" w:cs="Yu Mincho"/>
          <w:lang w:eastAsia="ja-JP"/>
        </w:rPr>
      </w:pPr>
      <w:r w:rsidRPr="008671BB">
        <w:rPr>
          <w:lang w:eastAsia="ja-JP"/>
        </w:rPr>
        <w:t xml:space="preserve">Supported by: Nokia, NSB, </w:t>
      </w:r>
    </w:p>
    <w:p w14:paraId="7FB6215F" w14:textId="77777777" w:rsidR="000C0530" w:rsidRPr="008671BB" w:rsidRDefault="000C0530">
      <w:pPr>
        <w:pStyle w:val="BodyText"/>
        <w:ind w:left="1080"/>
        <w:rPr>
          <w:rFonts w:ascii="Yu Mincho" w:eastAsia="Yu Mincho" w:hAnsi="Yu Mincho" w:cs="Yu Mincho"/>
          <w:lang w:eastAsia="ja-JP"/>
        </w:rPr>
      </w:pPr>
      <w:r w:rsidRPr="008671BB">
        <w:rPr>
          <w:lang w:eastAsia="ja-JP"/>
        </w:rPr>
        <w:t>Objected by: Qualcomm, LGE, Samsung,</w:t>
      </w:r>
    </w:p>
    <w:p w14:paraId="092B2F74" w14:textId="77777777" w:rsidR="000C0530" w:rsidRPr="004E0240" w:rsidRDefault="000C0530" w:rsidP="000C0530">
      <w:pPr>
        <w:pStyle w:val="BodyText"/>
        <w:ind w:left="1080"/>
        <w:rPr>
          <w:rFonts w:eastAsia="Yu Mincho"/>
          <w:lang w:eastAsia="ja-JP"/>
        </w:rPr>
      </w:pPr>
    </w:p>
    <w:p w14:paraId="58C82505" w14:textId="77777777" w:rsidR="000C0530" w:rsidRPr="008671BB" w:rsidRDefault="000C0530">
      <w:pPr>
        <w:pStyle w:val="BodyText"/>
        <w:ind w:left="1080"/>
        <w:rPr>
          <w:rFonts w:ascii="Yu Mincho" w:eastAsia="Yu Mincho" w:hAnsi="Yu Mincho" w:cs="Yu Mincho"/>
          <w:lang w:eastAsia="ja-JP"/>
        </w:rPr>
      </w:pPr>
      <w:r w:rsidRPr="008671BB">
        <w:rPr>
          <w:lang w:eastAsia="ja-JP"/>
        </w:rPr>
        <w:t>Note:</w:t>
      </w:r>
    </w:p>
    <w:p w14:paraId="11410D48" w14:textId="77777777" w:rsidR="000C0530" w:rsidRDefault="000C0530" w:rsidP="0050658D">
      <w:pPr>
        <w:pStyle w:val="BodyText"/>
        <w:numPr>
          <w:ilvl w:val="0"/>
          <w:numId w:val="3"/>
        </w:numPr>
        <w:jc w:val="both"/>
      </w:pPr>
      <w:r w:rsidRPr="008671BB">
        <w:rPr>
          <w:lang w:eastAsia="ja-JP"/>
        </w:rPr>
        <w:t xml:space="preserve">Regardless of alternatives, </w:t>
      </w:r>
      <w:r>
        <w:t>for CFRA, RACH-ConfigDedicated configures one or more of SSB(s) or CSI-RS(s) to configure PRACH preamble/resource, then the selected SSB/CSI-RS will be the QCL reference for the new CORESET #0 after the CFRA.</w:t>
      </w:r>
    </w:p>
    <w:p w14:paraId="07A73C2E" w14:textId="77777777" w:rsidR="000C0530" w:rsidRPr="008671BB" w:rsidRDefault="000C0530">
      <w:pPr>
        <w:pStyle w:val="BodyText"/>
        <w:numPr>
          <w:ilvl w:val="0"/>
          <w:numId w:val="3"/>
        </w:numPr>
        <w:jc w:val="both"/>
        <w:rPr>
          <w:rFonts w:ascii="Yu Mincho" w:eastAsia="Yu Mincho" w:hAnsi="Yu Mincho" w:cs="Yu Mincho"/>
          <w:lang w:eastAsia="ja-JP"/>
        </w:rPr>
      </w:pPr>
      <w:r w:rsidRPr="008671BB">
        <w:rPr>
          <w:lang w:eastAsia="ja-JP"/>
        </w:rPr>
        <w:t>Regardless of alternatives, the SSB is selected by the UE for CORESET#0 after the CBRA.</w:t>
      </w:r>
    </w:p>
    <w:p w14:paraId="6BD77084" w14:textId="77777777" w:rsidR="000C0530" w:rsidRDefault="000C0530" w:rsidP="00BA675D">
      <w:pPr>
        <w:ind w:left="357"/>
        <w:rPr>
          <w:sz w:val="18"/>
        </w:rPr>
      </w:pPr>
    </w:p>
    <w:sectPr w:rsidR="000C0530" w:rsidSect="008671B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ECE1E" w14:textId="77777777" w:rsidR="0058771D" w:rsidRDefault="0058771D">
      <w:r>
        <w:separator/>
      </w:r>
    </w:p>
  </w:endnote>
  <w:endnote w:type="continuationSeparator" w:id="0">
    <w:p w14:paraId="1471EAF2" w14:textId="77777777" w:rsidR="0058771D" w:rsidRDefault="0058771D">
      <w:r>
        <w:continuationSeparator/>
      </w:r>
    </w:p>
  </w:endnote>
  <w:endnote w:type="continuationNotice" w:id="1">
    <w:p w14:paraId="7EF0156B" w14:textId="77777777" w:rsidR="0058771D" w:rsidRDefault="005877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imes,Batang">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0CA39" w14:textId="77777777" w:rsidR="0058771D" w:rsidRDefault="0058771D">
      <w:r>
        <w:separator/>
      </w:r>
    </w:p>
  </w:footnote>
  <w:footnote w:type="continuationSeparator" w:id="0">
    <w:p w14:paraId="17D015CE" w14:textId="77777777" w:rsidR="0058771D" w:rsidRDefault="0058771D">
      <w:r>
        <w:continuationSeparator/>
      </w:r>
    </w:p>
  </w:footnote>
  <w:footnote w:type="continuationNotice" w:id="1">
    <w:p w14:paraId="713D75EB" w14:textId="77777777" w:rsidR="0058771D" w:rsidRDefault="005877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E7868"/>
    <w:multiLevelType w:val="hybridMultilevel"/>
    <w:tmpl w:val="08FCF034"/>
    <w:lvl w:ilvl="0" w:tplc="93884102">
      <w:start w:val="1"/>
      <w:numFmt w:val="bullet"/>
      <w:lvlText w:val="•"/>
      <w:lvlJc w:val="left"/>
      <w:pPr>
        <w:tabs>
          <w:tab w:val="num" w:pos="720"/>
        </w:tabs>
        <w:ind w:left="720" w:hanging="360"/>
      </w:pPr>
      <w:rPr>
        <w:rFonts w:ascii="Arial" w:hAnsi="Arial" w:hint="default"/>
      </w:rPr>
    </w:lvl>
    <w:lvl w:ilvl="1" w:tplc="5A668750">
      <w:numFmt w:val="bullet"/>
      <w:lvlText w:val="•"/>
      <w:lvlJc w:val="left"/>
      <w:pPr>
        <w:tabs>
          <w:tab w:val="num" w:pos="1440"/>
        </w:tabs>
        <w:ind w:left="1440" w:hanging="360"/>
      </w:pPr>
      <w:rPr>
        <w:rFonts w:ascii="Arial" w:hAnsi="Arial" w:hint="default"/>
      </w:rPr>
    </w:lvl>
    <w:lvl w:ilvl="2" w:tplc="8BDCED5C">
      <w:numFmt w:val="bullet"/>
      <w:lvlText w:val="•"/>
      <w:lvlJc w:val="left"/>
      <w:pPr>
        <w:tabs>
          <w:tab w:val="num" w:pos="2160"/>
        </w:tabs>
        <w:ind w:left="2160" w:hanging="360"/>
      </w:pPr>
      <w:rPr>
        <w:rFonts w:ascii="Arial" w:hAnsi="Arial" w:hint="default"/>
      </w:rPr>
    </w:lvl>
    <w:lvl w:ilvl="3" w:tplc="668CA1A0">
      <w:numFmt w:val="bullet"/>
      <w:lvlText w:val="•"/>
      <w:lvlJc w:val="left"/>
      <w:pPr>
        <w:tabs>
          <w:tab w:val="num" w:pos="2880"/>
        </w:tabs>
        <w:ind w:left="2880" w:hanging="360"/>
      </w:pPr>
      <w:rPr>
        <w:rFonts w:ascii="Arial" w:hAnsi="Arial" w:hint="default"/>
      </w:rPr>
    </w:lvl>
    <w:lvl w:ilvl="4" w:tplc="20944AAE" w:tentative="1">
      <w:start w:val="1"/>
      <w:numFmt w:val="bullet"/>
      <w:lvlText w:val="•"/>
      <w:lvlJc w:val="left"/>
      <w:pPr>
        <w:tabs>
          <w:tab w:val="num" w:pos="3600"/>
        </w:tabs>
        <w:ind w:left="3600" w:hanging="360"/>
      </w:pPr>
      <w:rPr>
        <w:rFonts w:ascii="Arial" w:hAnsi="Arial" w:hint="default"/>
      </w:rPr>
    </w:lvl>
    <w:lvl w:ilvl="5" w:tplc="6A861AFA" w:tentative="1">
      <w:start w:val="1"/>
      <w:numFmt w:val="bullet"/>
      <w:lvlText w:val="•"/>
      <w:lvlJc w:val="left"/>
      <w:pPr>
        <w:tabs>
          <w:tab w:val="num" w:pos="4320"/>
        </w:tabs>
        <w:ind w:left="4320" w:hanging="360"/>
      </w:pPr>
      <w:rPr>
        <w:rFonts w:ascii="Arial" w:hAnsi="Arial" w:hint="default"/>
      </w:rPr>
    </w:lvl>
    <w:lvl w:ilvl="6" w:tplc="54ACC6E6" w:tentative="1">
      <w:start w:val="1"/>
      <w:numFmt w:val="bullet"/>
      <w:lvlText w:val="•"/>
      <w:lvlJc w:val="left"/>
      <w:pPr>
        <w:tabs>
          <w:tab w:val="num" w:pos="5040"/>
        </w:tabs>
        <w:ind w:left="5040" w:hanging="360"/>
      </w:pPr>
      <w:rPr>
        <w:rFonts w:ascii="Arial" w:hAnsi="Arial" w:hint="default"/>
      </w:rPr>
    </w:lvl>
    <w:lvl w:ilvl="7" w:tplc="D9AAD258" w:tentative="1">
      <w:start w:val="1"/>
      <w:numFmt w:val="bullet"/>
      <w:lvlText w:val="•"/>
      <w:lvlJc w:val="left"/>
      <w:pPr>
        <w:tabs>
          <w:tab w:val="num" w:pos="5760"/>
        </w:tabs>
        <w:ind w:left="5760" w:hanging="360"/>
      </w:pPr>
      <w:rPr>
        <w:rFonts w:ascii="Arial" w:hAnsi="Arial" w:hint="default"/>
      </w:rPr>
    </w:lvl>
    <w:lvl w:ilvl="8" w:tplc="FE4EC0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737160"/>
    <w:multiLevelType w:val="hybridMultilevel"/>
    <w:tmpl w:val="86D29D36"/>
    <w:lvl w:ilvl="0" w:tplc="879C0F76">
      <w:start w:val="1"/>
      <w:numFmt w:val="bullet"/>
      <w:lvlText w:val="o"/>
      <w:lvlJc w:val="left"/>
      <w:pPr>
        <w:tabs>
          <w:tab w:val="num" w:pos="720"/>
        </w:tabs>
        <w:ind w:left="720" w:hanging="360"/>
      </w:pPr>
      <w:rPr>
        <w:rFonts w:ascii="Courier New" w:hAnsi="Courier New" w:hint="default"/>
      </w:rPr>
    </w:lvl>
    <w:lvl w:ilvl="1" w:tplc="A40AA40C" w:tentative="1">
      <w:start w:val="1"/>
      <w:numFmt w:val="bullet"/>
      <w:lvlText w:val="o"/>
      <w:lvlJc w:val="left"/>
      <w:pPr>
        <w:tabs>
          <w:tab w:val="num" w:pos="1440"/>
        </w:tabs>
        <w:ind w:left="1440" w:hanging="360"/>
      </w:pPr>
      <w:rPr>
        <w:rFonts w:ascii="Courier New" w:hAnsi="Courier New" w:hint="default"/>
      </w:rPr>
    </w:lvl>
    <w:lvl w:ilvl="2" w:tplc="04EAEAD8" w:tentative="1">
      <w:start w:val="1"/>
      <w:numFmt w:val="bullet"/>
      <w:lvlText w:val="o"/>
      <w:lvlJc w:val="left"/>
      <w:pPr>
        <w:tabs>
          <w:tab w:val="num" w:pos="2160"/>
        </w:tabs>
        <w:ind w:left="2160" w:hanging="360"/>
      </w:pPr>
      <w:rPr>
        <w:rFonts w:ascii="Courier New" w:hAnsi="Courier New" w:hint="default"/>
      </w:rPr>
    </w:lvl>
    <w:lvl w:ilvl="3" w:tplc="E6841100" w:tentative="1">
      <w:start w:val="1"/>
      <w:numFmt w:val="bullet"/>
      <w:lvlText w:val="o"/>
      <w:lvlJc w:val="left"/>
      <w:pPr>
        <w:tabs>
          <w:tab w:val="num" w:pos="2880"/>
        </w:tabs>
        <w:ind w:left="2880" w:hanging="360"/>
      </w:pPr>
      <w:rPr>
        <w:rFonts w:ascii="Courier New" w:hAnsi="Courier New" w:hint="default"/>
      </w:rPr>
    </w:lvl>
    <w:lvl w:ilvl="4" w:tplc="AE10519A" w:tentative="1">
      <w:start w:val="1"/>
      <w:numFmt w:val="bullet"/>
      <w:lvlText w:val="o"/>
      <w:lvlJc w:val="left"/>
      <w:pPr>
        <w:tabs>
          <w:tab w:val="num" w:pos="3600"/>
        </w:tabs>
        <w:ind w:left="3600" w:hanging="360"/>
      </w:pPr>
      <w:rPr>
        <w:rFonts w:ascii="Courier New" w:hAnsi="Courier New" w:hint="default"/>
      </w:rPr>
    </w:lvl>
    <w:lvl w:ilvl="5" w:tplc="1BF4D324" w:tentative="1">
      <w:start w:val="1"/>
      <w:numFmt w:val="bullet"/>
      <w:lvlText w:val="o"/>
      <w:lvlJc w:val="left"/>
      <w:pPr>
        <w:tabs>
          <w:tab w:val="num" w:pos="4320"/>
        </w:tabs>
        <w:ind w:left="4320" w:hanging="360"/>
      </w:pPr>
      <w:rPr>
        <w:rFonts w:ascii="Courier New" w:hAnsi="Courier New" w:hint="default"/>
      </w:rPr>
    </w:lvl>
    <w:lvl w:ilvl="6" w:tplc="B740A8C8" w:tentative="1">
      <w:start w:val="1"/>
      <w:numFmt w:val="bullet"/>
      <w:lvlText w:val="o"/>
      <w:lvlJc w:val="left"/>
      <w:pPr>
        <w:tabs>
          <w:tab w:val="num" w:pos="5040"/>
        </w:tabs>
        <w:ind w:left="5040" w:hanging="360"/>
      </w:pPr>
      <w:rPr>
        <w:rFonts w:ascii="Courier New" w:hAnsi="Courier New" w:hint="default"/>
      </w:rPr>
    </w:lvl>
    <w:lvl w:ilvl="7" w:tplc="A272671E" w:tentative="1">
      <w:start w:val="1"/>
      <w:numFmt w:val="bullet"/>
      <w:lvlText w:val="o"/>
      <w:lvlJc w:val="left"/>
      <w:pPr>
        <w:tabs>
          <w:tab w:val="num" w:pos="5760"/>
        </w:tabs>
        <w:ind w:left="5760" w:hanging="360"/>
      </w:pPr>
      <w:rPr>
        <w:rFonts w:ascii="Courier New" w:hAnsi="Courier New" w:hint="default"/>
      </w:rPr>
    </w:lvl>
    <w:lvl w:ilvl="8" w:tplc="5AE437C8"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126B343D"/>
    <w:multiLevelType w:val="hybridMultilevel"/>
    <w:tmpl w:val="7E04DCBA"/>
    <w:lvl w:ilvl="0" w:tplc="4ADE7B5A">
      <w:start w:val="1"/>
      <w:numFmt w:val="bullet"/>
      <w:lvlText w:val=""/>
      <w:lvlJc w:val="left"/>
      <w:pPr>
        <w:tabs>
          <w:tab w:val="num" w:pos="720"/>
        </w:tabs>
        <w:ind w:left="720" w:hanging="360"/>
      </w:pPr>
      <w:rPr>
        <w:rFonts w:ascii="Symbol" w:hAnsi="Symbol" w:hint="default"/>
      </w:rPr>
    </w:lvl>
    <w:lvl w:ilvl="1" w:tplc="AA9E057A">
      <w:numFmt w:val="bullet"/>
      <w:lvlText w:val=""/>
      <w:lvlJc w:val="left"/>
      <w:pPr>
        <w:tabs>
          <w:tab w:val="num" w:pos="1440"/>
        </w:tabs>
        <w:ind w:left="1440" w:hanging="360"/>
      </w:pPr>
      <w:rPr>
        <w:rFonts w:ascii="Symbol" w:hAnsi="Symbol" w:hint="default"/>
      </w:rPr>
    </w:lvl>
    <w:lvl w:ilvl="2" w:tplc="554A4B02">
      <w:numFmt w:val="bullet"/>
      <w:lvlText w:val=""/>
      <w:lvlJc w:val="left"/>
      <w:pPr>
        <w:tabs>
          <w:tab w:val="num" w:pos="2160"/>
        </w:tabs>
        <w:ind w:left="2160" w:hanging="360"/>
      </w:pPr>
      <w:rPr>
        <w:rFonts w:ascii="Wingdings" w:hAnsi="Wingdings" w:hint="default"/>
      </w:rPr>
    </w:lvl>
    <w:lvl w:ilvl="3" w:tplc="172C3938" w:tentative="1">
      <w:start w:val="1"/>
      <w:numFmt w:val="bullet"/>
      <w:lvlText w:val=""/>
      <w:lvlJc w:val="left"/>
      <w:pPr>
        <w:tabs>
          <w:tab w:val="num" w:pos="2880"/>
        </w:tabs>
        <w:ind w:left="2880" w:hanging="360"/>
      </w:pPr>
      <w:rPr>
        <w:rFonts w:ascii="Symbol" w:hAnsi="Symbol" w:hint="default"/>
      </w:rPr>
    </w:lvl>
    <w:lvl w:ilvl="4" w:tplc="60DE7AA0" w:tentative="1">
      <w:start w:val="1"/>
      <w:numFmt w:val="bullet"/>
      <w:lvlText w:val=""/>
      <w:lvlJc w:val="left"/>
      <w:pPr>
        <w:tabs>
          <w:tab w:val="num" w:pos="3600"/>
        </w:tabs>
        <w:ind w:left="3600" w:hanging="360"/>
      </w:pPr>
      <w:rPr>
        <w:rFonts w:ascii="Symbol" w:hAnsi="Symbol" w:hint="default"/>
      </w:rPr>
    </w:lvl>
    <w:lvl w:ilvl="5" w:tplc="EFA2AD38" w:tentative="1">
      <w:start w:val="1"/>
      <w:numFmt w:val="bullet"/>
      <w:lvlText w:val=""/>
      <w:lvlJc w:val="left"/>
      <w:pPr>
        <w:tabs>
          <w:tab w:val="num" w:pos="4320"/>
        </w:tabs>
        <w:ind w:left="4320" w:hanging="360"/>
      </w:pPr>
      <w:rPr>
        <w:rFonts w:ascii="Symbol" w:hAnsi="Symbol" w:hint="default"/>
      </w:rPr>
    </w:lvl>
    <w:lvl w:ilvl="6" w:tplc="BA828CC0" w:tentative="1">
      <w:start w:val="1"/>
      <w:numFmt w:val="bullet"/>
      <w:lvlText w:val=""/>
      <w:lvlJc w:val="left"/>
      <w:pPr>
        <w:tabs>
          <w:tab w:val="num" w:pos="5040"/>
        </w:tabs>
        <w:ind w:left="5040" w:hanging="360"/>
      </w:pPr>
      <w:rPr>
        <w:rFonts w:ascii="Symbol" w:hAnsi="Symbol" w:hint="default"/>
      </w:rPr>
    </w:lvl>
    <w:lvl w:ilvl="7" w:tplc="3C2CECB6" w:tentative="1">
      <w:start w:val="1"/>
      <w:numFmt w:val="bullet"/>
      <w:lvlText w:val=""/>
      <w:lvlJc w:val="left"/>
      <w:pPr>
        <w:tabs>
          <w:tab w:val="num" w:pos="5760"/>
        </w:tabs>
        <w:ind w:left="5760" w:hanging="360"/>
      </w:pPr>
      <w:rPr>
        <w:rFonts w:ascii="Symbol" w:hAnsi="Symbol" w:hint="default"/>
      </w:rPr>
    </w:lvl>
    <w:lvl w:ilvl="8" w:tplc="84CC139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6" w15:restartNumberingAfterBreak="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C944A1B"/>
    <w:multiLevelType w:val="hybridMultilevel"/>
    <w:tmpl w:val="85A0E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213D7B"/>
    <w:multiLevelType w:val="hybridMultilevel"/>
    <w:tmpl w:val="AFFE2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E77BB"/>
    <w:multiLevelType w:val="hybridMultilevel"/>
    <w:tmpl w:val="403A4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86156"/>
    <w:multiLevelType w:val="hybridMultilevel"/>
    <w:tmpl w:val="E5081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1B3D76"/>
    <w:multiLevelType w:val="hybridMultilevel"/>
    <w:tmpl w:val="4C90A44A"/>
    <w:lvl w:ilvl="0" w:tplc="04090001">
      <w:start w:val="1"/>
      <w:numFmt w:val="bullet"/>
      <w:lvlText w:val=""/>
      <w:lvlJc w:val="left"/>
      <w:pPr>
        <w:ind w:left="1500" w:hanging="420"/>
      </w:pPr>
      <w:rPr>
        <w:rFonts w:ascii="Wingdings" w:hAnsi="Wingdings" w:hint="default"/>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3" w15:restartNumberingAfterBreak="0">
    <w:nsid w:val="4BDE4B20"/>
    <w:multiLevelType w:val="hybridMultilevel"/>
    <w:tmpl w:val="0B7E5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754148"/>
    <w:multiLevelType w:val="multilevel"/>
    <w:tmpl w:val="93665D9C"/>
    <w:lvl w:ilvl="0">
      <w:start w:val="1"/>
      <w:numFmt w:val="decimal"/>
      <w:pStyle w:val="Heading1"/>
      <w:lvlText w:val="%1"/>
      <w:lvlJc w:val="left"/>
      <w:pPr>
        <w:ind w:left="5961"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621D38D5"/>
    <w:multiLevelType w:val="hybridMultilevel"/>
    <w:tmpl w:val="1FB8170E"/>
    <w:lvl w:ilvl="0" w:tplc="D004CAAE">
      <w:start w:val="1"/>
      <w:numFmt w:val="bullet"/>
      <w:lvlText w:val="•"/>
      <w:lvlJc w:val="left"/>
      <w:pPr>
        <w:tabs>
          <w:tab w:val="num" w:pos="720"/>
        </w:tabs>
        <w:ind w:left="720" w:hanging="360"/>
      </w:pPr>
      <w:rPr>
        <w:rFonts w:ascii="Arial" w:hAnsi="Arial" w:hint="default"/>
      </w:rPr>
    </w:lvl>
    <w:lvl w:ilvl="1" w:tplc="22E2AD82">
      <w:numFmt w:val="bullet"/>
      <w:lvlText w:val="•"/>
      <w:lvlJc w:val="left"/>
      <w:pPr>
        <w:tabs>
          <w:tab w:val="num" w:pos="1440"/>
        </w:tabs>
        <w:ind w:left="1440" w:hanging="360"/>
      </w:pPr>
      <w:rPr>
        <w:rFonts w:ascii="Arial" w:hAnsi="Arial" w:hint="default"/>
      </w:rPr>
    </w:lvl>
    <w:lvl w:ilvl="2" w:tplc="E6CCB95E" w:tentative="1">
      <w:start w:val="1"/>
      <w:numFmt w:val="bullet"/>
      <w:lvlText w:val="•"/>
      <w:lvlJc w:val="left"/>
      <w:pPr>
        <w:tabs>
          <w:tab w:val="num" w:pos="2160"/>
        </w:tabs>
        <w:ind w:left="2160" w:hanging="360"/>
      </w:pPr>
      <w:rPr>
        <w:rFonts w:ascii="Arial" w:hAnsi="Arial" w:hint="default"/>
      </w:rPr>
    </w:lvl>
    <w:lvl w:ilvl="3" w:tplc="FE08333A" w:tentative="1">
      <w:start w:val="1"/>
      <w:numFmt w:val="bullet"/>
      <w:lvlText w:val="•"/>
      <w:lvlJc w:val="left"/>
      <w:pPr>
        <w:tabs>
          <w:tab w:val="num" w:pos="2880"/>
        </w:tabs>
        <w:ind w:left="2880" w:hanging="360"/>
      </w:pPr>
      <w:rPr>
        <w:rFonts w:ascii="Arial" w:hAnsi="Arial" w:hint="default"/>
      </w:rPr>
    </w:lvl>
    <w:lvl w:ilvl="4" w:tplc="AAE0CCCA" w:tentative="1">
      <w:start w:val="1"/>
      <w:numFmt w:val="bullet"/>
      <w:lvlText w:val="•"/>
      <w:lvlJc w:val="left"/>
      <w:pPr>
        <w:tabs>
          <w:tab w:val="num" w:pos="3600"/>
        </w:tabs>
        <w:ind w:left="3600" w:hanging="360"/>
      </w:pPr>
      <w:rPr>
        <w:rFonts w:ascii="Arial" w:hAnsi="Arial" w:hint="default"/>
      </w:rPr>
    </w:lvl>
    <w:lvl w:ilvl="5" w:tplc="1360BB70" w:tentative="1">
      <w:start w:val="1"/>
      <w:numFmt w:val="bullet"/>
      <w:lvlText w:val="•"/>
      <w:lvlJc w:val="left"/>
      <w:pPr>
        <w:tabs>
          <w:tab w:val="num" w:pos="4320"/>
        </w:tabs>
        <w:ind w:left="4320" w:hanging="360"/>
      </w:pPr>
      <w:rPr>
        <w:rFonts w:ascii="Arial" w:hAnsi="Arial" w:hint="default"/>
      </w:rPr>
    </w:lvl>
    <w:lvl w:ilvl="6" w:tplc="6F8CD216" w:tentative="1">
      <w:start w:val="1"/>
      <w:numFmt w:val="bullet"/>
      <w:lvlText w:val="•"/>
      <w:lvlJc w:val="left"/>
      <w:pPr>
        <w:tabs>
          <w:tab w:val="num" w:pos="5040"/>
        </w:tabs>
        <w:ind w:left="5040" w:hanging="360"/>
      </w:pPr>
      <w:rPr>
        <w:rFonts w:ascii="Arial" w:hAnsi="Arial" w:hint="default"/>
      </w:rPr>
    </w:lvl>
    <w:lvl w:ilvl="7" w:tplc="561C00CA" w:tentative="1">
      <w:start w:val="1"/>
      <w:numFmt w:val="bullet"/>
      <w:lvlText w:val="•"/>
      <w:lvlJc w:val="left"/>
      <w:pPr>
        <w:tabs>
          <w:tab w:val="num" w:pos="5760"/>
        </w:tabs>
        <w:ind w:left="5760" w:hanging="360"/>
      </w:pPr>
      <w:rPr>
        <w:rFonts w:ascii="Arial" w:hAnsi="Arial" w:hint="default"/>
      </w:rPr>
    </w:lvl>
    <w:lvl w:ilvl="8" w:tplc="C004E1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FB67650"/>
    <w:multiLevelType w:val="hybridMultilevel"/>
    <w:tmpl w:val="58762B9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4"/>
  </w:num>
  <w:num w:numId="3">
    <w:abstractNumId w:val="12"/>
  </w:num>
  <w:num w:numId="4">
    <w:abstractNumId w:val="15"/>
  </w:num>
  <w:num w:numId="5">
    <w:abstractNumId w:val="11"/>
  </w:num>
  <w:num w:numId="6">
    <w:abstractNumId w:val="8"/>
  </w:num>
  <w:num w:numId="7">
    <w:abstractNumId w:val="13"/>
  </w:num>
  <w:num w:numId="8">
    <w:abstractNumId w:val="9"/>
  </w:num>
  <w:num w:numId="9">
    <w:abstractNumId w:val="10"/>
  </w:num>
  <w:num w:numId="10">
    <w:abstractNumId w:val="16"/>
  </w:num>
  <w:num w:numId="11">
    <w:abstractNumId w:val="2"/>
  </w:num>
  <w:num w:numId="12">
    <w:abstractNumId w:val="1"/>
  </w:num>
  <w:num w:numId="13">
    <w:abstractNumId w:val="0"/>
  </w:num>
  <w:num w:numId="14">
    <w:abstractNumId w:val="4"/>
  </w:num>
  <w:num w:numId="15">
    <w:abstractNumId w:val="5"/>
  </w:num>
  <w:num w:numId="16">
    <w:abstractNumId w:val="3"/>
  </w:num>
  <w:num w:numId="17">
    <w:abstractNumId w:val="6"/>
  </w:num>
  <w:num w:numId="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473"/>
    <w:rsid w:val="0000159F"/>
    <w:rsid w:val="0000313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8B1"/>
    <w:rsid w:val="00014F35"/>
    <w:rsid w:val="00015F98"/>
    <w:rsid w:val="000166AC"/>
    <w:rsid w:val="00017B7F"/>
    <w:rsid w:val="00017EDA"/>
    <w:rsid w:val="00020129"/>
    <w:rsid w:val="00023742"/>
    <w:rsid w:val="00024AEF"/>
    <w:rsid w:val="0002696A"/>
    <w:rsid w:val="00026C65"/>
    <w:rsid w:val="00027755"/>
    <w:rsid w:val="00030048"/>
    <w:rsid w:val="0003072D"/>
    <w:rsid w:val="000314CD"/>
    <w:rsid w:val="0003290A"/>
    <w:rsid w:val="00033544"/>
    <w:rsid w:val="0003479E"/>
    <w:rsid w:val="0003484F"/>
    <w:rsid w:val="00035691"/>
    <w:rsid w:val="0004132D"/>
    <w:rsid w:val="00041358"/>
    <w:rsid w:val="00044CFA"/>
    <w:rsid w:val="000459C7"/>
    <w:rsid w:val="00046630"/>
    <w:rsid w:val="00046C80"/>
    <w:rsid w:val="00047FFA"/>
    <w:rsid w:val="00050112"/>
    <w:rsid w:val="00050466"/>
    <w:rsid w:val="000505CC"/>
    <w:rsid w:val="00050EB9"/>
    <w:rsid w:val="000511F9"/>
    <w:rsid w:val="0005230E"/>
    <w:rsid w:val="000524F2"/>
    <w:rsid w:val="00052850"/>
    <w:rsid w:val="000528A2"/>
    <w:rsid w:val="00052BBA"/>
    <w:rsid w:val="00052C0A"/>
    <w:rsid w:val="00052E2B"/>
    <w:rsid w:val="00054D9D"/>
    <w:rsid w:val="00055676"/>
    <w:rsid w:val="00056544"/>
    <w:rsid w:val="00056949"/>
    <w:rsid w:val="00060269"/>
    <w:rsid w:val="00060D8E"/>
    <w:rsid w:val="00062159"/>
    <w:rsid w:val="00062ABB"/>
    <w:rsid w:val="000631B7"/>
    <w:rsid w:val="000639F4"/>
    <w:rsid w:val="00063D9E"/>
    <w:rsid w:val="000645CE"/>
    <w:rsid w:val="00064AD3"/>
    <w:rsid w:val="00065088"/>
    <w:rsid w:val="000652D3"/>
    <w:rsid w:val="000654A0"/>
    <w:rsid w:val="00067D46"/>
    <w:rsid w:val="00067FFB"/>
    <w:rsid w:val="000703BB"/>
    <w:rsid w:val="000707CA"/>
    <w:rsid w:val="000707FF"/>
    <w:rsid w:val="0007208A"/>
    <w:rsid w:val="00072BBA"/>
    <w:rsid w:val="00072FF5"/>
    <w:rsid w:val="0007386D"/>
    <w:rsid w:val="00075FDA"/>
    <w:rsid w:val="000762E8"/>
    <w:rsid w:val="00076386"/>
    <w:rsid w:val="00076D82"/>
    <w:rsid w:val="00080A16"/>
    <w:rsid w:val="00080D0C"/>
    <w:rsid w:val="00081EC2"/>
    <w:rsid w:val="000823FE"/>
    <w:rsid w:val="00083800"/>
    <w:rsid w:val="00083C3D"/>
    <w:rsid w:val="00084A65"/>
    <w:rsid w:val="000867F7"/>
    <w:rsid w:val="0009185A"/>
    <w:rsid w:val="00091A92"/>
    <w:rsid w:val="00093C49"/>
    <w:rsid w:val="000958A7"/>
    <w:rsid w:val="00095A80"/>
    <w:rsid w:val="000973C8"/>
    <w:rsid w:val="000973E1"/>
    <w:rsid w:val="000A1402"/>
    <w:rsid w:val="000A20BA"/>
    <w:rsid w:val="000A262C"/>
    <w:rsid w:val="000A2EFA"/>
    <w:rsid w:val="000A38C0"/>
    <w:rsid w:val="000A3C8D"/>
    <w:rsid w:val="000A40EC"/>
    <w:rsid w:val="000A4BB2"/>
    <w:rsid w:val="000A54EE"/>
    <w:rsid w:val="000A6A23"/>
    <w:rsid w:val="000A6C5D"/>
    <w:rsid w:val="000A7BC5"/>
    <w:rsid w:val="000A7F64"/>
    <w:rsid w:val="000B0C45"/>
    <w:rsid w:val="000B1072"/>
    <w:rsid w:val="000B12B9"/>
    <w:rsid w:val="000B16DB"/>
    <w:rsid w:val="000B1C5E"/>
    <w:rsid w:val="000B2282"/>
    <w:rsid w:val="000B2A11"/>
    <w:rsid w:val="000B2A5B"/>
    <w:rsid w:val="000B2B69"/>
    <w:rsid w:val="000B3B91"/>
    <w:rsid w:val="000B51DD"/>
    <w:rsid w:val="000B5AC9"/>
    <w:rsid w:val="000B5F0A"/>
    <w:rsid w:val="000C0530"/>
    <w:rsid w:val="000C1D59"/>
    <w:rsid w:val="000C3D66"/>
    <w:rsid w:val="000C501D"/>
    <w:rsid w:val="000C74BA"/>
    <w:rsid w:val="000C7531"/>
    <w:rsid w:val="000C7C3F"/>
    <w:rsid w:val="000D0BD6"/>
    <w:rsid w:val="000D0C61"/>
    <w:rsid w:val="000D27AD"/>
    <w:rsid w:val="000D2810"/>
    <w:rsid w:val="000D29D1"/>
    <w:rsid w:val="000D2B0A"/>
    <w:rsid w:val="000D3286"/>
    <w:rsid w:val="000D344D"/>
    <w:rsid w:val="000D3FBC"/>
    <w:rsid w:val="000D40E7"/>
    <w:rsid w:val="000D4360"/>
    <w:rsid w:val="000D47F3"/>
    <w:rsid w:val="000D584F"/>
    <w:rsid w:val="000E071E"/>
    <w:rsid w:val="000E2156"/>
    <w:rsid w:val="000E248B"/>
    <w:rsid w:val="000E27AA"/>
    <w:rsid w:val="000E337A"/>
    <w:rsid w:val="000E4350"/>
    <w:rsid w:val="000E4408"/>
    <w:rsid w:val="000E4602"/>
    <w:rsid w:val="000E5716"/>
    <w:rsid w:val="000E73D4"/>
    <w:rsid w:val="000E75EA"/>
    <w:rsid w:val="000E7A24"/>
    <w:rsid w:val="000E7A79"/>
    <w:rsid w:val="000E7BB6"/>
    <w:rsid w:val="000F15B2"/>
    <w:rsid w:val="000F19CB"/>
    <w:rsid w:val="000F19DE"/>
    <w:rsid w:val="000F2E1F"/>
    <w:rsid w:val="000F37B0"/>
    <w:rsid w:val="000F4595"/>
    <w:rsid w:val="000F46C5"/>
    <w:rsid w:val="000F47D2"/>
    <w:rsid w:val="000F4CB2"/>
    <w:rsid w:val="000F4EC0"/>
    <w:rsid w:val="000F568D"/>
    <w:rsid w:val="000F6351"/>
    <w:rsid w:val="000F72E8"/>
    <w:rsid w:val="00101C4F"/>
    <w:rsid w:val="00102C9F"/>
    <w:rsid w:val="001036C8"/>
    <w:rsid w:val="00105DB7"/>
    <w:rsid w:val="001068D2"/>
    <w:rsid w:val="0011035C"/>
    <w:rsid w:val="001103BD"/>
    <w:rsid w:val="00111208"/>
    <w:rsid w:val="00111808"/>
    <w:rsid w:val="0011339F"/>
    <w:rsid w:val="00114E96"/>
    <w:rsid w:val="00115828"/>
    <w:rsid w:val="0011644A"/>
    <w:rsid w:val="001167B3"/>
    <w:rsid w:val="00117332"/>
    <w:rsid w:val="001204DD"/>
    <w:rsid w:val="001206E5"/>
    <w:rsid w:val="00120B4F"/>
    <w:rsid w:val="00122839"/>
    <w:rsid w:val="001237AC"/>
    <w:rsid w:val="00123A30"/>
    <w:rsid w:val="00123FC0"/>
    <w:rsid w:val="0012430B"/>
    <w:rsid w:val="00124665"/>
    <w:rsid w:val="00124E12"/>
    <w:rsid w:val="001264D8"/>
    <w:rsid w:val="0012673D"/>
    <w:rsid w:val="001269B8"/>
    <w:rsid w:val="00127099"/>
    <w:rsid w:val="00130783"/>
    <w:rsid w:val="0013185A"/>
    <w:rsid w:val="00132B71"/>
    <w:rsid w:val="00132C5B"/>
    <w:rsid w:val="00133579"/>
    <w:rsid w:val="001338BA"/>
    <w:rsid w:val="0013427A"/>
    <w:rsid w:val="001362C2"/>
    <w:rsid w:val="00136955"/>
    <w:rsid w:val="00136E19"/>
    <w:rsid w:val="001371B2"/>
    <w:rsid w:val="00137381"/>
    <w:rsid w:val="00137873"/>
    <w:rsid w:val="00137930"/>
    <w:rsid w:val="00137D78"/>
    <w:rsid w:val="001409A0"/>
    <w:rsid w:val="00140B7C"/>
    <w:rsid w:val="00141F08"/>
    <w:rsid w:val="00141FF2"/>
    <w:rsid w:val="0014287A"/>
    <w:rsid w:val="00142DE2"/>
    <w:rsid w:val="00144C87"/>
    <w:rsid w:val="00145761"/>
    <w:rsid w:val="001467B1"/>
    <w:rsid w:val="00150175"/>
    <w:rsid w:val="001502C8"/>
    <w:rsid w:val="0015052C"/>
    <w:rsid w:val="00150B49"/>
    <w:rsid w:val="0015130F"/>
    <w:rsid w:val="00151F92"/>
    <w:rsid w:val="00153A0F"/>
    <w:rsid w:val="001540E4"/>
    <w:rsid w:val="00154533"/>
    <w:rsid w:val="00154DA4"/>
    <w:rsid w:val="00155464"/>
    <w:rsid w:val="00155BFD"/>
    <w:rsid w:val="00157390"/>
    <w:rsid w:val="00160998"/>
    <w:rsid w:val="00160CD6"/>
    <w:rsid w:val="0016316A"/>
    <w:rsid w:val="0016330D"/>
    <w:rsid w:val="00163D02"/>
    <w:rsid w:val="00163E1B"/>
    <w:rsid w:val="00164171"/>
    <w:rsid w:val="00164E58"/>
    <w:rsid w:val="00165033"/>
    <w:rsid w:val="00165B18"/>
    <w:rsid w:val="001670EA"/>
    <w:rsid w:val="001674A0"/>
    <w:rsid w:val="00170A50"/>
    <w:rsid w:val="00171F0C"/>
    <w:rsid w:val="00174FFD"/>
    <w:rsid w:val="001759CA"/>
    <w:rsid w:val="0017726A"/>
    <w:rsid w:val="00177D03"/>
    <w:rsid w:val="00177DD3"/>
    <w:rsid w:val="00180278"/>
    <w:rsid w:val="00181296"/>
    <w:rsid w:val="001818A7"/>
    <w:rsid w:val="00182725"/>
    <w:rsid w:val="001829C8"/>
    <w:rsid w:val="00182CA0"/>
    <w:rsid w:val="00184098"/>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2D00"/>
    <w:rsid w:val="001A3477"/>
    <w:rsid w:val="001A5AF4"/>
    <w:rsid w:val="001A5E19"/>
    <w:rsid w:val="001A5E1A"/>
    <w:rsid w:val="001B01FA"/>
    <w:rsid w:val="001B0832"/>
    <w:rsid w:val="001B18A7"/>
    <w:rsid w:val="001B21C9"/>
    <w:rsid w:val="001B2762"/>
    <w:rsid w:val="001B3270"/>
    <w:rsid w:val="001B36FC"/>
    <w:rsid w:val="001B41ED"/>
    <w:rsid w:val="001B4607"/>
    <w:rsid w:val="001B480A"/>
    <w:rsid w:val="001B69CA"/>
    <w:rsid w:val="001B6F19"/>
    <w:rsid w:val="001B7E0C"/>
    <w:rsid w:val="001C0586"/>
    <w:rsid w:val="001C0674"/>
    <w:rsid w:val="001C226F"/>
    <w:rsid w:val="001C45F0"/>
    <w:rsid w:val="001C52F3"/>
    <w:rsid w:val="001C54B2"/>
    <w:rsid w:val="001C66AC"/>
    <w:rsid w:val="001C6754"/>
    <w:rsid w:val="001C77F0"/>
    <w:rsid w:val="001D04AA"/>
    <w:rsid w:val="001D05CB"/>
    <w:rsid w:val="001D1A3F"/>
    <w:rsid w:val="001D2EF5"/>
    <w:rsid w:val="001D46A0"/>
    <w:rsid w:val="001D4E22"/>
    <w:rsid w:val="001D7CA4"/>
    <w:rsid w:val="001D7E58"/>
    <w:rsid w:val="001E01A8"/>
    <w:rsid w:val="001E1CF8"/>
    <w:rsid w:val="001E30A0"/>
    <w:rsid w:val="001E3F75"/>
    <w:rsid w:val="001E4331"/>
    <w:rsid w:val="001E4CAC"/>
    <w:rsid w:val="001E4D4F"/>
    <w:rsid w:val="001E55FB"/>
    <w:rsid w:val="001E57CF"/>
    <w:rsid w:val="001E5981"/>
    <w:rsid w:val="001E74BA"/>
    <w:rsid w:val="001E7587"/>
    <w:rsid w:val="001E7B9F"/>
    <w:rsid w:val="001F01FB"/>
    <w:rsid w:val="001F0658"/>
    <w:rsid w:val="001F0E92"/>
    <w:rsid w:val="001F1987"/>
    <w:rsid w:val="001F1E0F"/>
    <w:rsid w:val="001F23BD"/>
    <w:rsid w:val="001F28AA"/>
    <w:rsid w:val="001F34DA"/>
    <w:rsid w:val="001F4136"/>
    <w:rsid w:val="001F4DAC"/>
    <w:rsid w:val="001F4DD3"/>
    <w:rsid w:val="001F5019"/>
    <w:rsid w:val="001F650F"/>
    <w:rsid w:val="001F67AA"/>
    <w:rsid w:val="001F7599"/>
    <w:rsid w:val="0020189F"/>
    <w:rsid w:val="00204B3A"/>
    <w:rsid w:val="0020535A"/>
    <w:rsid w:val="00205642"/>
    <w:rsid w:val="00205C16"/>
    <w:rsid w:val="00206955"/>
    <w:rsid w:val="00207860"/>
    <w:rsid w:val="00210309"/>
    <w:rsid w:val="00212B70"/>
    <w:rsid w:val="00212FB8"/>
    <w:rsid w:val="00213709"/>
    <w:rsid w:val="002149AF"/>
    <w:rsid w:val="00214A86"/>
    <w:rsid w:val="00214CC5"/>
    <w:rsid w:val="00215AAA"/>
    <w:rsid w:val="0021683C"/>
    <w:rsid w:val="00221985"/>
    <w:rsid w:val="00221B64"/>
    <w:rsid w:val="00221EC5"/>
    <w:rsid w:val="00222264"/>
    <w:rsid w:val="00222A7A"/>
    <w:rsid w:val="002234D9"/>
    <w:rsid w:val="00224A2C"/>
    <w:rsid w:val="002252D3"/>
    <w:rsid w:val="002256D9"/>
    <w:rsid w:val="00225882"/>
    <w:rsid w:val="00225FFF"/>
    <w:rsid w:val="0022687C"/>
    <w:rsid w:val="002269C0"/>
    <w:rsid w:val="002272DB"/>
    <w:rsid w:val="0022731B"/>
    <w:rsid w:val="00227BDA"/>
    <w:rsid w:val="002306F8"/>
    <w:rsid w:val="002312F4"/>
    <w:rsid w:val="002313A2"/>
    <w:rsid w:val="00231FC7"/>
    <w:rsid w:val="00232930"/>
    <w:rsid w:val="00232A95"/>
    <w:rsid w:val="00232DD9"/>
    <w:rsid w:val="00233403"/>
    <w:rsid w:val="00233440"/>
    <w:rsid w:val="00233D0E"/>
    <w:rsid w:val="0023487D"/>
    <w:rsid w:val="002353CB"/>
    <w:rsid w:val="00236450"/>
    <w:rsid w:val="0023765A"/>
    <w:rsid w:val="00237921"/>
    <w:rsid w:val="00240413"/>
    <w:rsid w:val="00241311"/>
    <w:rsid w:val="00241F82"/>
    <w:rsid w:val="00242E22"/>
    <w:rsid w:val="002431D6"/>
    <w:rsid w:val="0024336B"/>
    <w:rsid w:val="0024406F"/>
    <w:rsid w:val="0024424F"/>
    <w:rsid w:val="00244595"/>
    <w:rsid w:val="00244A8D"/>
    <w:rsid w:val="00244D28"/>
    <w:rsid w:val="00245720"/>
    <w:rsid w:val="00245A6F"/>
    <w:rsid w:val="00245FD5"/>
    <w:rsid w:val="002465E4"/>
    <w:rsid w:val="002477DF"/>
    <w:rsid w:val="002509A4"/>
    <w:rsid w:val="00250E05"/>
    <w:rsid w:val="002512AC"/>
    <w:rsid w:val="00251AD6"/>
    <w:rsid w:val="002524B6"/>
    <w:rsid w:val="00252BBC"/>
    <w:rsid w:val="00252C17"/>
    <w:rsid w:val="0025307F"/>
    <w:rsid w:val="002551BD"/>
    <w:rsid w:val="002568D0"/>
    <w:rsid w:val="00256B73"/>
    <w:rsid w:val="00260D05"/>
    <w:rsid w:val="00262661"/>
    <w:rsid w:val="0026299C"/>
    <w:rsid w:val="00262ADA"/>
    <w:rsid w:val="002632DF"/>
    <w:rsid w:val="0026400A"/>
    <w:rsid w:val="002640BA"/>
    <w:rsid w:val="00264CF2"/>
    <w:rsid w:val="00266462"/>
    <w:rsid w:val="00267587"/>
    <w:rsid w:val="00270822"/>
    <w:rsid w:val="00271222"/>
    <w:rsid w:val="00271589"/>
    <w:rsid w:val="00273177"/>
    <w:rsid w:val="00274775"/>
    <w:rsid w:val="00274EEF"/>
    <w:rsid w:val="00275074"/>
    <w:rsid w:val="002763E9"/>
    <w:rsid w:val="00276736"/>
    <w:rsid w:val="00280E48"/>
    <w:rsid w:val="00283728"/>
    <w:rsid w:val="00283894"/>
    <w:rsid w:val="0028443D"/>
    <w:rsid w:val="00284C7E"/>
    <w:rsid w:val="00284E32"/>
    <w:rsid w:val="002851EB"/>
    <w:rsid w:val="00285510"/>
    <w:rsid w:val="00285DE2"/>
    <w:rsid w:val="0028616D"/>
    <w:rsid w:val="0028644E"/>
    <w:rsid w:val="00286495"/>
    <w:rsid w:val="002865E2"/>
    <w:rsid w:val="00286965"/>
    <w:rsid w:val="002869D5"/>
    <w:rsid w:val="00286AE7"/>
    <w:rsid w:val="0029136E"/>
    <w:rsid w:val="00292399"/>
    <w:rsid w:val="00293D90"/>
    <w:rsid w:val="00294445"/>
    <w:rsid w:val="00294B4D"/>
    <w:rsid w:val="00294E53"/>
    <w:rsid w:val="00295FFD"/>
    <w:rsid w:val="002960D5"/>
    <w:rsid w:val="00296371"/>
    <w:rsid w:val="00297546"/>
    <w:rsid w:val="00297CC6"/>
    <w:rsid w:val="002A1062"/>
    <w:rsid w:val="002A2012"/>
    <w:rsid w:val="002A2413"/>
    <w:rsid w:val="002A2F5E"/>
    <w:rsid w:val="002A352A"/>
    <w:rsid w:val="002A607D"/>
    <w:rsid w:val="002B0878"/>
    <w:rsid w:val="002B132E"/>
    <w:rsid w:val="002B257E"/>
    <w:rsid w:val="002B2813"/>
    <w:rsid w:val="002B2D29"/>
    <w:rsid w:val="002B37AA"/>
    <w:rsid w:val="002B4C6C"/>
    <w:rsid w:val="002B5DA0"/>
    <w:rsid w:val="002C0362"/>
    <w:rsid w:val="002C0C4B"/>
    <w:rsid w:val="002C1EEA"/>
    <w:rsid w:val="002C408F"/>
    <w:rsid w:val="002C47AD"/>
    <w:rsid w:val="002C4A24"/>
    <w:rsid w:val="002C6034"/>
    <w:rsid w:val="002C613E"/>
    <w:rsid w:val="002C635B"/>
    <w:rsid w:val="002C7571"/>
    <w:rsid w:val="002C7CFF"/>
    <w:rsid w:val="002D0BC6"/>
    <w:rsid w:val="002D11F7"/>
    <w:rsid w:val="002D17C5"/>
    <w:rsid w:val="002D365F"/>
    <w:rsid w:val="002D406E"/>
    <w:rsid w:val="002D4127"/>
    <w:rsid w:val="002D78C2"/>
    <w:rsid w:val="002D7C86"/>
    <w:rsid w:val="002E0692"/>
    <w:rsid w:val="002E1D74"/>
    <w:rsid w:val="002E2943"/>
    <w:rsid w:val="002E2CF1"/>
    <w:rsid w:val="002E30CA"/>
    <w:rsid w:val="002E34AF"/>
    <w:rsid w:val="002E4AAC"/>
    <w:rsid w:val="002E53DE"/>
    <w:rsid w:val="002E563B"/>
    <w:rsid w:val="002E62D2"/>
    <w:rsid w:val="002E74AF"/>
    <w:rsid w:val="002E758C"/>
    <w:rsid w:val="002F048F"/>
    <w:rsid w:val="002F1038"/>
    <w:rsid w:val="002F1B80"/>
    <w:rsid w:val="002F1CDB"/>
    <w:rsid w:val="002F22FF"/>
    <w:rsid w:val="002F2D8F"/>
    <w:rsid w:val="002F4E0E"/>
    <w:rsid w:val="002F674D"/>
    <w:rsid w:val="002F695B"/>
    <w:rsid w:val="002F72DA"/>
    <w:rsid w:val="002F76B1"/>
    <w:rsid w:val="002F7C08"/>
    <w:rsid w:val="002F7CC8"/>
    <w:rsid w:val="002F7D66"/>
    <w:rsid w:val="002F7DBE"/>
    <w:rsid w:val="0030055E"/>
    <w:rsid w:val="0030090B"/>
    <w:rsid w:val="00302AE8"/>
    <w:rsid w:val="00302BB1"/>
    <w:rsid w:val="00302C31"/>
    <w:rsid w:val="00303A23"/>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324A"/>
    <w:rsid w:val="003254F7"/>
    <w:rsid w:val="00325D7A"/>
    <w:rsid w:val="00326145"/>
    <w:rsid w:val="00327163"/>
    <w:rsid w:val="00327305"/>
    <w:rsid w:val="00327531"/>
    <w:rsid w:val="00330187"/>
    <w:rsid w:val="003303B6"/>
    <w:rsid w:val="00331C77"/>
    <w:rsid w:val="00331DB6"/>
    <w:rsid w:val="00331F96"/>
    <w:rsid w:val="0033209E"/>
    <w:rsid w:val="00332B55"/>
    <w:rsid w:val="003353DC"/>
    <w:rsid w:val="00335EA8"/>
    <w:rsid w:val="003363DD"/>
    <w:rsid w:val="00336B9B"/>
    <w:rsid w:val="00336C46"/>
    <w:rsid w:val="00340361"/>
    <w:rsid w:val="00340795"/>
    <w:rsid w:val="0034111C"/>
    <w:rsid w:val="0034114A"/>
    <w:rsid w:val="00341E60"/>
    <w:rsid w:val="0034217F"/>
    <w:rsid w:val="00342AD2"/>
    <w:rsid w:val="00342DBB"/>
    <w:rsid w:val="00343954"/>
    <w:rsid w:val="00345405"/>
    <w:rsid w:val="00345DDD"/>
    <w:rsid w:val="00346FED"/>
    <w:rsid w:val="0035007F"/>
    <w:rsid w:val="00351E01"/>
    <w:rsid w:val="00352D21"/>
    <w:rsid w:val="00352F08"/>
    <w:rsid w:val="0035443D"/>
    <w:rsid w:val="00354FEE"/>
    <w:rsid w:val="003554F2"/>
    <w:rsid w:val="003554FB"/>
    <w:rsid w:val="00356275"/>
    <w:rsid w:val="003569B7"/>
    <w:rsid w:val="00356B54"/>
    <w:rsid w:val="00356C0B"/>
    <w:rsid w:val="00357B9C"/>
    <w:rsid w:val="00361412"/>
    <w:rsid w:val="003615CA"/>
    <w:rsid w:val="00362E7F"/>
    <w:rsid w:val="003642A6"/>
    <w:rsid w:val="003669B1"/>
    <w:rsid w:val="00367337"/>
    <w:rsid w:val="00367367"/>
    <w:rsid w:val="00367FD8"/>
    <w:rsid w:val="00370B63"/>
    <w:rsid w:val="00370FCC"/>
    <w:rsid w:val="003711AF"/>
    <w:rsid w:val="00371EF8"/>
    <w:rsid w:val="0037445C"/>
    <w:rsid w:val="00374848"/>
    <w:rsid w:val="00375D09"/>
    <w:rsid w:val="0037739D"/>
    <w:rsid w:val="0037751C"/>
    <w:rsid w:val="00380F3F"/>
    <w:rsid w:val="00382232"/>
    <w:rsid w:val="00382F1A"/>
    <w:rsid w:val="00383282"/>
    <w:rsid w:val="00383658"/>
    <w:rsid w:val="0038412E"/>
    <w:rsid w:val="00384968"/>
    <w:rsid w:val="00386053"/>
    <w:rsid w:val="0038771D"/>
    <w:rsid w:val="00391560"/>
    <w:rsid w:val="003938FE"/>
    <w:rsid w:val="00393E44"/>
    <w:rsid w:val="00394270"/>
    <w:rsid w:val="003977DC"/>
    <w:rsid w:val="00397AB6"/>
    <w:rsid w:val="00397ACA"/>
    <w:rsid w:val="003A10C3"/>
    <w:rsid w:val="003A2F16"/>
    <w:rsid w:val="003A33D0"/>
    <w:rsid w:val="003A597F"/>
    <w:rsid w:val="003A71A8"/>
    <w:rsid w:val="003B00CA"/>
    <w:rsid w:val="003B030B"/>
    <w:rsid w:val="003B0432"/>
    <w:rsid w:val="003B049E"/>
    <w:rsid w:val="003B0821"/>
    <w:rsid w:val="003B0BE9"/>
    <w:rsid w:val="003B0DAF"/>
    <w:rsid w:val="003B2898"/>
    <w:rsid w:val="003B2E9B"/>
    <w:rsid w:val="003B2F8D"/>
    <w:rsid w:val="003B4FAA"/>
    <w:rsid w:val="003B547A"/>
    <w:rsid w:val="003B68C8"/>
    <w:rsid w:val="003B6C6C"/>
    <w:rsid w:val="003B6CB0"/>
    <w:rsid w:val="003B75B9"/>
    <w:rsid w:val="003C0DA2"/>
    <w:rsid w:val="003C1694"/>
    <w:rsid w:val="003C1A18"/>
    <w:rsid w:val="003C2902"/>
    <w:rsid w:val="003C2C2E"/>
    <w:rsid w:val="003C3261"/>
    <w:rsid w:val="003C5C41"/>
    <w:rsid w:val="003C6BB0"/>
    <w:rsid w:val="003C7461"/>
    <w:rsid w:val="003C7D33"/>
    <w:rsid w:val="003D0788"/>
    <w:rsid w:val="003D132A"/>
    <w:rsid w:val="003D1517"/>
    <w:rsid w:val="003D2938"/>
    <w:rsid w:val="003D2C75"/>
    <w:rsid w:val="003D3211"/>
    <w:rsid w:val="003D3216"/>
    <w:rsid w:val="003D3FBA"/>
    <w:rsid w:val="003D402B"/>
    <w:rsid w:val="003D764F"/>
    <w:rsid w:val="003D7D81"/>
    <w:rsid w:val="003E0667"/>
    <w:rsid w:val="003E0763"/>
    <w:rsid w:val="003E0BCE"/>
    <w:rsid w:val="003E13E0"/>
    <w:rsid w:val="003E1660"/>
    <w:rsid w:val="003E1C09"/>
    <w:rsid w:val="003E1CD1"/>
    <w:rsid w:val="003E2A2D"/>
    <w:rsid w:val="003E3497"/>
    <w:rsid w:val="003E504D"/>
    <w:rsid w:val="003E521F"/>
    <w:rsid w:val="003E5606"/>
    <w:rsid w:val="003E5F20"/>
    <w:rsid w:val="003E63CE"/>
    <w:rsid w:val="003E64A9"/>
    <w:rsid w:val="003E7002"/>
    <w:rsid w:val="003E7905"/>
    <w:rsid w:val="003F0336"/>
    <w:rsid w:val="003F1FD2"/>
    <w:rsid w:val="003F2147"/>
    <w:rsid w:val="003F4488"/>
    <w:rsid w:val="003F47A7"/>
    <w:rsid w:val="003F5547"/>
    <w:rsid w:val="003F5C40"/>
    <w:rsid w:val="003F6E12"/>
    <w:rsid w:val="003F75ED"/>
    <w:rsid w:val="004002B7"/>
    <w:rsid w:val="00400F31"/>
    <w:rsid w:val="00403A2A"/>
    <w:rsid w:val="00405A3B"/>
    <w:rsid w:val="00406B4D"/>
    <w:rsid w:val="00411168"/>
    <w:rsid w:val="004122C2"/>
    <w:rsid w:val="0041443C"/>
    <w:rsid w:val="00415324"/>
    <w:rsid w:val="004154F7"/>
    <w:rsid w:val="00416D44"/>
    <w:rsid w:val="00416EB8"/>
    <w:rsid w:val="004174BE"/>
    <w:rsid w:val="004176FF"/>
    <w:rsid w:val="004200BF"/>
    <w:rsid w:val="00421A27"/>
    <w:rsid w:val="00421AEB"/>
    <w:rsid w:val="00421D0A"/>
    <w:rsid w:val="004238B8"/>
    <w:rsid w:val="004241C5"/>
    <w:rsid w:val="004244AF"/>
    <w:rsid w:val="00424FA7"/>
    <w:rsid w:val="00425397"/>
    <w:rsid w:val="00425D78"/>
    <w:rsid w:val="00426428"/>
    <w:rsid w:val="00426925"/>
    <w:rsid w:val="00426A87"/>
    <w:rsid w:val="004309D8"/>
    <w:rsid w:val="004313D1"/>
    <w:rsid w:val="00431FD5"/>
    <w:rsid w:val="00432110"/>
    <w:rsid w:val="00433EBE"/>
    <w:rsid w:val="004341E1"/>
    <w:rsid w:val="00434406"/>
    <w:rsid w:val="004351A0"/>
    <w:rsid w:val="00437A1D"/>
    <w:rsid w:val="00440FED"/>
    <w:rsid w:val="00441194"/>
    <w:rsid w:val="00441A95"/>
    <w:rsid w:val="00441B0A"/>
    <w:rsid w:val="00441B92"/>
    <w:rsid w:val="00442607"/>
    <w:rsid w:val="0044474B"/>
    <w:rsid w:val="00445FF7"/>
    <w:rsid w:val="00450575"/>
    <w:rsid w:val="004509A6"/>
    <w:rsid w:val="00453341"/>
    <w:rsid w:val="00453EF8"/>
    <w:rsid w:val="004544F9"/>
    <w:rsid w:val="004545C6"/>
    <w:rsid w:val="00454DCA"/>
    <w:rsid w:val="00455576"/>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795B"/>
    <w:rsid w:val="004708C0"/>
    <w:rsid w:val="004715CB"/>
    <w:rsid w:val="00471863"/>
    <w:rsid w:val="00471A2A"/>
    <w:rsid w:val="00472A06"/>
    <w:rsid w:val="00473293"/>
    <w:rsid w:val="00473621"/>
    <w:rsid w:val="00473A14"/>
    <w:rsid w:val="00474CA8"/>
    <w:rsid w:val="00474DB6"/>
    <w:rsid w:val="00474E43"/>
    <w:rsid w:val="00475786"/>
    <w:rsid w:val="00475A4A"/>
    <w:rsid w:val="0048076D"/>
    <w:rsid w:val="00480F9C"/>
    <w:rsid w:val="004817DD"/>
    <w:rsid w:val="00481C24"/>
    <w:rsid w:val="00481D90"/>
    <w:rsid w:val="00482CD4"/>
    <w:rsid w:val="00483261"/>
    <w:rsid w:val="00483779"/>
    <w:rsid w:val="00484021"/>
    <w:rsid w:val="00485843"/>
    <w:rsid w:val="00485B23"/>
    <w:rsid w:val="0048630D"/>
    <w:rsid w:val="00486EC8"/>
    <w:rsid w:val="004874E4"/>
    <w:rsid w:val="0049070D"/>
    <w:rsid w:val="00490885"/>
    <w:rsid w:val="004914A9"/>
    <w:rsid w:val="00491BE4"/>
    <w:rsid w:val="00491DB2"/>
    <w:rsid w:val="00492877"/>
    <w:rsid w:val="00495C73"/>
    <w:rsid w:val="00496DC2"/>
    <w:rsid w:val="00496E75"/>
    <w:rsid w:val="004A014C"/>
    <w:rsid w:val="004A0AA8"/>
    <w:rsid w:val="004A1FE4"/>
    <w:rsid w:val="004A2CA9"/>
    <w:rsid w:val="004A2CDC"/>
    <w:rsid w:val="004A33EF"/>
    <w:rsid w:val="004A34C9"/>
    <w:rsid w:val="004A3CB5"/>
    <w:rsid w:val="004A441B"/>
    <w:rsid w:val="004A44D1"/>
    <w:rsid w:val="004A537D"/>
    <w:rsid w:val="004A60E6"/>
    <w:rsid w:val="004A67F0"/>
    <w:rsid w:val="004A6EE8"/>
    <w:rsid w:val="004A71C3"/>
    <w:rsid w:val="004A74D2"/>
    <w:rsid w:val="004A7769"/>
    <w:rsid w:val="004B1484"/>
    <w:rsid w:val="004B23AD"/>
    <w:rsid w:val="004B24E5"/>
    <w:rsid w:val="004B2965"/>
    <w:rsid w:val="004B4007"/>
    <w:rsid w:val="004B4224"/>
    <w:rsid w:val="004B4647"/>
    <w:rsid w:val="004B5252"/>
    <w:rsid w:val="004B5E52"/>
    <w:rsid w:val="004B652C"/>
    <w:rsid w:val="004B7455"/>
    <w:rsid w:val="004B74FF"/>
    <w:rsid w:val="004B7CE4"/>
    <w:rsid w:val="004C0401"/>
    <w:rsid w:val="004C066D"/>
    <w:rsid w:val="004C0C49"/>
    <w:rsid w:val="004C183D"/>
    <w:rsid w:val="004C2669"/>
    <w:rsid w:val="004C3EC7"/>
    <w:rsid w:val="004C3EEE"/>
    <w:rsid w:val="004C43BF"/>
    <w:rsid w:val="004C483D"/>
    <w:rsid w:val="004C5BCC"/>
    <w:rsid w:val="004C6C7D"/>
    <w:rsid w:val="004C6DFA"/>
    <w:rsid w:val="004C7441"/>
    <w:rsid w:val="004C795A"/>
    <w:rsid w:val="004C7F93"/>
    <w:rsid w:val="004D26B8"/>
    <w:rsid w:val="004D38C2"/>
    <w:rsid w:val="004D4FBD"/>
    <w:rsid w:val="004D4FC0"/>
    <w:rsid w:val="004D541D"/>
    <w:rsid w:val="004D6EC1"/>
    <w:rsid w:val="004D7DA8"/>
    <w:rsid w:val="004E2892"/>
    <w:rsid w:val="004E33AD"/>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5154"/>
    <w:rsid w:val="004F5835"/>
    <w:rsid w:val="004F5CE2"/>
    <w:rsid w:val="004F661C"/>
    <w:rsid w:val="004F6D99"/>
    <w:rsid w:val="004F7070"/>
    <w:rsid w:val="004F7D4F"/>
    <w:rsid w:val="004F7FF6"/>
    <w:rsid w:val="00500572"/>
    <w:rsid w:val="00501304"/>
    <w:rsid w:val="00501425"/>
    <w:rsid w:val="005036BE"/>
    <w:rsid w:val="00504311"/>
    <w:rsid w:val="0050485C"/>
    <w:rsid w:val="00504AC6"/>
    <w:rsid w:val="00505427"/>
    <w:rsid w:val="0050658D"/>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630"/>
    <w:rsid w:val="00520D6D"/>
    <w:rsid w:val="00523E75"/>
    <w:rsid w:val="005243E0"/>
    <w:rsid w:val="005256F3"/>
    <w:rsid w:val="00525F32"/>
    <w:rsid w:val="00526301"/>
    <w:rsid w:val="005265A3"/>
    <w:rsid w:val="00526783"/>
    <w:rsid w:val="0052721C"/>
    <w:rsid w:val="00527C99"/>
    <w:rsid w:val="00527FB1"/>
    <w:rsid w:val="005314C5"/>
    <w:rsid w:val="0053162F"/>
    <w:rsid w:val="00531777"/>
    <w:rsid w:val="00532369"/>
    <w:rsid w:val="00532380"/>
    <w:rsid w:val="0053281C"/>
    <w:rsid w:val="005340C9"/>
    <w:rsid w:val="0053449F"/>
    <w:rsid w:val="00536910"/>
    <w:rsid w:val="00536D21"/>
    <w:rsid w:val="005375FE"/>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22E"/>
    <w:rsid w:val="00554E4B"/>
    <w:rsid w:val="00555F67"/>
    <w:rsid w:val="00556605"/>
    <w:rsid w:val="0055723C"/>
    <w:rsid w:val="00560291"/>
    <w:rsid w:val="005606A4"/>
    <w:rsid w:val="005607B8"/>
    <w:rsid w:val="00560CF5"/>
    <w:rsid w:val="005610AC"/>
    <w:rsid w:val="0056272D"/>
    <w:rsid w:val="00562BAB"/>
    <w:rsid w:val="0056308E"/>
    <w:rsid w:val="005638C1"/>
    <w:rsid w:val="00563F09"/>
    <w:rsid w:val="0056415C"/>
    <w:rsid w:val="00564957"/>
    <w:rsid w:val="005649BF"/>
    <w:rsid w:val="005650ED"/>
    <w:rsid w:val="00565869"/>
    <w:rsid w:val="005661BF"/>
    <w:rsid w:val="00567415"/>
    <w:rsid w:val="00567610"/>
    <w:rsid w:val="00570C3A"/>
    <w:rsid w:val="00570D9F"/>
    <w:rsid w:val="00571CA8"/>
    <w:rsid w:val="00574771"/>
    <w:rsid w:val="00575CDD"/>
    <w:rsid w:val="00576A4A"/>
    <w:rsid w:val="00580793"/>
    <w:rsid w:val="00581470"/>
    <w:rsid w:val="00581893"/>
    <w:rsid w:val="00582087"/>
    <w:rsid w:val="00582196"/>
    <w:rsid w:val="005831DD"/>
    <w:rsid w:val="00584320"/>
    <w:rsid w:val="0058436F"/>
    <w:rsid w:val="00585484"/>
    <w:rsid w:val="00587229"/>
    <w:rsid w:val="00587503"/>
    <w:rsid w:val="0058771D"/>
    <w:rsid w:val="005877C3"/>
    <w:rsid w:val="00587F7F"/>
    <w:rsid w:val="00590E8D"/>
    <w:rsid w:val="00591379"/>
    <w:rsid w:val="00591511"/>
    <w:rsid w:val="005916BB"/>
    <w:rsid w:val="00591DA3"/>
    <w:rsid w:val="00592F00"/>
    <w:rsid w:val="0059331A"/>
    <w:rsid w:val="00595DDF"/>
    <w:rsid w:val="00596BBA"/>
    <w:rsid w:val="005972F8"/>
    <w:rsid w:val="005975C4"/>
    <w:rsid w:val="00597ED8"/>
    <w:rsid w:val="005A08F4"/>
    <w:rsid w:val="005A11D4"/>
    <w:rsid w:val="005A2D6D"/>
    <w:rsid w:val="005A34D5"/>
    <w:rsid w:val="005A3E12"/>
    <w:rsid w:val="005A423C"/>
    <w:rsid w:val="005A4904"/>
    <w:rsid w:val="005A4959"/>
    <w:rsid w:val="005A515A"/>
    <w:rsid w:val="005A57FB"/>
    <w:rsid w:val="005A6BC4"/>
    <w:rsid w:val="005A704D"/>
    <w:rsid w:val="005B1FF6"/>
    <w:rsid w:val="005B2B51"/>
    <w:rsid w:val="005B34D4"/>
    <w:rsid w:val="005B3C6D"/>
    <w:rsid w:val="005B4045"/>
    <w:rsid w:val="005B49A7"/>
    <w:rsid w:val="005B609E"/>
    <w:rsid w:val="005B6C55"/>
    <w:rsid w:val="005B6DF6"/>
    <w:rsid w:val="005B6EA6"/>
    <w:rsid w:val="005B780E"/>
    <w:rsid w:val="005B7B7D"/>
    <w:rsid w:val="005B7C34"/>
    <w:rsid w:val="005C09CC"/>
    <w:rsid w:val="005C1948"/>
    <w:rsid w:val="005C245F"/>
    <w:rsid w:val="005C263C"/>
    <w:rsid w:val="005C2679"/>
    <w:rsid w:val="005C268D"/>
    <w:rsid w:val="005C41D4"/>
    <w:rsid w:val="005D0079"/>
    <w:rsid w:val="005D059A"/>
    <w:rsid w:val="005D07C5"/>
    <w:rsid w:val="005D1FF8"/>
    <w:rsid w:val="005D2A0B"/>
    <w:rsid w:val="005D3AB9"/>
    <w:rsid w:val="005D4302"/>
    <w:rsid w:val="005D430F"/>
    <w:rsid w:val="005D5A20"/>
    <w:rsid w:val="005D786C"/>
    <w:rsid w:val="005E00E5"/>
    <w:rsid w:val="005E049F"/>
    <w:rsid w:val="005E3073"/>
    <w:rsid w:val="005E316A"/>
    <w:rsid w:val="005E3F49"/>
    <w:rsid w:val="005E5E1A"/>
    <w:rsid w:val="005E6C16"/>
    <w:rsid w:val="005F0108"/>
    <w:rsid w:val="005F0ECC"/>
    <w:rsid w:val="005F21A5"/>
    <w:rsid w:val="005F2470"/>
    <w:rsid w:val="005F28C6"/>
    <w:rsid w:val="005F3F16"/>
    <w:rsid w:val="005F47C9"/>
    <w:rsid w:val="005F52CC"/>
    <w:rsid w:val="005F53FD"/>
    <w:rsid w:val="005F5E6F"/>
    <w:rsid w:val="005F6BD4"/>
    <w:rsid w:val="005F7985"/>
    <w:rsid w:val="00600033"/>
    <w:rsid w:val="0060004D"/>
    <w:rsid w:val="00600CEB"/>
    <w:rsid w:val="00601DF1"/>
    <w:rsid w:val="0060289D"/>
    <w:rsid w:val="00602A84"/>
    <w:rsid w:val="00602AA1"/>
    <w:rsid w:val="00603131"/>
    <w:rsid w:val="00604367"/>
    <w:rsid w:val="006044BE"/>
    <w:rsid w:val="0060475F"/>
    <w:rsid w:val="00604E80"/>
    <w:rsid w:val="006060C2"/>
    <w:rsid w:val="00606A26"/>
    <w:rsid w:val="00607D81"/>
    <w:rsid w:val="00610747"/>
    <w:rsid w:val="00610E03"/>
    <w:rsid w:val="0061176E"/>
    <w:rsid w:val="006131CB"/>
    <w:rsid w:val="00613C10"/>
    <w:rsid w:val="0061417F"/>
    <w:rsid w:val="00614CD1"/>
    <w:rsid w:val="0061567B"/>
    <w:rsid w:val="00617BB8"/>
    <w:rsid w:val="006203CE"/>
    <w:rsid w:val="0062152A"/>
    <w:rsid w:val="00621754"/>
    <w:rsid w:val="00621E3C"/>
    <w:rsid w:val="00622532"/>
    <w:rsid w:val="00622FCB"/>
    <w:rsid w:val="00623583"/>
    <w:rsid w:val="00624049"/>
    <w:rsid w:val="0062462F"/>
    <w:rsid w:val="00624BA1"/>
    <w:rsid w:val="00625929"/>
    <w:rsid w:val="0062661B"/>
    <w:rsid w:val="0062796B"/>
    <w:rsid w:val="00630118"/>
    <w:rsid w:val="00630C0E"/>
    <w:rsid w:val="006310AE"/>
    <w:rsid w:val="00631762"/>
    <w:rsid w:val="006317AB"/>
    <w:rsid w:val="00632196"/>
    <w:rsid w:val="00633BF2"/>
    <w:rsid w:val="00633F67"/>
    <w:rsid w:val="006345C3"/>
    <w:rsid w:val="0063615A"/>
    <w:rsid w:val="006362F9"/>
    <w:rsid w:val="006369A9"/>
    <w:rsid w:val="006373CD"/>
    <w:rsid w:val="006403AC"/>
    <w:rsid w:val="0064165D"/>
    <w:rsid w:val="0064187D"/>
    <w:rsid w:val="006433BD"/>
    <w:rsid w:val="00643784"/>
    <w:rsid w:val="00644186"/>
    <w:rsid w:val="00644A21"/>
    <w:rsid w:val="00645C9F"/>
    <w:rsid w:val="00646305"/>
    <w:rsid w:val="00646A6C"/>
    <w:rsid w:val="006475E6"/>
    <w:rsid w:val="006508B9"/>
    <w:rsid w:val="00650CA1"/>
    <w:rsid w:val="00651854"/>
    <w:rsid w:val="006519F8"/>
    <w:rsid w:val="006539E8"/>
    <w:rsid w:val="006565D8"/>
    <w:rsid w:val="00656649"/>
    <w:rsid w:val="00656B96"/>
    <w:rsid w:val="00656CF4"/>
    <w:rsid w:val="0065736B"/>
    <w:rsid w:val="00657AE5"/>
    <w:rsid w:val="00660F13"/>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67EC3"/>
    <w:rsid w:val="006704A8"/>
    <w:rsid w:val="0067269D"/>
    <w:rsid w:val="00672988"/>
    <w:rsid w:val="00672C64"/>
    <w:rsid w:val="006742B0"/>
    <w:rsid w:val="0067499F"/>
    <w:rsid w:val="00674E6A"/>
    <w:rsid w:val="00676A64"/>
    <w:rsid w:val="00677925"/>
    <w:rsid w:val="00680F46"/>
    <w:rsid w:val="006818BE"/>
    <w:rsid w:val="00681FDC"/>
    <w:rsid w:val="006829E8"/>
    <w:rsid w:val="00682B53"/>
    <w:rsid w:val="00682F27"/>
    <w:rsid w:val="00685C9D"/>
    <w:rsid w:val="0069011A"/>
    <w:rsid w:val="00690691"/>
    <w:rsid w:val="00690E2E"/>
    <w:rsid w:val="006915D7"/>
    <w:rsid w:val="006927AC"/>
    <w:rsid w:val="00692814"/>
    <w:rsid w:val="006932E7"/>
    <w:rsid w:val="00693347"/>
    <w:rsid w:val="0069334C"/>
    <w:rsid w:val="00695EA1"/>
    <w:rsid w:val="00696D63"/>
    <w:rsid w:val="006A032F"/>
    <w:rsid w:val="006A1CD9"/>
    <w:rsid w:val="006A41AE"/>
    <w:rsid w:val="006A4856"/>
    <w:rsid w:val="006A564B"/>
    <w:rsid w:val="006A6166"/>
    <w:rsid w:val="006B08CF"/>
    <w:rsid w:val="006B0B29"/>
    <w:rsid w:val="006B0B90"/>
    <w:rsid w:val="006B1470"/>
    <w:rsid w:val="006B152D"/>
    <w:rsid w:val="006B1545"/>
    <w:rsid w:val="006B2DA7"/>
    <w:rsid w:val="006B2F4D"/>
    <w:rsid w:val="006B3682"/>
    <w:rsid w:val="006B48CB"/>
    <w:rsid w:val="006B576F"/>
    <w:rsid w:val="006B5D9E"/>
    <w:rsid w:val="006C08C5"/>
    <w:rsid w:val="006C1445"/>
    <w:rsid w:val="006C29AA"/>
    <w:rsid w:val="006C351E"/>
    <w:rsid w:val="006C3959"/>
    <w:rsid w:val="006C3B36"/>
    <w:rsid w:val="006C43E6"/>
    <w:rsid w:val="006C4FC1"/>
    <w:rsid w:val="006C51A5"/>
    <w:rsid w:val="006C529D"/>
    <w:rsid w:val="006C5639"/>
    <w:rsid w:val="006C7CC9"/>
    <w:rsid w:val="006C7D45"/>
    <w:rsid w:val="006D0E6B"/>
    <w:rsid w:val="006D1073"/>
    <w:rsid w:val="006D2146"/>
    <w:rsid w:val="006D5ED9"/>
    <w:rsid w:val="006D632E"/>
    <w:rsid w:val="006E0651"/>
    <w:rsid w:val="006E094A"/>
    <w:rsid w:val="006E12B1"/>
    <w:rsid w:val="006E13D1"/>
    <w:rsid w:val="006E2771"/>
    <w:rsid w:val="006E283E"/>
    <w:rsid w:val="006E4D0C"/>
    <w:rsid w:val="006E4D1B"/>
    <w:rsid w:val="006E509A"/>
    <w:rsid w:val="006E5B78"/>
    <w:rsid w:val="006E6BA3"/>
    <w:rsid w:val="006F01EB"/>
    <w:rsid w:val="006F1116"/>
    <w:rsid w:val="006F1206"/>
    <w:rsid w:val="006F19C5"/>
    <w:rsid w:val="006F3196"/>
    <w:rsid w:val="006F3C54"/>
    <w:rsid w:val="006F4ACC"/>
    <w:rsid w:val="006F5B37"/>
    <w:rsid w:val="006F5E64"/>
    <w:rsid w:val="006F60D9"/>
    <w:rsid w:val="006F60DE"/>
    <w:rsid w:val="006F6BBD"/>
    <w:rsid w:val="006F73DA"/>
    <w:rsid w:val="006F7914"/>
    <w:rsid w:val="006F7B8B"/>
    <w:rsid w:val="006F7E46"/>
    <w:rsid w:val="007002E4"/>
    <w:rsid w:val="00700AB4"/>
    <w:rsid w:val="00700FCA"/>
    <w:rsid w:val="00701645"/>
    <w:rsid w:val="00702AD6"/>
    <w:rsid w:val="00702D5A"/>
    <w:rsid w:val="00702EF7"/>
    <w:rsid w:val="007031BB"/>
    <w:rsid w:val="00703989"/>
    <w:rsid w:val="007042E9"/>
    <w:rsid w:val="00707462"/>
    <w:rsid w:val="00707749"/>
    <w:rsid w:val="0071118B"/>
    <w:rsid w:val="007115D2"/>
    <w:rsid w:val="00711E13"/>
    <w:rsid w:val="00711E37"/>
    <w:rsid w:val="00712546"/>
    <w:rsid w:val="00712EDA"/>
    <w:rsid w:val="007136D0"/>
    <w:rsid w:val="0071528E"/>
    <w:rsid w:val="007155A9"/>
    <w:rsid w:val="007158E1"/>
    <w:rsid w:val="0071705B"/>
    <w:rsid w:val="0071740A"/>
    <w:rsid w:val="00720505"/>
    <w:rsid w:val="007236A3"/>
    <w:rsid w:val="007239B6"/>
    <w:rsid w:val="0072490A"/>
    <w:rsid w:val="0072517D"/>
    <w:rsid w:val="00726878"/>
    <w:rsid w:val="00727C98"/>
    <w:rsid w:val="00730D02"/>
    <w:rsid w:val="0073124A"/>
    <w:rsid w:val="007317FF"/>
    <w:rsid w:val="00731B79"/>
    <w:rsid w:val="00733893"/>
    <w:rsid w:val="007341DA"/>
    <w:rsid w:val="00734A05"/>
    <w:rsid w:val="0073557C"/>
    <w:rsid w:val="00735C6F"/>
    <w:rsid w:val="007366CF"/>
    <w:rsid w:val="00737174"/>
    <w:rsid w:val="007372F1"/>
    <w:rsid w:val="007408D5"/>
    <w:rsid w:val="00741C59"/>
    <w:rsid w:val="00742B44"/>
    <w:rsid w:val="0074655A"/>
    <w:rsid w:val="007469B7"/>
    <w:rsid w:val="00753BB5"/>
    <w:rsid w:val="007547B2"/>
    <w:rsid w:val="00756832"/>
    <w:rsid w:val="0076266E"/>
    <w:rsid w:val="007626D0"/>
    <w:rsid w:val="00764BFA"/>
    <w:rsid w:val="007651CA"/>
    <w:rsid w:val="00765572"/>
    <w:rsid w:val="00767519"/>
    <w:rsid w:val="00767EE3"/>
    <w:rsid w:val="007704E1"/>
    <w:rsid w:val="00772569"/>
    <w:rsid w:val="00772E8C"/>
    <w:rsid w:val="007730D8"/>
    <w:rsid w:val="007736D3"/>
    <w:rsid w:val="00773889"/>
    <w:rsid w:val="00773B54"/>
    <w:rsid w:val="0077500F"/>
    <w:rsid w:val="0077548E"/>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DBA"/>
    <w:rsid w:val="00792CEE"/>
    <w:rsid w:val="00794C56"/>
    <w:rsid w:val="00794E92"/>
    <w:rsid w:val="0079656A"/>
    <w:rsid w:val="00796971"/>
    <w:rsid w:val="00796D86"/>
    <w:rsid w:val="00796F15"/>
    <w:rsid w:val="007A138F"/>
    <w:rsid w:val="007A1640"/>
    <w:rsid w:val="007A18BA"/>
    <w:rsid w:val="007A36A9"/>
    <w:rsid w:val="007A39DF"/>
    <w:rsid w:val="007A43ED"/>
    <w:rsid w:val="007A4997"/>
    <w:rsid w:val="007A4BDD"/>
    <w:rsid w:val="007A4C98"/>
    <w:rsid w:val="007A72EE"/>
    <w:rsid w:val="007B0352"/>
    <w:rsid w:val="007B0397"/>
    <w:rsid w:val="007B291C"/>
    <w:rsid w:val="007B3502"/>
    <w:rsid w:val="007B44ED"/>
    <w:rsid w:val="007B491A"/>
    <w:rsid w:val="007B4E9F"/>
    <w:rsid w:val="007B5370"/>
    <w:rsid w:val="007B61F5"/>
    <w:rsid w:val="007B63FA"/>
    <w:rsid w:val="007B73B3"/>
    <w:rsid w:val="007B7496"/>
    <w:rsid w:val="007B7AF5"/>
    <w:rsid w:val="007C0802"/>
    <w:rsid w:val="007C12BE"/>
    <w:rsid w:val="007C1B2E"/>
    <w:rsid w:val="007C2739"/>
    <w:rsid w:val="007C49FA"/>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432A"/>
    <w:rsid w:val="007D599E"/>
    <w:rsid w:val="007D5E27"/>
    <w:rsid w:val="007D6CE6"/>
    <w:rsid w:val="007D6F64"/>
    <w:rsid w:val="007E189D"/>
    <w:rsid w:val="007E25AB"/>
    <w:rsid w:val="007E2812"/>
    <w:rsid w:val="007E2C70"/>
    <w:rsid w:val="007E5AC2"/>
    <w:rsid w:val="007E67FC"/>
    <w:rsid w:val="007E6999"/>
    <w:rsid w:val="007E6DCD"/>
    <w:rsid w:val="007E79C5"/>
    <w:rsid w:val="007F0036"/>
    <w:rsid w:val="007F143A"/>
    <w:rsid w:val="007F2845"/>
    <w:rsid w:val="007F33D5"/>
    <w:rsid w:val="007F43BC"/>
    <w:rsid w:val="007F44D7"/>
    <w:rsid w:val="007F4740"/>
    <w:rsid w:val="007F5CEB"/>
    <w:rsid w:val="007F6B5C"/>
    <w:rsid w:val="008006C6"/>
    <w:rsid w:val="00800C52"/>
    <w:rsid w:val="0080153E"/>
    <w:rsid w:val="0080313D"/>
    <w:rsid w:val="0080742D"/>
    <w:rsid w:val="008100AC"/>
    <w:rsid w:val="0081151E"/>
    <w:rsid w:val="00812498"/>
    <w:rsid w:val="0081263E"/>
    <w:rsid w:val="008127E6"/>
    <w:rsid w:val="0081336E"/>
    <w:rsid w:val="00813928"/>
    <w:rsid w:val="0082058C"/>
    <w:rsid w:val="00820DC7"/>
    <w:rsid w:val="00820FFB"/>
    <w:rsid w:val="00821698"/>
    <w:rsid w:val="008221FE"/>
    <w:rsid w:val="00822BF5"/>
    <w:rsid w:val="008244F9"/>
    <w:rsid w:val="00824894"/>
    <w:rsid w:val="00824F51"/>
    <w:rsid w:val="00825366"/>
    <w:rsid w:val="00826C7B"/>
    <w:rsid w:val="00826DD9"/>
    <w:rsid w:val="00826E01"/>
    <w:rsid w:val="008277A8"/>
    <w:rsid w:val="008278B6"/>
    <w:rsid w:val="008307ED"/>
    <w:rsid w:val="0083109A"/>
    <w:rsid w:val="008321CF"/>
    <w:rsid w:val="00832918"/>
    <w:rsid w:val="0083350F"/>
    <w:rsid w:val="00834058"/>
    <w:rsid w:val="00834358"/>
    <w:rsid w:val="008346BD"/>
    <w:rsid w:val="00835FB4"/>
    <w:rsid w:val="00836B7A"/>
    <w:rsid w:val="008409AA"/>
    <w:rsid w:val="00840FB8"/>
    <w:rsid w:val="00842489"/>
    <w:rsid w:val="00842529"/>
    <w:rsid w:val="00843316"/>
    <w:rsid w:val="0084353E"/>
    <w:rsid w:val="008436EA"/>
    <w:rsid w:val="00843A7A"/>
    <w:rsid w:val="008447F5"/>
    <w:rsid w:val="00845927"/>
    <w:rsid w:val="00846292"/>
    <w:rsid w:val="00847885"/>
    <w:rsid w:val="00850413"/>
    <w:rsid w:val="008506E1"/>
    <w:rsid w:val="008515EE"/>
    <w:rsid w:val="008517E9"/>
    <w:rsid w:val="0085201D"/>
    <w:rsid w:val="008528D3"/>
    <w:rsid w:val="00853C8B"/>
    <w:rsid w:val="00854553"/>
    <w:rsid w:val="00855B86"/>
    <w:rsid w:val="008565F1"/>
    <w:rsid w:val="008566DE"/>
    <w:rsid w:val="00856D27"/>
    <w:rsid w:val="00857774"/>
    <w:rsid w:val="0086042D"/>
    <w:rsid w:val="00860874"/>
    <w:rsid w:val="00862008"/>
    <w:rsid w:val="00862720"/>
    <w:rsid w:val="008628C8"/>
    <w:rsid w:val="00862B2A"/>
    <w:rsid w:val="008630B9"/>
    <w:rsid w:val="00863F37"/>
    <w:rsid w:val="0086406B"/>
    <w:rsid w:val="008643CF"/>
    <w:rsid w:val="00864C8C"/>
    <w:rsid w:val="00866A11"/>
    <w:rsid w:val="00866B18"/>
    <w:rsid w:val="00867110"/>
    <w:rsid w:val="008671BB"/>
    <w:rsid w:val="00867651"/>
    <w:rsid w:val="00870D04"/>
    <w:rsid w:val="0087121B"/>
    <w:rsid w:val="008714B6"/>
    <w:rsid w:val="008714DB"/>
    <w:rsid w:val="008743F3"/>
    <w:rsid w:val="0087444A"/>
    <w:rsid w:val="00875139"/>
    <w:rsid w:val="00875410"/>
    <w:rsid w:val="00875659"/>
    <w:rsid w:val="00876483"/>
    <w:rsid w:val="00880EDF"/>
    <w:rsid w:val="00881D4F"/>
    <w:rsid w:val="008824AD"/>
    <w:rsid w:val="00882DE6"/>
    <w:rsid w:val="00883CBD"/>
    <w:rsid w:val="00883D4D"/>
    <w:rsid w:val="00884306"/>
    <w:rsid w:val="0088444E"/>
    <w:rsid w:val="0088448E"/>
    <w:rsid w:val="00884B59"/>
    <w:rsid w:val="008850BA"/>
    <w:rsid w:val="008857F2"/>
    <w:rsid w:val="0088583D"/>
    <w:rsid w:val="00885876"/>
    <w:rsid w:val="00886185"/>
    <w:rsid w:val="008861D9"/>
    <w:rsid w:val="0088638C"/>
    <w:rsid w:val="00886EDF"/>
    <w:rsid w:val="008908E5"/>
    <w:rsid w:val="00891216"/>
    <w:rsid w:val="00894FDC"/>
    <w:rsid w:val="008960BE"/>
    <w:rsid w:val="00897D6F"/>
    <w:rsid w:val="008A0900"/>
    <w:rsid w:val="008A1094"/>
    <w:rsid w:val="008A16F9"/>
    <w:rsid w:val="008A1D3E"/>
    <w:rsid w:val="008A4B16"/>
    <w:rsid w:val="008A4D63"/>
    <w:rsid w:val="008A52D1"/>
    <w:rsid w:val="008A6D62"/>
    <w:rsid w:val="008B13E9"/>
    <w:rsid w:val="008B39E0"/>
    <w:rsid w:val="008B3B51"/>
    <w:rsid w:val="008B4057"/>
    <w:rsid w:val="008B4145"/>
    <w:rsid w:val="008B4CAC"/>
    <w:rsid w:val="008B5290"/>
    <w:rsid w:val="008B68D1"/>
    <w:rsid w:val="008B7812"/>
    <w:rsid w:val="008C2B64"/>
    <w:rsid w:val="008C2CFD"/>
    <w:rsid w:val="008C3E9C"/>
    <w:rsid w:val="008C5590"/>
    <w:rsid w:val="008C57D6"/>
    <w:rsid w:val="008C603A"/>
    <w:rsid w:val="008C6D94"/>
    <w:rsid w:val="008C71C8"/>
    <w:rsid w:val="008C7672"/>
    <w:rsid w:val="008D1657"/>
    <w:rsid w:val="008D167D"/>
    <w:rsid w:val="008D261F"/>
    <w:rsid w:val="008D2B53"/>
    <w:rsid w:val="008D46AC"/>
    <w:rsid w:val="008D492A"/>
    <w:rsid w:val="008D4B58"/>
    <w:rsid w:val="008D4B8A"/>
    <w:rsid w:val="008D5934"/>
    <w:rsid w:val="008D6541"/>
    <w:rsid w:val="008D7D7B"/>
    <w:rsid w:val="008E0435"/>
    <w:rsid w:val="008E0F52"/>
    <w:rsid w:val="008E2316"/>
    <w:rsid w:val="008E33D7"/>
    <w:rsid w:val="008E34BE"/>
    <w:rsid w:val="008E42F4"/>
    <w:rsid w:val="008E5221"/>
    <w:rsid w:val="008E5307"/>
    <w:rsid w:val="008E5657"/>
    <w:rsid w:val="008E5E51"/>
    <w:rsid w:val="008E721F"/>
    <w:rsid w:val="008E7D63"/>
    <w:rsid w:val="008F00DB"/>
    <w:rsid w:val="008F110E"/>
    <w:rsid w:val="008F1264"/>
    <w:rsid w:val="008F1BA3"/>
    <w:rsid w:val="008F365F"/>
    <w:rsid w:val="008F47C6"/>
    <w:rsid w:val="008F5948"/>
    <w:rsid w:val="008F5D03"/>
    <w:rsid w:val="009006A2"/>
    <w:rsid w:val="009007A5"/>
    <w:rsid w:val="0090102B"/>
    <w:rsid w:val="00901448"/>
    <w:rsid w:val="0090238D"/>
    <w:rsid w:val="009036BC"/>
    <w:rsid w:val="00905C47"/>
    <w:rsid w:val="00906379"/>
    <w:rsid w:val="0090638B"/>
    <w:rsid w:val="00906393"/>
    <w:rsid w:val="00907B62"/>
    <w:rsid w:val="009101EA"/>
    <w:rsid w:val="009106FC"/>
    <w:rsid w:val="0091090F"/>
    <w:rsid w:val="00911896"/>
    <w:rsid w:val="009118BB"/>
    <w:rsid w:val="0091191F"/>
    <w:rsid w:val="009130B1"/>
    <w:rsid w:val="00915B81"/>
    <w:rsid w:val="00915D6B"/>
    <w:rsid w:val="009160DF"/>
    <w:rsid w:val="009162C7"/>
    <w:rsid w:val="00916EC2"/>
    <w:rsid w:val="009213BD"/>
    <w:rsid w:val="00924627"/>
    <w:rsid w:val="009249EB"/>
    <w:rsid w:val="009250A8"/>
    <w:rsid w:val="009251C8"/>
    <w:rsid w:val="00925BE6"/>
    <w:rsid w:val="00926F61"/>
    <w:rsid w:val="00930879"/>
    <w:rsid w:val="0093123D"/>
    <w:rsid w:val="00933040"/>
    <w:rsid w:val="009330E9"/>
    <w:rsid w:val="00935D15"/>
    <w:rsid w:val="0093608D"/>
    <w:rsid w:val="009411FB"/>
    <w:rsid w:val="009414A9"/>
    <w:rsid w:val="00941B71"/>
    <w:rsid w:val="009421AD"/>
    <w:rsid w:val="0094221C"/>
    <w:rsid w:val="0094262D"/>
    <w:rsid w:val="0094409C"/>
    <w:rsid w:val="00944159"/>
    <w:rsid w:val="009444D9"/>
    <w:rsid w:val="009449B2"/>
    <w:rsid w:val="00944A82"/>
    <w:rsid w:val="0094601F"/>
    <w:rsid w:val="00946C4D"/>
    <w:rsid w:val="00947322"/>
    <w:rsid w:val="00950387"/>
    <w:rsid w:val="0095285B"/>
    <w:rsid w:val="00952901"/>
    <w:rsid w:val="00953099"/>
    <w:rsid w:val="00953FE9"/>
    <w:rsid w:val="0095481C"/>
    <w:rsid w:val="009567E6"/>
    <w:rsid w:val="00956E25"/>
    <w:rsid w:val="00957076"/>
    <w:rsid w:val="00957132"/>
    <w:rsid w:val="009576FD"/>
    <w:rsid w:val="009578EB"/>
    <w:rsid w:val="009578FF"/>
    <w:rsid w:val="00960446"/>
    <w:rsid w:val="00960D66"/>
    <w:rsid w:val="009610ED"/>
    <w:rsid w:val="00961DDB"/>
    <w:rsid w:val="009633BB"/>
    <w:rsid w:val="0096354A"/>
    <w:rsid w:val="0096485F"/>
    <w:rsid w:val="00965981"/>
    <w:rsid w:val="00966B46"/>
    <w:rsid w:val="0096726D"/>
    <w:rsid w:val="00967354"/>
    <w:rsid w:val="00970C4B"/>
    <w:rsid w:val="00971592"/>
    <w:rsid w:val="00971A2A"/>
    <w:rsid w:val="00971DDF"/>
    <w:rsid w:val="009731D6"/>
    <w:rsid w:val="009744A4"/>
    <w:rsid w:val="00974746"/>
    <w:rsid w:val="00974C40"/>
    <w:rsid w:val="00975119"/>
    <w:rsid w:val="00976F04"/>
    <w:rsid w:val="009775E9"/>
    <w:rsid w:val="009777F4"/>
    <w:rsid w:val="00977AD8"/>
    <w:rsid w:val="00980581"/>
    <w:rsid w:val="00980A10"/>
    <w:rsid w:val="00981130"/>
    <w:rsid w:val="0098242A"/>
    <w:rsid w:val="00983038"/>
    <w:rsid w:val="00983D46"/>
    <w:rsid w:val="00983DCA"/>
    <w:rsid w:val="00985EF7"/>
    <w:rsid w:val="00986396"/>
    <w:rsid w:val="00986CF9"/>
    <w:rsid w:val="00987416"/>
    <w:rsid w:val="00987B58"/>
    <w:rsid w:val="00987BD8"/>
    <w:rsid w:val="009907E2"/>
    <w:rsid w:val="00990C0E"/>
    <w:rsid w:val="00990D75"/>
    <w:rsid w:val="00991093"/>
    <w:rsid w:val="0099163B"/>
    <w:rsid w:val="00992343"/>
    <w:rsid w:val="00993003"/>
    <w:rsid w:val="0099429B"/>
    <w:rsid w:val="00995A65"/>
    <w:rsid w:val="00996306"/>
    <w:rsid w:val="00996744"/>
    <w:rsid w:val="009967DA"/>
    <w:rsid w:val="00997CF4"/>
    <w:rsid w:val="009A1169"/>
    <w:rsid w:val="009A1AAC"/>
    <w:rsid w:val="009A3789"/>
    <w:rsid w:val="009A4860"/>
    <w:rsid w:val="009A6919"/>
    <w:rsid w:val="009A6AC7"/>
    <w:rsid w:val="009A6CC2"/>
    <w:rsid w:val="009A6CF7"/>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25F"/>
    <w:rsid w:val="009D3578"/>
    <w:rsid w:val="009D3A5F"/>
    <w:rsid w:val="009D5193"/>
    <w:rsid w:val="009D5C32"/>
    <w:rsid w:val="009D6472"/>
    <w:rsid w:val="009D79F4"/>
    <w:rsid w:val="009E3CD1"/>
    <w:rsid w:val="009E5988"/>
    <w:rsid w:val="009E5AF5"/>
    <w:rsid w:val="009E5EB5"/>
    <w:rsid w:val="009E623F"/>
    <w:rsid w:val="009E74F0"/>
    <w:rsid w:val="009E79E1"/>
    <w:rsid w:val="009F0768"/>
    <w:rsid w:val="009F12F3"/>
    <w:rsid w:val="009F7867"/>
    <w:rsid w:val="009F7D66"/>
    <w:rsid w:val="00A00BD2"/>
    <w:rsid w:val="00A00E56"/>
    <w:rsid w:val="00A027F3"/>
    <w:rsid w:val="00A02FAD"/>
    <w:rsid w:val="00A03978"/>
    <w:rsid w:val="00A05DF3"/>
    <w:rsid w:val="00A05F4C"/>
    <w:rsid w:val="00A0670C"/>
    <w:rsid w:val="00A07E08"/>
    <w:rsid w:val="00A10FA3"/>
    <w:rsid w:val="00A12798"/>
    <w:rsid w:val="00A153BE"/>
    <w:rsid w:val="00A15DEE"/>
    <w:rsid w:val="00A167B5"/>
    <w:rsid w:val="00A168A6"/>
    <w:rsid w:val="00A16DBE"/>
    <w:rsid w:val="00A17C4F"/>
    <w:rsid w:val="00A20653"/>
    <w:rsid w:val="00A20A39"/>
    <w:rsid w:val="00A226C9"/>
    <w:rsid w:val="00A238BD"/>
    <w:rsid w:val="00A243E4"/>
    <w:rsid w:val="00A2459D"/>
    <w:rsid w:val="00A24E23"/>
    <w:rsid w:val="00A251B8"/>
    <w:rsid w:val="00A25F05"/>
    <w:rsid w:val="00A2729B"/>
    <w:rsid w:val="00A272F3"/>
    <w:rsid w:val="00A311AE"/>
    <w:rsid w:val="00A312A6"/>
    <w:rsid w:val="00A3130E"/>
    <w:rsid w:val="00A324CF"/>
    <w:rsid w:val="00A32E8B"/>
    <w:rsid w:val="00A32ED6"/>
    <w:rsid w:val="00A33763"/>
    <w:rsid w:val="00A344A5"/>
    <w:rsid w:val="00A3457F"/>
    <w:rsid w:val="00A346C3"/>
    <w:rsid w:val="00A34A89"/>
    <w:rsid w:val="00A35730"/>
    <w:rsid w:val="00A35ACA"/>
    <w:rsid w:val="00A35FC3"/>
    <w:rsid w:val="00A37381"/>
    <w:rsid w:val="00A418F8"/>
    <w:rsid w:val="00A42D07"/>
    <w:rsid w:val="00A450C0"/>
    <w:rsid w:val="00A45468"/>
    <w:rsid w:val="00A455F8"/>
    <w:rsid w:val="00A4791B"/>
    <w:rsid w:val="00A503E3"/>
    <w:rsid w:val="00A50A48"/>
    <w:rsid w:val="00A51242"/>
    <w:rsid w:val="00A51522"/>
    <w:rsid w:val="00A51573"/>
    <w:rsid w:val="00A51A5E"/>
    <w:rsid w:val="00A52895"/>
    <w:rsid w:val="00A53DA0"/>
    <w:rsid w:val="00A56C4B"/>
    <w:rsid w:val="00A5765D"/>
    <w:rsid w:val="00A607CB"/>
    <w:rsid w:val="00A60FFE"/>
    <w:rsid w:val="00A6351F"/>
    <w:rsid w:val="00A638AE"/>
    <w:rsid w:val="00A643E0"/>
    <w:rsid w:val="00A65A70"/>
    <w:rsid w:val="00A66F36"/>
    <w:rsid w:val="00A676D9"/>
    <w:rsid w:val="00A67EFC"/>
    <w:rsid w:val="00A7031E"/>
    <w:rsid w:val="00A70759"/>
    <w:rsid w:val="00A71140"/>
    <w:rsid w:val="00A72B7B"/>
    <w:rsid w:val="00A74692"/>
    <w:rsid w:val="00A7618B"/>
    <w:rsid w:val="00A7640B"/>
    <w:rsid w:val="00A7778B"/>
    <w:rsid w:val="00A803BC"/>
    <w:rsid w:val="00A80969"/>
    <w:rsid w:val="00A83BDD"/>
    <w:rsid w:val="00A84805"/>
    <w:rsid w:val="00A858C5"/>
    <w:rsid w:val="00A86EA7"/>
    <w:rsid w:val="00A87B30"/>
    <w:rsid w:val="00A91244"/>
    <w:rsid w:val="00A91731"/>
    <w:rsid w:val="00A91AA1"/>
    <w:rsid w:val="00A920EC"/>
    <w:rsid w:val="00A92776"/>
    <w:rsid w:val="00A93181"/>
    <w:rsid w:val="00A938E6"/>
    <w:rsid w:val="00A93CCF"/>
    <w:rsid w:val="00A95BD5"/>
    <w:rsid w:val="00A96F78"/>
    <w:rsid w:val="00A97CD6"/>
    <w:rsid w:val="00AA04F8"/>
    <w:rsid w:val="00AA0649"/>
    <w:rsid w:val="00AA1087"/>
    <w:rsid w:val="00AA150A"/>
    <w:rsid w:val="00AA25A9"/>
    <w:rsid w:val="00AA26D9"/>
    <w:rsid w:val="00AA27F5"/>
    <w:rsid w:val="00AA30C5"/>
    <w:rsid w:val="00AA3603"/>
    <w:rsid w:val="00AA3DEA"/>
    <w:rsid w:val="00AA4AE2"/>
    <w:rsid w:val="00AA51AD"/>
    <w:rsid w:val="00AA591E"/>
    <w:rsid w:val="00AA65C9"/>
    <w:rsid w:val="00AB0A32"/>
    <w:rsid w:val="00AB0E56"/>
    <w:rsid w:val="00AB35E5"/>
    <w:rsid w:val="00AB37DC"/>
    <w:rsid w:val="00AB3A15"/>
    <w:rsid w:val="00AB4ECC"/>
    <w:rsid w:val="00AB4FBA"/>
    <w:rsid w:val="00AB6601"/>
    <w:rsid w:val="00AB674E"/>
    <w:rsid w:val="00AB6D79"/>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9FF"/>
    <w:rsid w:val="00AD6F67"/>
    <w:rsid w:val="00AD702B"/>
    <w:rsid w:val="00AD72E6"/>
    <w:rsid w:val="00AD7311"/>
    <w:rsid w:val="00AD7C95"/>
    <w:rsid w:val="00AE0960"/>
    <w:rsid w:val="00AE0E33"/>
    <w:rsid w:val="00AE1257"/>
    <w:rsid w:val="00AE394B"/>
    <w:rsid w:val="00AE3DE1"/>
    <w:rsid w:val="00AE44AC"/>
    <w:rsid w:val="00AE507F"/>
    <w:rsid w:val="00AE6E76"/>
    <w:rsid w:val="00AE7527"/>
    <w:rsid w:val="00AF03CF"/>
    <w:rsid w:val="00AF259C"/>
    <w:rsid w:val="00AF2D54"/>
    <w:rsid w:val="00AF3458"/>
    <w:rsid w:val="00AF3F7B"/>
    <w:rsid w:val="00AF42B4"/>
    <w:rsid w:val="00AF4B8A"/>
    <w:rsid w:val="00AF4F1B"/>
    <w:rsid w:val="00AF53BE"/>
    <w:rsid w:val="00AF5EC6"/>
    <w:rsid w:val="00AF6E8A"/>
    <w:rsid w:val="00AF71D9"/>
    <w:rsid w:val="00AF7213"/>
    <w:rsid w:val="00AF7D92"/>
    <w:rsid w:val="00AF7FC8"/>
    <w:rsid w:val="00B011CC"/>
    <w:rsid w:val="00B04048"/>
    <w:rsid w:val="00B04946"/>
    <w:rsid w:val="00B04F3D"/>
    <w:rsid w:val="00B0519F"/>
    <w:rsid w:val="00B056DF"/>
    <w:rsid w:val="00B05702"/>
    <w:rsid w:val="00B05FEE"/>
    <w:rsid w:val="00B06DD9"/>
    <w:rsid w:val="00B07CD6"/>
    <w:rsid w:val="00B07E52"/>
    <w:rsid w:val="00B10010"/>
    <w:rsid w:val="00B11646"/>
    <w:rsid w:val="00B11775"/>
    <w:rsid w:val="00B12660"/>
    <w:rsid w:val="00B1274E"/>
    <w:rsid w:val="00B12D0F"/>
    <w:rsid w:val="00B1302D"/>
    <w:rsid w:val="00B133E5"/>
    <w:rsid w:val="00B13B77"/>
    <w:rsid w:val="00B149A6"/>
    <w:rsid w:val="00B14DC2"/>
    <w:rsid w:val="00B1513F"/>
    <w:rsid w:val="00B15B31"/>
    <w:rsid w:val="00B15B89"/>
    <w:rsid w:val="00B1746F"/>
    <w:rsid w:val="00B17EA8"/>
    <w:rsid w:val="00B20725"/>
    <w:rsid w:val="00B209EC"/>
    <w:rsid w:val="00B20B94"/>
    <w:rsid w:val="00B21F0C"/>
    <w:rsid w:val="00B22CD3"/>
    <w:rsid w:val="00B2506B"/>
    <w:rsid w:val="00B2628E"/>
    <w:rsid w:val="00B266B0"/>
    <w:rsid w:val="00B27921"/>
    <w:rsid w:val="00B3000E"/>
    <w:rsid w:val="00B326A8"/>
    <w:rsid w:val="00B329EB"/>
    <w:rsid w:val="00B33330"/>
    <w:rsid w:val="00B33508"/>
    <w:rsid w:val="00B3377E"/>
    <w:rsid w:val="00B337DA"/>
    <w:rsid w:val="00B35BC9"/>
    <w:rsid w:val="00B35DA4"/>
    <w:rsid w:val="00B36B65"/>
    <w:rsid w:val="00B37C6F"/>
    <w:rsid w:val="00B40A96"/>
    <w:rsid w:val="00B4184B"/>
    <w:rsid w:val="00B422A7"/>
    <w:rsid w:val="00B42A32"/>
    <w:rsid w:val="00B42FA6"/>
    <w:rsid w:val="00B4399E"/>
    <w:rsid w:val="00B43A16"/>
    <w:rsid w:val="00B44435"/>
    <w:rsid w:val="00B44B71"/>
    <w:rsid w:val="00B44EE2"/>
    <w:rsid w:val="00B45317"/>
    <w:rsid w:val="00B45C10"/>
    <w:rsid w:val="00B45CE1"/>
    <w:rsid w:val="00B46A75"/>
    <w:rsid w:val="00B46FB7"/>
    <w:rsid w:val="00B500CD"/>
    <w:rsid w:val="00B5239C"/>
    <w:rsid w:val="00B52FD2"/>
    <w:rsid w:val="00B53893"/>
    <w:rsid w:val="00B53E5A"/>
    <w:rsid w:val="00B546CC"/>
    <w:rsid w:val="00B548C2"/>
    <w:rsid w:val="00B54F05"/>
    <w:rsid w:val="00B55428"/>
    <w:rsid w:val="00B555FB"/>
    <w:rsid w:val="00B55E5C"/>
    <w:rsid w:val="00B570BF"/>
    <w:rsid w:val="00B57144"/>
    <w:rsid w:val="00B5729A"/>
    <w:rsid w:val="00B57F99"/>
    <w:rsid w:val="00B61188"/>
    <w:rsid w:val="00B63337"/>
    <w:rsid w:val="00B6369F"/>
    <w:rsid w:val="00B639D7"/>
    <w:rsid w:val="00B64AA7"/>
    <w:rsid w:val="00B66594"/>
    <w:rsid w:val="00B6674F"/>
    <w:rsid w:val="00B67805"/>
    <w:rsid w:val="00B70A76"/>
    <w:rsid w:val="00B721CD"/>
    <w:rsid w:val="00B7267A"/>
    <w:rsid w:val="00B726FF"/>
    <w:rsid w:val="00B727F4"/>
    <w:rsid w:val="00B7291A"/>
    <w:rsid w:val="00B72AA4"/>
    <w:rsid w:val="00B753B6"/>
    <w:rsid w:val="00B75454"/>
    <w:rsid w:val="00B76BCD"/>
    <w:rsid w:val="00B76EE9"/>
    <w:rsid w:val="00B77880"/>
    <w:rsid w:val="00B77FD9"/>
    <w:rsid w:val="00B80D90"/>
    <w:rsid w:val="00B82537"/>
    <w:rsid w:val="00B82613"/>
    <w:rsid w:val="00B828B5"/>
    <w:rsid w:val="00B83B0D"/>
    <w:rsid w:val="00B83E73"/>
    <w:rsid w:val="00B84E9C"/>
    <w:rsid w:val="00B85522"/>
    <w:rsid w:val="00B869DF"/>
    <w:rsid w:val="00B8FA77"/>
    <w:rsid w:val="00B90E2A"/>
    <w:rsid w:val="00B90F2A"/>
    <w:rsid w:val="00B9198D"/>
    <w:rsid w:val="00B93008"/>
    <w:rsid w:val="00B9406D"/>
    <w:rsid w:val="00B944C0"/>
    <w:rsid w:val="00B9466F"/>
    <w:rsid w:val="00B94BA7"/>
    <w:rsid w:val="00B94BE9"/>
    <w:rsid w:val="00B94E0E"/>
    <w:rsid w:val="00B96736"/>
    <w:rsid w:val="00B97CA3"/>
    <w:rsid w:val="00BA143E"/>
    <w:rsid w:val="00BA3D7B"/>
    <w:rsid w:val="00BA675D"/>
    <w:rsid w:val="00BA76A9"/>
    <w:rsid w:val="00BB2266"/>
    <w:rsid w:val="00BB2416"/>
    <w:rsid w:val="00BB3E2B"/>
    <w:rsid w:val="00BB5043"/>
    <w:rsid w:val="00BB5D1C"/>
    <w:rsid w:val="00BB6552"/>
    <w:rsid w:val="00BB6B9B"/>
    <w:rsid w:val="00BB754F"/>
    <w:rsid w:val="00BC07D4"/>
    <w:rsid w:val="00BC0A5D"/>
    <w:rsid w:val="00BC0BE3"/>
    <w:rsid w:val="00BC1AD9"/>
    <w:rsid w:val="00BC32E7"/>
    <w:rsid w:val="00BC478E"/>
    <w:rsid w:val="00BC54A5"/>
    <w:rsid w:val="00BC58B9"/>
    <w:rsid w:val="00BC5F5F"/>
    <w:rsid w:val="00BC6A49"/>
    <w:rsid w:val="00BD0E81"/>
    <w:rsid w:val="00BD399D"/>
    <w:rsid w:val="00BD3E68"/>
    <w:rsid w:val="00BD5468"/>
    <w:rsid w:val="00BD598A"/>
    <w:rsid w:val="00BD692E"/>
    <w:rsid w:val="00BD75B4"/>
    <w:rsid w:val="00BD7BFE"/>
    <w:rsid w:val="00BD7D14"/>
    <w:rsid w:val="00BE02B4"/>
    <w:rsid w:val="00BE0A4E"/>
    <w:rsid w:val="00BE1553"/>
    <w:rsid w:val="00BE2797"/>
    <w:rsid w:val="00BE31D7"/>
    <w:rsid w:val="00BE3BE1"/>
    <w:rsid w:val="00BE4EC9"/>
    <w:rsid w:val="00BE51BF"/>
    <w:rsid w:val="00BE631E"/>
    <w:rsid w:val="00BE7646"/>
    <w:rsid w:val="00BF0BD4"/>
    <w:rsid w:val="00BF0CCF"/>
    <w:rsid w:val="00BF0FC5"/>
    <w:rsid w:val="00BF10BC"/>
    <w:rsid w:val="00BF21AC"/>
    <w:rsid w:val="00BF2E53"/>
    <w:rsid w:val="00BF3133"/>
    <w:rsid w:val="00BF3669"/>
    <w:rsid w:val="00BF3C0D"/>
    <w:rsid w:val="00BF711C"/>
    <w:rsid w:val="00BF7C74"/>
    <w:rsid w:val="00C00ED8"/>
    <w:rsid w:val="00C02E65"/>
    <w:rsid w:val="00C03309"/>
    <w:rsid w:val="00C067D5"/>
    <w:rsid w:val="00C072FE"/>
    <w:rsid w:val="00C12E39"/>
    <w:rsid w:val="00C1339A"/>
    <w:rsid w:val="00C14164"/>
    <w:rsid w:val="00C14FA4"/>
    <w:rsid w:val="00C15D8E"/>
    <w:rsid w:val="00C1668C"/>
    <w:rsid w:val="00C17012"/>
    <w:rsid w:val="00C178FB"/>
    <w:rsid w:val="00C2140A"/>
    <w:rsid w:val="00C22B28"/>
    <w:rsid w:val="00C22B5A"/>
    <w:rsid w:val="00C232AB"/>
    <w:rsid w:val="00C24077"/>
    <w:rsid w:val="00C257B7"/>
    <w:rsid w:val="00C25F86"/>
    <w:rsid w:val="00C272E8"/>
    <w:rsid w:val="00C311EC"/>
    <w:rsid w:val="00C320C0"/>
    <w:rsid w:val="00C321F5"/>
    <w:rsid w:val="00C33359"/>
    <w:rsid w:val="00C348D6"/>
    <w:rsid w:val="00C35389"/>
    <w:rsid w:val="00C365E7"/>
    <w:rsid w:val="00C36E34"/>
    <w:rsid w:val="00C404EE"/>
    <w:rsid w:val="00C40D2D"/>
    <w:rsid w:val="00C40FC3"/>
    <w:rsid w:val="00C4171B"/>
    <w:rsid w:val="00C42689"/>
    <w:rsid w:val="00C42988"/>
    <w:rsid w:val="00C42BD4"/>
    <w:rsid w:val="00C43547"/>
    <w:rsid w:val="00C43FF0"/>
    <w:rsid w:val="00C4421B"/>
    <w:rsid w:val="00C44641"/>
    <w:rsid w:val="00C45489"/>
    <w:rsid w:val="00C45EF5"/>
    <w:rsid w:val="00C46B7E"/>
    <w:rsid w:val="00C50A4E"/>
    <w:rsid w:val="00C50CE4"/>
    <w:rsid w:val="00C51A73"/>
    <w:rsid w:val="00C520B1"/>
    <w:rsid w:val="00C522D6"/>
    <w:rsid w:val="00C54020"/>
    <w:rsid w:val="00C5406F"/>
    <w:rsid w:val="00C545C5"/>
    <w:rsid w:val="00C55566"/>
    <w:rsid w:val="00C6038F"/>
    <w:rsid w:val="00C61D4B"/>
    <w:rsid w:val="00C62B0A"/>
    <w:rsid w:val="00C63F08"/>
    <w:rsid w:val="00C640FE"/>
    <w:rsid w:val="00C650CF"/>
    <w:rsid w:val="00C6528C"/>
    <w:rsid w:val="00C6598C"/>
    <w:rsid w:val="00C661E8"/>
    <w:rsid w:val="00C6648F"/>
    <w:rsid w:val="00C6715E"/>
    <w:rsid w:val="00C671D0"/>
    <w:rsid w:val="00C70084"/>
    <w:rsid w:val="00C70C3C"/>
    <w:rsid w:val="00C71582"/>
    <w:rsid w:val="00C718E9"/>
    <w:rsid w:val="00C7235B"/>
    <w:rsid w:val="00C72E18"/>
    <w:rsid w:val="00C731AD"/>
    <w:rsid w:val="00C73553"/>
    <w:rsid w:val="00C7380B"/>
    <w:rsid w:val="00C74421"/>
    <w:rsid w:val="00C74670"/>
    <w:rsid w:val="00C7542D"/>
    <w:rsid w:val="00C75F2F"/>
    <w:rsid w:val="00C75FEE"/>
    <w:rsid w:val="00C76F1D"/>
    <w:rsid w:val="00C77D26"/>
    <w:rsid w:val="00C80BDF"/>
    <w:rsid w:val="00C84D39"/>
    <w:rsid w:val="00C85277"/>
    <w:rsid w:val="00C8562B"/>
    <w:rsid w:val="00C85D76"/>
    <w:rsid w:val="00C864B8"/>
    <w:rsid w:val="00C869A3"/>
    <w:rsid w:val="00C8700A"/>
    <w:rsid w:val="00C873AC"/>
    <w:rsid w:val="00C906C6"/>
    <w:rsid w:val="00C917A6"/>
    <w:rsid w:val="00C93462"/>
    <w:rsid w:val="00C94384"/>
    <w:rsid w:val="00C94A34"/>
    <w:rsid w:val="00C94C2B"/>
    <w:rsid w:val="00C96860"/>
    <w:rsid w:val="00C96F79"/>
    <w:rsid w:val="00C97146"/>
    <w:rsid w:val="00C97CF9"/>
    <w:rsid w:val="00CA01F1"/>
    <w:rsid w:val="00CA0642"/>
    <w:rsid w:val="00CA17DD"/>
    <w:rsid w:val="00CA1863"/>
    <w:rsid w:val="00CA192A"/>
    <w:rsid w:val="00CA26CE"/>
    <w:rsid w:val="00CA391D"/>
    <w:rsid w:val="00CA3ACD"/>
    <w:rsid w:val="00CA4779"/>
    <w:rsid w:val="00CA4F8B"/>
    <w:rsid w:val="00CA519F"/>
    <w:rsid w:val="00CB09DA"/>
    <w:rsid w:val="00CB0BD9"/>
    <w:rsid w:val="00CB1CAC"/>
    <w:rsid w:val="00CB1D87"/>
    <w:rsid w:val="00CB1DE8"/>
    <w:rsid w:val="00CB1E3B"/>
    <w:rsid w:val="00CB1F1D"/>
    <w:rsid w:val="00CB4212"/>
    <w:rsid w:val="00CB600D"/>
    <w:rsid w:val="00CB71F8"/>
    <w:rsid w:val="00CB7EE0"/>
    <w:rsid w:val="00CC26DB"/>
    <w:rsid w:val="00CC300C"/>
    <w:rsid w:val="00CC35AE"/>
    <w:rsid w:val="00CC3DAA"/>
    <w:rsid w:val="00CC43B0"/>
    <w:rsid w:val="00CC49C7"/>
    <w:rsid w:val="00CC4C2C"/>
    <w:rsid w:val="00CC5057"/>
    <w:rsid w:val="00CC5603"/>
    <w:rsid w:val="00CC587F"/>
    <w:rsid w:val="00CD078F"/>
    <w:rsid w:val="00CD121E"/>
    <w:rsid w:val="00CD144A"/>
    <w:rsid w:val="00CD1922"/>
    <w:rsid w:val="00CD28F0"/>
    <w:rsid w:val="00CD386B"/>
    <w:rsid w:val="00CD3ED8"/>
    <w:rsid w:val="00CD736C"/>
    <w:rsid w:val="00CD761D"/>
    <w:rsid w:val="00CD76B5"/>
    <w:rsid w:val="00CE2346"/>
    <w:rsid w:val="00CE2B02"/>
    <w:rsid w:val="00CE4F2D"/>
    <w:rsid w:val="00CE6A8A"/>
    <w:rsid w:val="00CE6F0F"/>
    <w:rsid w:val="00CE7C7C"/>
    <w:rsid w:val="00CF002F"/>
    <w:rsid w:val="00CF0246"/>
    <w:rsid w:val="00CF0C02"/>
    <w:rsid w:val="00CF1899"/>
    <w:rsid w:val="00CF2483"/>
    <w:rsid w:val="00CF24E2"/>
    <w:rsid w:val="00CF272A"/>
    <w:rsid w:val="00CF393D"/>
    <w:rsid w:val="00CF41BB"/>
    <w:rsid w:val="00CF4ABD"/>
    <w:rsid w:val="00CF5A53"/>
    <w:rsid w:val="00CF5D28"/>
    <w:rsid w:val="00CF6942"/>
    <w:rsid w:val="00CF6F1E"/>
    <w:rsid w:val="00D001F9"/>
    <w:rsid w:val="00D0036E"/>
    <w:rsid w:val="00D00BB7"/>
    <w:rsid w:val="00D01EAD"/>
    <w:rsid w:val="00D0246D"/>
    <w:rsid w:val="00D035B9"/>
    <w:rsid w:val="00D060FF"/>
    <w:rsid w:val="00D064E8"/>
    <w:rsid w:val="00D06572"/>
    <w:rsid w:val="00D065CD"/>
    <w:rsid w:val="00D06A32"/>
    <w:rsid w:val="00D07D93"/>
    <w:rsid w:val="00D1037D"/>
    <w:rsid w:val="00D113DA"/>
    <w:rsid w:val="00D11D9A"/>
    <w:rsid w:val="00D12325"/>
    <w:rsid w:val="00D14487"/>
    <w:rsid w:val="00D15E7E"/>
    <w:rsid w:val="00D162EF"/>
    <w:rsid w:val="00D17F03"/>
    <w:rsid w:val="00D20016"/>
    <w:rsid w:val="00D207A7"/>
    <w:rsid w:val="00D20CD6"/>
    <w:rsid w:val="00D20E00"/>
    <w:rsid w:val="00D21DBE"/>
    <w:rsid w:val="00D2244B"/>
    <w:rsid w:val="00D2279F"/>
    <w:rsid w:val="00D22AF1"/>
    <w:rsid w:val="00D22E93"/>
    <w:rsid w:val="00D242DA"/>
    <w:rsid w:val="00D26448"/>
    <w:rsid w:val="00D264CE"/>
    <w:rsid w:val="00D26670"/>
    <w:rsid w:val="00D270F5"/>
    <w:rsid w:val="00D27137"/>
    <w:rsid w:val="00D275CA"/>
    <w:rsid w:val="00D27B8B"/>
    <w:rsid w:val="00D31B6E"/>
    <w:rsid w:val="00D3232B"/>
    <w:rsid w:val="00D3239F"/>
    <w:rsid w:val="00D324A4"/>
    <w:rsid w:val="00D3250C"/>
    <w:rsid w:val="00D328F6"/>
    <w:rsid w:val="00D3462C"/>
    <w:rsid w:val="00D35198"/>
    <w:rsid w:val="00D3584B"/>
    <w:rsid w:val="00D376F7"/>
    <w:rsid w:val="00D41004"/>
    <w:rsid w:val="00D42240"/>
    <w:rsid w:val="00D427C3"/>
    <w:rsid w:val="00D42EB8"/>
    <w:rsid w:val="00D4426B"/>
    <w:rsid w:val="00D44922"/>
    <w:rsid w:val="00D44932"/>
    <w:rsid w:val="00D46111"/>
    <w:rsid w:val="00D47953"/>
    <w:rsid w:val="00D47C16"/>
    <w:rsid w:val="00D502AF"/>
    <w:rsid w:val="00D50709"/>
    <w:rsid w:val="00D50764"/>
    <w:rsid w:val="00D50C12"/>
    <w:rsid w:val="00D518FF"/>
    <w:rsid w:val="00D51A77"/>
    <w:rsid w:val="00D52751"/>
    <w:rsid w:val="00D52859"/>
    <w:rsid w:val="00D53128"/>
    <w:rsid w:val="00D5354F"/>
    <w:rsid w:val="00D53649"/>
    <w:rsid w:val="00D53830"/>
    <w:rsid w:val="00D53DCD"/>
    <w:rsid w:val="00D54695"/>
    <w:rsid w:val="00D54FB3"/>
    <w:rsid w:val="00D55889"/>
    <w:rsid w:val="00D56B5F"/>
    <w:rsid w:val="00D57A3F"/>
    <w:rsid w:val="00D57AF0"/>
    <w:rsid w:val="00D57DCF"/>
    <w:rsid w:val="00D61FC2"/>
    <w:rsid w:val="00D62ECD"/>
    <w:rsid w:val="00D630F6"/>
    <w:rsid w:val="00D63C9B"/>
    <w:rsid w:val="00D64426"/>
    <w:rsid w:val="00D645A3"/>
    <w:rsid w:val="00D65D78"/>
    <w:rsid w:val="00D67BC5"/>
    <w:rsid w:val="00D7021B"/>
    <w:rsid w:val="00D7073E"/>
    <w:rsid w:val="00D70D33"/>
    <w:rsid w:val="00D71749"/>
    <w:rsid w:val="00D73077"/>
    <w:rsid w:val="00D736A2"/>
    <w:rsid w:val="00D73C57"/>
    <w:rsid w:val="00D740CD"/>
    <w:rsid w:val="00D742FF"/>
    <w:rsid w:val="00D758B3"/>
    <w:rsid w:val="00D76ADC"/>
    <w:rsid w:val="00D77413"/>
    <w:rsid w:val="00D7796B"/>
    <w:rsid w:val="00D80F4C"/>
    <w:rsid w:val="00D81F10"/>
    <w:rsid w:val="00D8201E"/>
    <w:rsid w:val="00D840D1"/>
    <w:rsid w:val="00D84A57"/>
    <w:rsid w:val="00D84C3B"/>
    <w:rsid w:val="00D85B6E"/>
    <w:rsid w:val="00D86873"/>
    <w:rsid w:val="00D874DF"/>
    <w:rsid w:val="00D87A12"/>
    <w:rsid w:val="00D901E6"/>
    <w:rsid w:val="00D90C06"/>
    <w:rsid w:val="00D918F4"/>
    <w:rsid w:val="00D91E13"/>
    <w:rsid w:val="00D930E1"/>
    <w:rsid w:val="00D9415C"/>
    <w:rsid w:val="00D942CC"/>
    <w:rsid w:val="00D94ADE"/>
    <w:rsid w:val="00D94D87"/>
    <w:rsid w:val="00D962DC"/>
    <w:rsid w:val="00D97BB5"/>
    <w:rsid w:val="00DA180C"/>
    <w:rsid w:val="00DA1EF7"/>
    <w:rsid w:val="00DA3E7B"/>
    <w:rsid w:val="00DA451D"/>
    <w:rsid w:val="00DA56DB"/>
    <w:rsid w:val="00DA6452"/>
    <w:rsid w:val="00DA6C81"/>
    <w:rsid w:val="00DA6FE9"/>
    <w:rsid w:val="00DA7925"/>
    <w:rsid w:val="00DB0AB8"/>
    <w:rsid w:val="00DB0D2A"/>
    <w:rsid w:val="00DB11CD"/>
    <w:rsid w:val="00DB1DAB"/>
    <w:rsid w:val="00DB3678"/>
    <w:rsid w:val="00DB39D4"/>
    <w:rsid w:val="00DB3A47"/>
    <w:rsid w:val="00DB4E06"/>
    <w:rsid w:val="00DB5636"/>
    <w:rsid w:val="00DB622B"/>
    <w:rsid w:val="00DB6A80"/>
    <w:rsid w:val="00DB6C06"/>
    <w:rsid w:val="00DB7B06"/>
    <w:rsid w:val="00DC0E0D"/>
    <w:rsid w:val="00DC1442"/>
    <w:rsid w:val="00DC2CCF"/>
    <w:rsid w:val="00DC3A9D"/>
    <w:rsid w:val="00DC3FF5"/>
    <w:rsid w:val="00DC45C0"/>
    <w:rsid w:val="00DC6C1E"/>
    <w:rsid w:val="00DC708C"/>
    <w:rsid w:val="00DC7951"/>
    <w:rsid w:val="00DD0F95"/>
    <w:rsid w:val="00DD192B"/>
    <w:rsid w:val="00DD1B23"/>
    <w:rsid w:val="00DD1C4B"/>
    <w:rsid w:val="00DD1F7B"/>
    <w:rsid w:val="00DD229E"/>
    <w:rsid w:val="00DD3029"/>
    <w:rsid w:val="00DD3C71"/>
    <w:rsid w:val="00DD4D01"/>
    <w:rsid w:val="00DD55E0"/>
    <w:rsid w:val="00DD59F5"/>
    <w:rsid w:val="00DD5E12"/>
    <w:rsid w:val="00DD6A61"/>
    <w:rsid w:val="00DE0C66"/>
    <w:rsid w:val="00DE0C67"/>
    <w:rsid w:val="00DE1904"/>
    <w:rsid w:val="00DE21C8"/>
    <w:rsid w:val="00DE2589"/>
    <w:rsid w:val="00DE3202"/>
    <w:rsid w:val="00DE3903"/>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7742"/>
    <w:rsid w:val="00DF7751"/>
    <w:rsid w:val="00E004EA"/>
    <w:rsid w:val="00E01399"/>
    <w:rsid w:val="00E02510"/>
    <w:rsid w:val="00E031BB"/>
    <w:rsid w:val="00E0424A"/>
    <w:rsid w:val="00E0520E"/>
    <w:rsid w:val="00E0576C"/>
    <w:rsid w:val="00E0626B"/>
    <w:rsid w:val="00E068BC"/>
    <w:rsid w:val="00E071E5"/>
    <w:rsid w:val="00E073F0"/>
    <w:rsid w:val="00E10761"/>
    <w:rsid w:val="00E108E4"/>
    <w:rsid w:val="00E1101D"/>
    <w:rsid w:val="00E11594"/>
    <w:rsid w:val="00E11D7A"/>
    <w:rsid w:val="00E11EEB"/>
    <w:rsid w:val="00E128F2"/>
    <w:rsid w:val="00E13883"/>
    <w:rsid w:val="00E13EE4"/>
    <w:rsid w:val="00E16463"/>
    <w:rsid w:val="00E20577"/>
    <w:rsid w:val="00E20CCC"/>
    <w:rsid w:val="00E215CE"/>
    <w:rsid w:val="00E231CD"/>
    <w:rsid w:val="00E239D1"/>
    <w:rsid w:val="00E26727"/>
    <w:rsid w:val="00E26970"/>
    <w:rsid w:val="00E27791"/>
    <w:rsid w:val="00E30F2D"/>
    <w:rsid w:val="00E313D4"/>
    <w:rsid w:val="00E319DB"/>
    <w:rsid w:val="00E31AFC"/>
    <w:rsid w:val="00E33889"/>
    <w:rsid w:val="00E33B0B"/>
    <w:rsid w:val="00E3409E"/>
    <w:rsid w:val="00E34F76"/>
    <w:rsid w:val="00E372D9"/>
    <w:rsid w:val="00E37BE5"/>
    <w:rsid w:val="00E41A27"/>
    <w:rsid w:val="00E4211B"/>
    <w:rsid w:val="00E4285A"/>
    <w:rsid w:val="00E430C7"/>
    <w:rsid w:val="00E445BD"/>
    <w:rsid w:val="00E45832"/>
    <w:rsid w:val="00E45E0C"/>
    <w:rsid w:val="00E4608B"/>
    <w:rsid w:val="00E461CA"/>
    <w:rsid w:val="00E47CFA"/>
    <w:rsid w:val="00E501D3"/>
    <w:rsid w:val="00E5234E"/>
    <w:rsid w:val="00E53A01"/>
    <w:rsid w:val="00E54961"/>
    <w:rsid w:val="00E564C4"/>
    <w:rsid w:val="00E567C9"/>
    <w:rsid w:val="00E604C4"/>
    <w:rsid w:val="00E60809"/>
    <w:rsid w:val="00E60991"/>
    <w:rsid w:val="00E61300"/>
    <w:rsid w:val="00E614F2"/>
    <w:rsid w:val="00E635B9"/>
    <w:rsid w:val="00E64205"/>
    <w:rsid w:val="00E65D15"/>
    <w:rsid w:val="00E66C49"/>
    <w:rsid w:val="00E67EE5"/>
    <w:rsid w:val="00E7013A"/>
    <w:rsid w:val="00E726A0"/>
    <w:rsid w:val="00E74F5D"/>
    <w:rsid w:val="00E75D35"/>
    <w:rsid w:val="00E76034"/>
    <w:rsid w:val="00E767D3"/>
    <w:rsid w:val="00E80440"/>
    <w:rsid w:val="00E80515"/>
    <w:rsid w:val="00E81752"/>
    <w:rsid w:val="00E817E0"/>
    <w:rsid w:val="00E819FB"/>
    <w:rsid w:val="00E82B3D"/>
    <w:rsid w:val="00E82EE4"/>
    <w:rsid w:val="00E831E7"/>
    <w:rsid w:val="00E843B5"/>
    <w:rsid w:val="00E84848"/>
    <w:rsid w:val="00E84A3B"/>
    <w:rsid w:val="00E85307"/>
    <w:rsid w:val="00E87E13"/>
    <w:rsid w:val="00E907E4"/>
    <w:rsid w:val="00E90A24"/>
    <w:rsid w:val="00E90C34"/>
    <w:rsid w:val="00E919AC"/>
    <w:rsid w:val="00E91AC8"/>
    <w:rsid w:val="00E92244"/>
    <w:rsid w:val="00E946A6"/>
    <w:rsid w:val="00E947E4"/>
    <w:rsid w:val="00E94C9F"/>
    <w:rsid w:val="00E95C85"/>
    <w:rsid w:val="00E96A29"/>
    <w:rsid w:val="00E96B28"/>
    <w:rsid w:val="00E96FE6"/>
    <w:rsid w:val="00E97652"/>
    <w:rsid w:val="00E9765F"/>
    <w:rsid w:val="00EA0A5C"/>
    <w:rsid w:val="00EA0AD2"/>
    <w:rsid w:val="00EA0CF0"/>
    <w:rsid w:val="00EA1D43"/>
    <w:rsid w:val="00EA20B0"/>
    <w:rsid w:val="00EA443E"/>
    <w:rsid w:val="00EA4A9D"/>
    <w:rsid w:val="00EA4EC9"/>
    <w:rsid w:val="00EA5E0F"/>
    <w:rsid w:val="00EA6FE4"/>
    <w:rsid w:val="00EA7723"/>
    <w:rsid w:val="00EA7F4C"/>
    <w:rsid w:val="00EB1D47"/>
    <w:rsid w:val="00EB2146"/>
    <w:rsid w:val="00EB2317"/>
    <w:rsid w:val="00EB279B"/>
    <w:rsid w:val="00EB2ABB"/>
    <w:rsid w:val="00EB31DF"/>
    <w:rsid w:val="00EB4D36"/>
    <w:rsid w:val="00EB55CA"/>
    <w:rsid w:val="00EB584C"/>
    <w:rsid w:val="00EB5D88"/>
    <w:rsid w:val="00EB7307"/>
    <w:rsid w:val="00EC0CFF"/>
    <w:rsid w:val="00EC14B0"/>
    <w:rsid w:val="00EC1EE3"/>
    <w:rsid w:val="00EC204E"/>
    <w:rsid w:val="00EC249E"/>
    <w:rsid w:val="00EC2CFF"/>
    <w:rsid w:val="00EC440C"/>
    <w:rsid w:val="00EC4D33"/>
    <w:rsid w:val="00EC5F2F"/>
    <w:rsid w:val="00EC651E"/>
    <w:rsid w:val="00EC692E"/>
    <w:rsid w:val="00EC745E"/>
    <w:rsid w:val="00EC7EAF"/>
    <w:rsid w:val="00ED1759"/>
    <w:rsid w:val="00ED27C3"/>
    <w:rsid w:val="00ED33AE"/>
    <w:rsid w:val="00ED3775"/>
    <w:rsid w:val="00ED427D"/>
    <w:rsid w:val="00ED4A6D"/>
    <w:rsid w:val="00ED59EF"/>
    <w:rsid w:val="00ED6D4A"/>
    <w:rsid w:val="00ED6E42"/>
    <w:rsid w:val="00ED738C"/>
    <w:rsid w:val="00ED7918"/>
    <w:rsid w:val="00ED7F9A"/>
    <w:rsid w:val="00ED7FD3"/>
    <w:rsid w:val="00EE3663"/>
    <w:rsid w:val="00EE41C4"/>
    <w:rsid w:val="00EE4A40"/>
    <w:rsid w:val="00EE76A9"/>
    <w:rsid w:val="00EE799E"/>
    <w:rsid w:val="00EE7C7E"/>
    <w:rsid w:val="00EE7CA8"/>
    <w:rsid w:val="00EE7FA7"/>
    <w:rsid w:val="00EF1093"/>
    <w:rsid w:val="00EF1FCB"/>
    <w:rsid w:val="00EF21C3"/>
    <w:rsid w:val="00EF29F5"/>
    <w:rsid w:val="00EF2E6B"/>
    <w:rsid w:val="00EF6091"/>
    <w:rsid w:val="00F0030E"/>
    <w:rsid w:val="00F00405"/>
    <w:rsid w:val="00F00CD1"/>
    <w:rsid w:val="00F01E6B"/>
    <w:rsid w:val="00F0241C"/>
    <w:rsid w:val="00F04091"/>
    <w:rsid w:val="00F05759"/>
    <w:rsid w:val="00F071F5"/>
    <w:rsid w:val="00F10CB9"/>
    <w:rsid w:val="00F110D5"/>
    <w:rsid w:val="00F12351"/>
    <w:rsid w:val="00F16739"/>
    <w:rsid w:val="00F16DE2"/>
    <w:rsid w:val="00F17C5F"/>
    <w:rsid w:val="00F2052B"/>
    <w:rsid w:val="00F210C7"/>
    <w:rsid w:val="00F213FF"/>
    <w:rsid w:val="00F2260F"/>
    <w:rsid w:val="00F242AD"/>
    <w:rsid w:val="00F247F2"/>
    <w:rsid w:val="00F252A8"/>
    <w:rsid w:val="00F2608D"/>
    <w:rsid w:val="00F265F7"/>
    <w:rsid w:val="00F26DE4"/>
    <w:rsid w:val="00F27C15"/>
    <w:rsid w:val="00F27FA6"/>
    <w:rsid w:val="00F31D83"/>
    <w:rsid w:val="00F337F7"/>
    <w:rsid w:val="00F33DC8"/>
    <w:rsid w:val="00F34350"/>
    <w:rsid w:val="00F34444"/>
    <w:rsid w:val="00F34F36"/>
    <w:rsid w:val="00F360A6"/>
    <w:rsid w:val="00F36F33"/>
    <w:rsid w:val="00F4065A"/>
    <w:rsid w:val="00F408A8"/>
    <w:rsid w:val="00F40F19"/>
    <w:rsid w:val="00F423D5"/>
    <w:rsid w:val="00F4275C"/>
    <w:rsid w:val="00F447AC"/>
    <w:rsid w:val="00F45693"/>
    <w:rsid w:val="00F47983"/>
    <w:rsid w:val="00F47C8B"/>
    <w:rsid w:val="00F506DF"/>
    <w:rsid w:val="00F51F04"/>
    <w:rsid w:val="00F52339"/>
    <w:rsid w:val="00F5277A"/>
    <w:rsid w:val="00F532E8"/>
    <w:rsid w:val="00F537FF"/>
    <w:rsid w:val="00F560FE"/>
    <w:rsid w:val="00F57A69"/>
    <w:rsid w:val="00F605B6"/>
    <w:rsid w:val="00F6111C"/>
    <w:rsid w:val="00F613EC"/>
    <w:rsid w:val="00F614C0"/>
    <w:rsid w:val="00F61647"/>
    <w:rsid w:val="00F61F5F"/>
    <w:rsid w:val="00F63EF8"/>
    <w:rsid w:val="00F657CF"/>
    <w:rsid w:val="00F66A00"/>
    <w:rsid w:val="00F713A3"/>
    <w:rsid w:val="00F719B0"/>
    <w:rsid w:val="00F71A8F"/>
    <w:rsid w:val="00F73E5A"/>
    <w:rsid w:val="00F75330"/>
    <w:rsid w:val="00F76234"/>
    <w:rsid w:val="00F76BD9"/>
    <w:rsid w:val="00F80318"/>
    <w:rsid w:val="00F80703"/>
    <w:rsid w:val="00F808D8"/>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710"/>
    <w:rsid w:val="00F9397A"/>
    <w:rsid w:val="00F93A37"/>
    <w:rsid w:val="00F94182"/>
    <w:rsid w:val="00F944D9"/>
    <w:rsid w:val="00F94DB3"/>
    <w:rsid w:val="00F9606C"/>
    <w:rsid w:val="00F96500"/>
    <w:rsid w:val="00FA0509"/>
    <w:rsid w:val="00FA2261"/>
    <w:rsid w:val="00FA2B86"/>
    <w:rsid w:val="00FA2C70"/>
    <w:rsid w:val="00FA3AFA"/>
    <w:rsid w:val="00FA3F80"/>
    <w:rsid w:val="00FA413A"/>
    <w:rsid w:val="00FA4144"/>
    <w:rsid w:val="00FA4DDF"/>
    <w:rsid w:val="00FA68DC"/>
    <w:rsid w:val="00FA6E7F"/>
    <w:rsid w:val="00FA7114"/>
    <w:rsid w:val="00FB0826"/>
    <w:rsid w:val="00FB1A83"/>
    <w:rsid w:val="00FB2379"/>
    <w:rsid w:val="00FB3307"/>
    <w:rsid w:val="00FB4B8A"/>
    <w:rsid w:val="00FB5152"/>
    <w:rsid w:val="00FB59FD"/>
    <w:rsid w:val="00FB680E"/>
    <w:rsid w:val="00FC0065"/>
    <w:rsid w:val="00FC3AEE"/>
    <w:rsid w:val="00FC6238"/>
    <w:rsid w:val="00FC78AD"/>
    <w:rsid w:val="00FD0D70"/>
    <w:rsid w:val="00FD1BDA"/>
    <w:rsid w:val="00FD33FC"/>
    <w:rsid w:val="00FD3730"/>
    <w:rsid w:val="00FD3A9B"/>
    <w:rsid w:val="00FD3ADE"/>
    <w:rsid w:val="00FD3B08"/>
    <w:rsid w:val="00FD3C4F"/>
    <w:rsid w:val="00FD4806"/>
    <w:rsid w:val="00FD4BA4"/>
    <w:rsid w:val="00FD4DD3"/>
    <w:rsid w:val="00FD534E"/>
    <w:rsid w:val="00FD56C7"/>
    <w:rsid w:val="00FD5CBB"/>
    <w:rsid w:val="00FD5F24"/>
    <w:rsid w:val="00FD6B74"/>
    <w:rsid w:val="00FD6EAA"/>
    <w:rsid w:val="00FD70AE"/>
    <w:rsid w:val="00FE002E"/>
    <w:rsid w:val="00FE04B0"/>
    <w:rsid w:val="00FE1223"/>
    <w:rsid w:val="00FE2398"/>
    <w:rsid w:val="00FE2427"/>
    <w:rsid w:val="00FE515A"/>
    <w:rsid w:val="00FE5624"/>
    <w:rsid w:val="00FE5D2C"/>
    <w:rsid w:val="00FE5FBF"/>
    <w:rsid w:val="00FE6C25"/>
    <w:rsid w:val="00FE7644"/>
    <w:rsid w:val="00FF000F"/>
    <w:rsid w:val="00FF0212"/>
    <w:rsid w:val="00FF033A"/>
    <w:rsid w:val="00FF035A"/>
    <w:rsid w:val="00FF04F9"/>
    <w:rsid w:val="00FF0964"/>
    <w:rsid w:val="00FF16F2"/>
    <w:rsid w:val="00FF1D24"/>
    <w:rsid w:val="00FF2B42"/>
    <w:rsid w:val="00FF3413"/>
    <w:rsid w:val="00FF3B7F"/>
    <w:rsid w:val="00FF6822"/>
    <w:rsid w:val="00FF73D0"/>
    <w:rsid w:val="0A2C6489"/>
    <w:rsid w:val="0FDC08DB"/>
    <w:rsid w:val="14010E9A"/>
    <w:rsid w:val="17124F94"/>
    <w:rsid w:val="26830F0C"/>
    <w:rsid w:val="27E98FBE"/>
    <w:rsid w:val="2E8C2FE1"/>
    <w:rsid w:val="34B8A9D4"/>
    <w:rsid w:val="3F800E41"/>
    <w:rsid w:val="4FB8EC98"/>
    <w:rsid w:val="50F6EDAA"/>
    <w:rsid w:val="66D78138"/>
    <w:rsid w:val="7193A0B0"/>
    <w:rsid w:val="73BA0079"/>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B1Zchn">
    <w:name w:val="B1 Zchn"/>
    <w:rsid w:val="001E01A8"/>
    <w:rPr>
      <w:lang w:eastAsia="en-US"/>
    </w:rPr>
  </w:style>
  <w:style w:type="character" w:customStyle="1" w:styleId="B2Char">
    <w:name w:val="B2 Char"/>
    <w:link w:val="B2"/>
    <w:rsid w:val="001E01A8"/>
    <w:rPr>
      <w:rFonts w:ascii="Times New Roman" w:hAnsi="Times New Roman"/>
      <w:lang w:val="en-GB"/>
    </w:rPr>
  </w:style>
  <w:style w:type="character" w:customStyle="1" w:styleId="THChar">
    <w:name w:val="TH Char"/>
    <w:link w:val="TH"/>
    <w:rsid w:val="00BE7646"/>
    <w:rPr>
      <w:rFonts w:ascii="Arial" w:hAnsi="Arial"/>
      <w:b/>
      <w:lang w:val="en-GB"/>
    </w:rPr>
  </w:style>
  <w:style w:type="character" w:customStyle="1" w:styleId="TACChar">
    <w:name w:val="TAC Char"/>
    <w:link w:val="TAC"/>
    <w:locked/>
    <w:rsid w:val="00BE7646"/>
    <w:rPr>
      <w:rFonts w:ascii="Arial" w:hAnsi="Arial"/>
      <w:sz w:val="18"/>
      <w:lang w:val="en-GB"/>
    </w:rPr>
  </w:style>
  <w:style w:type="character" w:customStyle="1" w:styleId="TAHCar">
    <w:name w:val="TAH Car"/>
    <w:link w:val="TAH"/>
    <w:rsid w:val="00BE7646"/>
    <w:rPr>
      <w:rFonts w:ascii="Arial" w:hAnsi="Arial"/>
      <w:b/>
      <w:sz w:val="18"/>
      <w:lang w:val="en-GB"/>
    </w:rPr>
  </w:style>
  <w:style w:type="character" w:customStyle="1" w:styleId="B10">
    <w:name w:val="B1 (文字)"/>
    <w:qFormat/>
    <w:locked/>
    <w:rsid w:val="00505427"/>
    <w:rPr>
      <w:rFonts w:asciiTheme="minorHAnsi" w:eastAsiaTheme="minorHAnsi" w:hAnsiTheme="minorHAnsi" w:cstheme="minorBidi"/>
      <w:sz w:val="22"/>
      <w:szCs w:val="22"/>
      <w:lang w:val="fi-FI"/>
    </w:rPr>
  </w:style>
  <w:style w:type="character" w:customStyle="1" w:styleId="PLChar">
    <w:name w:val="PL Char"/>
    <w:link w:val="PL"/>
    <w:qFormat/>
    <w:locked/>
    <w:rsid w:val="006818BE"/>
    <w:rPr>
      <w:rFonts w:ascii="Courier New" w:hAnsi="Courier New"/>
      <w:noProof/>
      <w:sz w:val="16"/>
    </w:rPr>
  </w:style>
  <w:style w:type="table" w:styleId="TableGridLight">
    <w:name w:val="Grid Table Light"/>
    <w:basedOn w:val="TableNormal"/>
    <w:uiPriority w:val="40"/>
    <w:rsid w:val="00685C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4">
    <w:name w:val="Grid Table 1 Light Accent 4"/>
    <w:basedOn w:val="TableNormal"/>
    <w:uiPriority w:val="46"/>
    <w:rsid w:val="00685C9D"/>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685C9D"/>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2-Accent4">
    <w:name w:val="Grid Table 2 Accent 4"/>
    <w:basedOn w:val="TableNormal"/>
    <w:uiPriority w:val="47"/>
    <w:rsid w:val="00685C9D"/>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5">
    <w:name w:val="Grid Table 5 Dark Accent 5"/>
    <w:basedOn w:val="TableNormal"/>
    <w:uiPriority w:val="50"/>
    <w:rsid w:val="00685C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1907910">
      <w:bodyDiv w:val="1"/>
      <w:marLeft w:val="0"/>
      <w:marRight w:val="0"/>
      <w:marTop w:val="0"/>
      <w:marBottom w:val="0"/>
      <w:divBdr>
        <w:top w:val="none" w:sz="0" w:space="0" w:color="auto"/>
        <w:left w:val="none" w:sz="0" w:space="0" w:color="auto"/>
        <w:bottom w:val="none" w:sz="0" w:space="0" w:color="auto"/>
        <w:right w:val="none" w:sz="0" w:space="0" w:color="auto"/>
      </w:divBdr>
      <w:divsChild>
        <w:div w:id="1551960569">
          <w:marLeft w:val="547"/>
          <w:marRight w:val="0"/>
          <w:marTop w:val="0"/>
          <w:marBottom w:val="0"/>
          <w:divBdr>
            <w:top w:val="none" w:sz="0" w:space="0" w:color="auto"/>
            <w:left w:val="none" w:sz="0" w:space="0" w:color="auto"/>
            <w:bottom w:val="none" w:sz="0" w:space="0" w:color="auto"/>
            <w:right w:val="none" w:sz="0" w:space="0" w:color="auto"/>
          </w:divBdr>
        </w:div>
        <w:div w:id="1597204675">
          <w:marLeft w:val="547"/>
          <w:marRight w:val="0"/>
          <w:marTop w:val="0"/>
          <w:marBottom w:val="0"/>
          <w:divBdr>
            <w:top w:val="none" w:sz="0" w:space="0" w:color="auto"/>
            <w:left w:val="none" w:sz="0" w:space="0" w:color="auto"/>
            <w:bottom w:val="none" w:sz="0" w:space="0" w:color="auto"/>
            <w:right w:val="none" w:sz="0" w:space="0" w:color="auto"/>
          </w:divBdr>
        </w:div>
        <w:div w:id="950015570">
          <w:marLeft w:val="547"/>
          <w:marRight w:val="0"/>
          <w:marTop w:val="0"/>
          <w:marBottom w:val="0"/>
          <w:divBdr>
            <w:top w:val="none" w:sz="0" w:space="0" w:color="auto"/>
            <w:left w:val="none" w:sz="0" w:space="0" w:color="auto"/>
            <w:bottom w:val="none" w:sz="0" w:space="0" w:color="auto"/>
            <w:right w:val="none" w:sz="0" w:space="0" w:color="auto"/>
          </w:divBdr>
        </w:div>
        <w:div w:id="889269636">
          <w:marLeft w:val="1166"/>
          <w:marRight w:val="0"/>
          <w:marTop w:val="0"/>
          <w:marBottom w:val="0"/>
          <w:divBdr>
            <w:top w:val="none" w:sz="0" w:space="0" w:color="auto"/>
            <w:left w:val="none" w:sz="0" w:space="0" w:color="auto"/>
            <w:bottom w:val="none" w:sz="0" w:space="0" w:color="auto"/>
            <w:right w:val="none" w:sz="0" w:space="0" w:color="auto"/>
          </w:divBdr>
        </w:div>
        <w:div w:id="968240558">
          <w:marLeft w:val="1166"/>
          <w:marRight w:val="0"/>
          <w:marTop w:val="0"/>
          <w:marBottom w:val="0"/>
          <w:divBdr>
            <w:top w:val="none" w:sz="0" w:space="0" w:color="auto"/>
            <w:left w:val="none" w:sz="0" w:space="0" w:color="auto"/>
            <w:bottom w:val="none" w:sz="0" w:space="0" w:color="auto"/>
            <w:right w:val="none" w:sz="0" w:space="0" w:color="auto"/>
          </w:divBdr>
        </w:div>
        <w:div w:id="1815949654">
          <w:marLeft w:val="1800"/>
          <w:marRight w:val="0"/>
          <w:marTop w:val="0"/>
          <w:marBottom w:val="0"/>
          <w:divBdr>
            <w:top w:val="none" w:sz="0" w:space="0" w:color="auto"/>
            <w:left w:val="none" w:sz="0" w:space="0" w:color="auto"/>
            <w:bottom w:val="none" w:sz="0" w:space="0" w:color="auto"/>
            <w:right w:val="none" w:sz="0" w:space="0" w:color="auto"/>
          </w:divBdr>
        </w:div>
        <w:div w:id="418868626">
          <w:marLeft w:val="2520"/>
          <w:marRight w:val="0"/>
          <w:marTop w:val="0"/>
          <w:marBottom w:val="0"/>
          <w:divBdr>
            <w:top w:val="none" w:sz="0" w:space="0" w:color="auto"/>
            <w:left w:val="none" w:sz="0" w:space="0" w:color="auto"/>
            <w:bottom w:val="none" w:sz="0" w:space="0" w:color="auto"/>
            <w:right w:val="none" w:sz="0" w:space="0" w:color="auto"/>
          </w:divBdr>
        </w:div>
        <w:div w:id="917058398">
          <w:marLeft w:val="2520"/>
          <w:marRight w:val="0"/>
          <w:marTop w:val="0"/>
          <w:marBottom w:val="0"/>
          <w:divBdr>
            <w:top w:val="none" w:sz="0" w:space="0" w:color="auto"/>
            <w:left w:val="none" w:sz="0" w:space="0" w:color="auto"/>
            <w:bottom w:val="none" w:sz="0" w:space="0" w:color="auto"/>
            <w:right w:val="none" w:sz="0" w:space="0" w:color="auto"/>
          </w:divBdr>
        </w:div>
        <w:div w:id="1214925784">
          <w:marLeft w:val="1166"/>
          <w:marRight w:val="0"/>
          <w:marTop w:val="0"/>
          <w:marBottom w:val="0"/>
          <w:divBdr>
            <w:top w:val="none" w:sz="0" w:space="0" w:color="auto"/>
            <w:left w:val="none" w:sz="0" w:space="0" w:color="auto"/>
            <w:bottom w:val="none" w:sz="0" w:space="0" w:color="auto"/>
            <w:right w:val="none" w:sz="0" w:space="0" w:color="auto"/>
          </w:divBdr>
        </w:div>
        <w:div w:id="4023446">
          <w:marLeft w:val="547"/>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21772798">
      <w:bodyDiv w:val="1"/>
      <w:marLeft w:val="0"/>
      <w:marRight w:val="0"/>
      <w:marTop w:val="0"/>
      <w:marBottom w:val="0"/>
      <w:divBdr>
        <w:top w:val="none" w:sz="0" w:space="0" w:color="auto"/>
        <w:left w:val="none" w:sz="0" w:space="0" w:color="auto"/>
        <w:bottom w:val="none" w:sz="0" w:space="0" w:color="auto"/>
        <w:right w:val="none" w:sz="0" w:space="0" w:color="auto"/>
      </w:divBdr>
      <w:divsChild>
        <w:div w:id="1862812480">
          <w:marLeft w:val="446"/>
          <w:marRight w:val="0"/>
          <w:marTop w:val="0"/>
          <w:marBottom w:val="0"/>
          <w:divBdr>
            <w:top w:val="none" w:sz="0" w:space="0" w:color="auto"/>
            <w:left w:val="none" w:sz="0" w:space="0" w:color="auto"/>
            <w:bottom w:val="none" w:sz="0" w:space="0" w:color="auto"/>
            <w:right w:val="none" w:sz="0" w:space="0" w:color="auto"/>
          </w:divBdr>
        </w:div>
      </w:divsChild>
    </w:div>
    <w:div w:id="137378117">
      <w:bodyDiv w:val="1"/>
      <w:marLeft w:val="0"/>
      <w:marRight w:val="0"/>
      <w:marTop w:val="0"/>
      <w:marBottom w:val="0"/>
      <w:divBdr>
        <w:top w:val="none" w:sz="0" w:space="0" w:color="auto"/>
        <w:left w:val="none" w:sz="0" w:space="0" w:color="auto"/>
        <w:bottom w:val="none" w:sz="0" w:space="0" w:color="auto"/>
        <w:right w:val="none" w:sz="0" w:space="0" w:color="auto"/>
      </w:divBdr>
    </w:div>
    <w:div w:id="160046575">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870937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184525">
      <w:bodyDiv w:val="1"/>
      <w:marLeft w:val="0"/>
      <w:marRight w:val="0"/>
      <w:marTop w:val="0"/>
      <w:marBottom w:val="0"/>
      <w:divBdr>
        <w:top w:val="none" w:sz="0" w:space="0" w:color="auto"/>
        <w:left w:val="none" w:sz="0" w:space="0" w:color="auto"/>
        <w:bottom w:val="none" w:sz="0" w:space="0" w:color="auto"/>
        <w:right w:val="none" w:sz="0" w:space="0" w:color="auto"/>
      </w:divBdr>
      <w:divsChild>
        <w:div w:id="1410158855">
          <w:marLeft w:val="547"/>
          <w:marRight w:val="0"/>
          <w:marTop w:val="0"/>
          <w:marBottom w:val="0"/>
          <w:divBdr>
            <w:top w:val="none" w:sz="0" w:space="0" w:color="auto"/>
            <w:left w:val="none" w:sz="0" w:space="0" w:color="auto"/>
            <w:bottom w:val="none" w:sz="0" w:space="0" w:color="auto"/>
            <w:right w:val="none" w:sz="0" w:space="0" w:color="auto"/>
          </w:divBdr>
        </w:div>
        <w:div w:id="956646419">
          <w:marLeft w:val="1166"/>
          <w:marRight w:val="0"/>
          <w:marTop w:val="0"/>
          <w:marBottom w:val="0"/>
          <w:divBdr>
            <w:top w:val="none" w:sz="0" w:space="0" w:color="auto"/>
            <w:left w:val="none" w:sz="0" w:space="0" w:color="auto"/>
            <w:bottom w:val="none" w:sz="0" w:space="0" w:color="auto"/>
            <w:right w:val="none" w:sz="0" w:space="0" w:color="auto"/>
          </w:divBdr>
        </w:div>
        <w:div w:id="394398335">
          <w:marLeft w:val="1166"/>
          <w:marRight w:val="0"/>
          <w:marTop w:val="0"/>
          <w:marBottom w:val="0"/>
          <w:divBdr>
            <w:top w:val="none" w:sz="0" w:space="0" w:color="auto"/>
            <w:left w:val="none" w:sz="0" w:space="0" w:color="auto"/>
            <w:bottom w:val="none" w:sz="0" w:space="0" w:color="auto"/>
            <w:right w:val="none" w:sz="0" w:space="0" w:color="auto"/>
          </w:divBdr>
        </w:div>
        <w:div w:id="1830320635">
          <w:marLeft w:val="1800"/>
          <w:marRight w:val="0"/>
          <w:marTop w:val="0"/>
          <w:marBottom w:val="0"/>
          <w:divBdr>
            <w:top w:val="none" w:sz="0" w:space="0" w:color="auto"/>
            <w:left w:val="none" w:sz="0" w:space="0" w:color="auto"/>
            <w:bottom w:val="none" w:sz="0" w:space="0" w:color="auto"/>
            <w:right w:val="none" w:sz="0" w:space="0" w:color="auto"/>
          </w:divBdr>
        </w:div>
        <w:div w:id="1325469772">
          <w:marLeft w:val="1800"/>
          <w:marRight w:val="0"/>
          <w:marTop w:val="0"/>
          <w:marBottom w:val="0"/>
          <w:divBdr>
            <w:top w:val="none" w:sz="0" w:space="0" w:color="auto"/>
            <w:left w:val="none" w:sz="0" w:space="0" w:color="auto"/>
            <w:bottom w:val="none" w:sz="0" w:space="0" w:color="auto"/>
            <w:right w:val="none" w:sz="0" w:space="0" w:color="auto"/>
          </w:divBdr>
        </w:div>
        <w:div w:id="375198722">
          <w:marLeft w:val="1800"/>
          <w:marRight w:val="0"/>
          <w:marTop w:val="0"/>
          <w:marBottom w:val="0"/>
          <w:divBdr>
            <w:top w:val="none" w:sz="0" w:space="0" w:color="auto"/>
            <w:left w:val="none" w:sz="0" w:space="0" w:color="auto"/>
            <w:bottom w:val="none" w:sz="0" w:space="0" w:color="auto"/>
            <w:right w:val="none" w:sz="0" w:space="0" w:color="auto"/>
          </w:divBdr>
        </w:div>
        <w:div w:id="575012952">
          <w:marLeft w:val="2520"/>
          <w:marRight w:val="0"/>
          <w:marTop w:val="0"/>
          <w:marBottom w:val="0"/>
          <w:divBdr>
            <w:top w:val="none" w:sz="0" w:space="0" w:color="auto"/>
            <w:left w:val="none" w:sz="0" w:space="0" w:color="auto"/>
            <w:bottom w:val="none" w:sz="0" w:space="0" w:color="auto"/>
            <w:right w:val="none" w:sz="0" w:space="0" w:color="auto"/>
          </w:divBdr>
        </w:div>
        <w:div w:id="1873568161">
          <w:marLeft w:val="1166"/>
          <w:marRight w:val="0"/>
          <w:marTop w:val="0"/>
          <w:marBottom w:val="0"/>
          <w:divBdr>
            <w:top w:val="none" w:sz="0" w:space="0" w:color="auto"/>
            <w:left w:val="none" w:sz="0" w:space="0" w:color="auto"/>
            <w:bottom w:val="none" w:sz="0" w:space="0" w:color="auto"/>
            <w:right w:val="none" w:sz="0" w:space="0" w:color="auto"/>
          </w:divBdr>
        </w:div>
        <w:div w:id="363949375">
          <w:marLeft w:val="1800"/>
          <w:marRight w:val="0"/>
          <w:marTop w:val="0"/>
          <w:marBottom w:val="0"/>
          <w:divBdr>
            <w:top w:val="none" w:sz="0" w:space="0" w:color="auto"/>
            <w:left w:val="none" w:sz="0" w:space="0" w:color="auto"/>
            <w:bottom w:val="none" w:sz="0" w:space="0" w:color="auto"/>
            <w:right w:val="none" w:sz="0" w:space="0" w:color="auto"/>
          </w:divBdr>
        </w:div>
        <w:div w:id="2013070080">
          <w:marLeft w:val="1800"/>
          <w:marRight w:val="0"/>
          <w:marTop w:val="0"/>
          <w:marBottom w:val="0"/>
          <w:divBdr>
            <w:top w:val="none" w:sz="0" w:space="0" w:color="auto"/>
            <w:left w:val="none" w:sz="0" w:space="0" w:color="auto"/>
            <w:bottom w:val="none" w:sz="0" w:space="0" w:color="auto"/>
            <w:right w:val="none" w:sz="0" w:space="0" w:color="auto"/>
          </w:divBdr>
        </w:div>
        <w:div w:id="1871065829">
          <w:marLeft w:val="1800"/>
          <w:marRight w:val="0"/>
          <w:marTop w:val="0"/>
          <w:marBottom w:val="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8738199">
      <w:bodyDiv w:val="1"/>
      <w:marLeft w:val="0"/>
      <w:marRight w:val="0"/>
      <w:marTop w:val="0"/>
      <w:marBottom w:val="0"/>
      <w:divBdr>
        <w:top w:val="none" w:sz="0" w:space="0" w:color="auto"/>
        <w:left w:val="none" w:sz="0" w:space="0" w:color="auto"/>
        <w:bottom w:val="none" w:sz="0" w:space="0" w:color="auto"/>
        <w:right w:val="none" w:sz="0" w:space="0" w:color="auto"/>
      </w:divBdr>
      <w:divsChild>
        <w:div w:id="627705213">
          <w:marLeft w:val="547"/>
          <w:marRight w:val="0"/>
          <w:marTop w:val="0"/>
          <w:marBottom w:val="0"/>
          <w:divBdr>
            <w:top w:val="none" w:sz="0" w:space="0" w:color="auto"/>
            <w:left w:val="none" w:sz="0" w:space="0" w:color="auto"/>
            <w:bottom w:val="none" w:sz="0" w:space="0" w:color="auto"/>
            <w:right w:val="none" w:sz="0" w:space="0" w:color="auto"/>
          </w:divBdr>
        </w:div>
        <w:div w:id="1481775649">
          <w:marLeft w:val="1166"/>
          <w:marRight w:val="0"/>
          <w:marTop w:val="0"/>
          <w:marBottom w:val="0"/>
          <w:divBdr>
            <w:top w:val="none" w:sz="0" w:space="0" w:color="auto"/>
            <w:left w:val="none" w:sz="0" w:space="0" w:color="auto"/>
            <w:bottom w:val="none" w:sz="0" w:space="0" w:color="auto"/>
            <w:right w:val="none" w:sz="0" w:space="0" w:color="auto"/>
          </w:divBdr>
        </w:div>
        <w:div w:id="1258558126">
          <w:marLeft w:val="1166"/>
          <w:marRight w:val="0"/>
          <w:marTop w:val="0"/>
          <w:marBottom w:val="0"/>
          <w:divBdr>
            <w:top w:val="none" w:sz="0" w:space="0" w:color="auto"/>
            <w:left w:val="none" w:sz="0" w:space="0" w:color="auto"/>
            <w:bottom w:val="none" w:sz="0" w:space="0" w:color="auto"/>
            <w:right w:val="none" w:sz="0" w:space="0" w:color="auto"/>
          </w:divBdr>
        </w:div>
        <w:div w:id="1070925401">
          <w:marLeft w:val="1800"/>
          <w:marRight w:val="0"/>
          <w:marTop w:val="0"/>
          <w:marBottom w:val="0"/>
          <w:divBdr>
            <w:top w:val="none" w:sz="0" w:space="0" w:color="auto"/>
            <w:left w:val="none" w:sz="0" w:space="0" w:color="auto"/>
            <w:bottom w:val="none" w:sz="0" w:space="0" w:color="auto"/>
            <w:right w:val="none" w:sz="0" w:space="0" w:color="auto"/>
          </w:divBdr>
        </w:div>
        <w:div w:id="717246480">
          <w:marLeft w:val="2520"/>
          <w:marRight w:val="0"/>
          <w:marTop w:val="0"/>
          <w:marBottom w:val="0"/>
          <w:divBdr>
            <w:top w:val="none" w:sz="0" w:space="0" w:color="auto"/>
            <w:left w:val="none" w:sz="0" w:space="0" w:color="auto"/>
            <w:bottom w:val="none" w:sz="0" w:space="0" w:color="auto"/>
            <w:right w:val="none" w:sz="0" w:space="0" w:color="auto"/>
          </w:divBdr>
        </w:div>
        <w:div w:id="1267544555">
          <w:marLeft w:val="2520"/>
          <w:marRight w:val="0"/>
          <w:marTop w:val="0"/>
          <w:marBottom w:val="0"/>
          <w:divBdr>
            <w:top w:val="none" w:sz="0" w:space="0" w:color="auto"/>
            <w:left w:val="none" w:sz="0" w:space="0" w:color="auto"/>
            <w:bottom w:val="none" w:sz="0" w:space="0" w:color="auto"/>
            <w:right w:val="none" w:sz="0" w:space="0" w:color="auto"/>
          </w:divBdr>
        </w:div>
        <w:div w:id="264390362">
          <w:marLeft w:val="1166"/>
          <w:marRight w:val="0"/>
          <w:marTop w:val="0"/>
          <w:marBottom w:val="0"/>
          <w:divBdr>
            <w:top w:val="none" w:sz="0" w:space="0" w:color="auto"/>
            <w:left w:val="none" w:sz="0" w:space="0" w:color="auto"/>
            <w:bottom w:val="none" w:sz="0" w:space="0" w:color="auto"/>
            <w:right w:val="none" w:sz="0" w:space="0" w:color="auto"/>
          </w:divBdr>
        </w:div>
        <w:div w:id="1595479606">
          <w:marLeft w:val="547"/>
          <w:marRight w:val="0"/>
          <w:marTop w:val="0"/>
          <w:marBottom w:val="0"/>
          <w:divBdr>
            <w:top w:val="none" w:sz="0" w:space="0" w:color="auto"/>
            <w:left w:val="none" w:sz="0" w:space="0" w:color="auto"/>
            <w:bottom w:val="none" w:sz="0" w:space="0" w:color="auto"/>
            <w:right w:val="none" w:sz="0" w:space="0" w:color="auto"/>
          </w:divBdr>
        </w:div>
      </w:divsChild>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9214247">
      <w:bodyDiv w:val="1"/>
      <w:marLeft w:val="0"/>
      <w:marRight w:val="0"/>
      <w:marTop w:val="0"/>
      <w:marBottom w:val="0"/>
      <w:divBdr>
        <w:top w:val="none" w:sz="0" w:space="0" w:color="auto"/>
        <w:left w:val="none" w:sz="0" w:space="0" w:color="auto"/>
        <w:bottom w:val="none" w:sz="0" w:space="0" w:color="auto"/>
        <w:right w:val="none" w:sz="0" w:space="0" w:color="auto"/>
      </w:divBdr>
    </w:div>
    <w:div w:id="601230365">
      <w:bodyDiv w:val="1"/>
      <w:marLeft w:val="0"/>
      <w:marRight w:val="0"/>
      <w:marTop w:val="0"/>
      <w:marBottom w:val="0"/>
      <w:divBdr>
        <w:top w:val="none" w:sz="0" w:space="0" w:color="auto"/>
        <w:left w:val="none" w:sz="0" w:space="0" w:color="auto"/>
        <w:bottom w:val="none" w:sz="0" w:space="0" w:color="auto"/>
        <w:right w:val="none" w:sz="0" w:space="0" w:color="auto"/>
      </w:divBdr>
      <w:divsChild>
        <w:div w:id="873229852">
          <w:marLeft w:val="547"/>
          <w:marRight w:val="0"/>
          <w:marTop w:val="0"/>
          <w:marBottom w:val="0"/>
          <w:divBdr>
            <w:top w:val="none" w:sz="0" w:space="0" w:color="auto"/>
            <w:left w:val="none" w:sz="0" w:space="0" w:color="auto"/>
            <w:bottom w:val="none" w:sz="0" w:space="0" w:color="auto"/>
            <w:right w:val="none" w:sz="0" w:space="0" w:color="auto"/>
          </w:divBdr>
        </w:div>
        <w:div w:id="237515985">
          <w:marLeft w:val="1166"/>
          <w:marRight w:val="0"/>
          <w:marTop w:val="0"/>
          <w:marBottom w:val="0"/>
          <w:divBdr>
            <w:top w:val="none" w:sz="0" w:space="0" w:color="auto"/>
            <w:left w:val="none" w:sz="0" w:space="0" w:color="auto"/>
            <w:bottom w:val="none" w:sz="0" w:space="0" w:color="auto"/>
            <w:right w:val="none" w:sz="0" w:space="0" w:color="auto"/>
          </w:divBdr>
        </w:div>
        <w:div w:id="420874476">
          <w:marLeft w:val="1800"/>
          <w:marRight w:val="0"/>
          <w:marTop w:val="0"/>
          <w:marBottom w:val="0"/>
          <w:divBdr>
            <w:top w:val="none" w:sz="0" w:space="0" w:color="auto"/>
            <w:left w:val="none" w:sz="0" w:space="0" w:color="auto"/>
            <w:bottom w:val="none" w:sz="0" w:space="0" w:color="auto"/>
            <w:right w:val="none" w:sz="0" w:space="0" w:color="auto"/>
          </w:divBdr>
        </w:div>
        <w:div w:id="1170829108">
          <w:marLeft w:val="1800"/>
          <w:marRight w:val="0"/>
          <w:marTop w:val="0"/>
          <w:marBottom w:val="0"/>
          <w:divBdr>
            <w:top w:val="none" w:sz="0" w:space="0" w:color="auto"/>
            <w:left w:val="none" w:sz="0" w:space="0" w:color="auto"/>
            <w:bottom w:val="none" w:sz="0" w:space="0" w:color="auto"/>
            <w:right w:val="none" w:sz="0" w:space="0" w:color="auto"/>
          </w:divBdr>
        </w:div>
        <w:div w:id="797333127">
          <w:marLeft w:val="2520"/>
          <w:marRight w:val="0"/>
          <w:marTop w:val="0"/>
          <w:marBottom w:val="0"/>
          <w:divBdr>
            <w:top w:val="none" w:sz="0" w:space="0" w:color="auto"/>
            <w:left w:val="none" w:sz="0" w:space="0" w:color="auto"/>
            <w:bottom w:val="none" w:sz="0" w:space="0" w:color="auto"/>
            <w:right w:val="none" w:sz="0" w:space="0" w:color="auto"/>
          </w:divBdr>
        </w:div>
        <w:div w:id="1793398948">
          <w:marLeft w:val="1166"/>
          <w:marRight w:val="0"/>
          <w:marTop w:val="0"/>
          <w:marBottom w:val="0"/>
          <w:divBdr>
            <w:top w:val="none" w:sz="0" w:space="0" w:color="auto"/>
            <w:left w:val="none" w:sz="0" w:space="0" w:color="auto"/>
            <w:bottom w:val="none" w:sz="0" w:space="0" w:color="auto"/>
            <w:right w:val="none" w:sz="0" w:space="0" w:color="auto"/>
          </w:divBdr>
        </w:div>
        <w:div w:id="1213924764">
          <w:marLeft w:val="1800"/>
          <w:marRight w:val="0"/>
          <w:marTop w:val="0"/>
          <w:marBottom w:val="0"/>
          <w:divBdr>
            <w:top w:val="none" w:sz="0" w:space="0" w:color="auto"/>
            <w:left w:val="none" w:sz="0" w:space="0" w:color="auto"/>
            <w:bottom w:val="none" w:sz="0" w:space="0" w:color="auto"/>
            <w:right w:val="none" w:sz="0" w:space="0" w:color="auto"/>
          </w:divBdr>
        </w:div>
        <w:div w:id="637684422">
          <w:marLeft w:val="547"/>
          <w:marRight w:val="0"/>
          <w:marTop w:val="0"/>
          <w:marBottom w:val="0"/>
          <w:divBdr>
            <w:top w:val="none" w:sz="0" w:space="0" w:color="auto"/>
            <w:left w:val="none" w:sz="0" w:space="0" w:color="auto"/>
            <w:bottom w:val="none" w:sz="0" w:space="0" w:color="auto"/>
            <w:right w:val="none" w:sz="0" w:space="0" w:color="auto"/>
          </w:divBdr>
        </w:div>
        <w:div w:id="141698791">
          <w:marLeft w:val="547"/>
          <w:marRight w:val="0"/>
          <w:marTop w:val="0"/>
          <w:marBottom w:val="0"/>
          <w:divBdr>
            <w:top w:val="none" w:sz="0" w:space="0" w:color="auto"/>
            <w:left w:val="none" w:sz="0" w:space="0" w:color="auto"/>
            <w:bottom w:val="none" w:sz="0" w:space="0" w:color="auto"/>
            <w:right w:val="none" w:sz="0" w:space="0" w:color="auto"/>
          </w:divBdr>
        </w:div>
        <w:div w:id="927008893">
          <w:marLeft w:val="1166"/>
          <w:marRight w:val="0"/>
          <w:marTop w:val="0"/>
          <w:marBottom w:val="0"/>
          <w:divBdr>
            <w:top w:val="none" w:sz="0" w:space="0" w:color="auto"/>
            <w:left w:val="none" w:sz="0" w:space="0" w:color="auto"/>
            <w:bottom w:val="none" w:sz="0" w:space="0" w:color="auto"/>
            <w:right w:val="none" w:sz="0" w:space="0" w:color="auto"/>
          </w:divBdr>
        </w:div>
      </w:divsChild>
    </w:div>
    <w:div w:id="612907846">
      <w:bodyDiv w:val="1"/>
      <w:marLeft w:val="0"/>
      <w:marRight w:val="0"/>
      <w:marTop w:val="0"/>
      <w:marBottom w:val="0"/>
      <w:divBdr>
        <w:top w:val="none" w:sz="0" w:space="0" w:color="auto"/>
        <w:left w:val="none" w:sz="0" w:space="0" w:color="auto"/>
        <w:bottom w:val="none" w:sz="0" w:space="0" w:color="auto"/>
        <w:right w:val="none" w:sz="0" w:space="0" w:color="auto"/>
      </w:divBdr>
    </w:div>
    <w:div w:id="641158890">
      <w:bodyDiv w:val="1"/>
      <w:marLeft w:val="0"/>
      <w:marRight w:val="0"/>
      <w:marTop w:val="0"/>
      <w:marBottom w:val="0"/>
      <w:divBdr>
        <w:top w:val="none" w:sz="0" w:space="0" w:color="auto"/>
        <w:left w:val="none" w:sz="0" w:space="0" w:color="auto"/>
        <w:bottom w:val="none" w:sz="0" w:space="0" w:color="auto"/>
        <w:right w:val="none" w:sz="0" w:space="0" w:color="auto"/>
      </w:divBdr>
      <w:divsChild>
        <w:div w:id="1648361553">
          <w:marLeft w:val="547"/>
          <w:marRight w:val="0"/>
          <w:marTop w:val="0"/>
          <w:marBottom w:val="200"/>
          <w:divBdr>
            <w:top w:val="none" w:sz="0" w:space="0" w:color="auto"/>
            <w:left w:val="none" w:sz="0" w:space="0" w:color="auto"/>
            <w:bottom w:val="none" w:sz="0" w:space="0" w:color="auto"/>
            <w:right w:val="none" w:sz="0" w:space="0" w:color="auto"/>
          </w:divBdr>
        </w:div>
        <w:div w:id="170340235">
          <w:marLeft w:val="1166"/>
          <w:marRight w:val="0"/>
          <w:marTop w:val="0"/>
          <w:marBottom w:val="200"/>
          <w:divBdr>
            <w:top w:val="none" w:sz="0" w:space="0" w:color="auto"/>
            <w:left w:val="none" w:sz="0" w:space="0" w:color="auto"/>
            <w:bottom w:val="none" w:sz="0" w:space="0" w:color="auto"/>
            <w:right w:val="none" w:sz="0" w:space="0" w:color="auto"/>
          </w:divBdr>
        </w:div>
        <w:div w:id="2065788535">
          <w:marLeft w:val="1166"/>
          <w:marRight w:val="0"/>
          <w:marTop w:val="0"/>
          <w:marBottom w:val="200"/>
          <w:divBdr>
            <w:top w:val="none" w:sz="0" w:space="0" w:color="auto"/>
            <w:left w:val="none" w:sz="0" w:space="0" w:color="auto"/>
            <w:bottom w:val="none" w:sz="0" w:space="0" w:color="auto"/>
            <w:right w:val="none" w:sz="0" w:space="0" w:color="auto"/>
          </w:divBdr>
        </w:div>
        <w:div w:id="1920553603">
          <w:marLeft w:val="1800"/>
          <w:marRight w:val="0"/>
          <w:marTop w:val="0"/>
          <w:marBottom w:val="200"/>
          <w:divBdr>
            <w:top w:val="none" w:sz="0" w:space="0" w:color="auto"/>
            <w:left w:val="none" w:sz="0" w:space="0" w:color="auto"/>
            <w:bottom w:val="none" w:sz="0" w:space="0" w:color="auto"/>
            <w:right w:val="none" w:sz="0" w:space="0" w:color="auto"/>
          </w:divBdr>
        </w:div>
        <w:div w:id="1972396340">
          <w:marLeft w:val="1800"/>
          <w:marRight w:val="0"/>
          <w:marTop w:val="0"/>
          <w:marBottom w:val="200"/>
          <w:divBdr>
            <w:top w:val="none" w:sz="0" w:space="0" w:color="auto"/>
            <w:left w:val="none" w:sz="0" w:space="0" w:color="auto"/>
            <w:bottom w:val="none" w:sz="0" w:space="0" w:color="auto"/>
            <w:right w:val="none" w:sz="0" w:space="0" w:color="auto"/>
          </w:divBdr>
        </w:div>
        <w:div w:id="907887885">
          <w:marLeft w:val="547"/>
          <w:marRight w:val="0"/>
          <w:marTop w:val="0"/>
          <w:marBottom w:val="200"/>
          <w:divBdr>
            <w:top w:val="none" w:sz="0" w:space="0" w:color="auto"/>
            <w:left w:val="none" w:sz="0" w:space="0" w:color="auto"/>
            <w:bottom w:val="none" w:sz="0" w:space="0" w:color="auto"/>
            <w:right w:val="none" w:sz="0" w:space="0" w:color="auto"/>
          </w:divBdr>
        </w:div>
      </w:divsChild>
    </w:div>
    <w:div w:id="661467653">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02765">
      <w:bodyDiv w:val="1"/>
      <w:marLeft w:val="0"/>
      <w:marRight w:val="0"/>
      <w:marTop w:val="0"/>
      <w:marBottom w:val="0"/>
      <w:divBdr>
        <w:top w:val="none" w:sz="0" w:space="0" w:color="auto"/>
        <w:left w:val="none" w:sz="0" w:space="0" w:color="auto"/>
        <w:bottom w:val="none" w:sz="0" w:space="0" w:color="auto"/>
        <w:right w:val="none" w:sz="0" w:space="0" w:color="auto"/>
      </w:divBdr>
    </w:div>
    <w:div w:id="716664798">
      <w:bodyDiv w:val="1"/>
      <w:marLeft w:val="0"/>
      <w:marRight w:val="0"/>
      <w:marTop w:val="0"/>
      <w:marBottom w:val="0"/>
      <w:divBdr>
        <w:top w:val="none" w:sz="0" w:space="0" w:color="auto"/>
        <w:left w:val="none" w:sz="0" w:space="0" w:color="auto"/>
        <w:bottom w:val="none" w:sz="0" w:space="0" w:color="auto"/>
        <w:right w:val="none" w:sz="0" w:space="0" w:color="auto"/>
      </w:divBdr>
      <w:divsChild>
        <w:div w:id="413011533">
          <w:marLeft w:val="547"/>
          <w:marRight w:val="0"/>
          <w:marTop w:val="0"/>
          <w:marBottom w:val="0"/>
          <w:divBdr>
            <w:top w:val="none" w:sz="0" w:space="0" w:color="auto"/>
            <w:left w:val="none" w:sz="0" w:space="0" w:color="auto"/>
            <w:bottom w:val="none" w:sz="0" w:space="0" w:color="auto"/>
            <w:right w:val="none" w:sz="0" w:space="0" w:color="auto"/>
          </w:divBdr>
        </w:div>
        <w:div w:id="1299799029">
          <w:marLeft w:val="547"/>
          <w:marRight w:val="0"/>
          <w:marTop w:val="0"/>
          <w:marBottom w:val="0"/>
          <w:divBdr>
            <w:top w:val="none" w:sz="0" w:space="0" w:color="auto"/>
            <w:left w:val="none" w:sz="0" w:space="0" w:color="auto"/>
            <w:bottom w:val="none" w:sz="0" w:space="0" w:color="auto"/>
            <w:right w:val="none" w:sz="0" w:space="0" w:color="auto"/>
          </w:divBdr>
        </w:div>
        <w:div w:id="2106685518">
          <w:marLeft w:val="1166"/>
          <w:marRight w:val="0"/>
          <w:marTop w:val="0"/>
          <w:marBottom w:val="0"/>
          <w:divBdr>
            <w:top w:val="none" w:sz="0" w:space="0" w:color="auto"/>
            <w:left w:val="none" w:sz="0" w:space="0" w:color="auto"/>
            <w:bottom w:val="none" w:sz="0" w:space="0" w:color="auto"/>
            <w:right w:val="none" w:sz="0" w:space="0" w:color="auto"/>
          </w:divBdr>
        </w:div>
        <w:div w:id="254097540">
          <w:marLeft w:val="547"/>
          <w:marRight w:val="0"/>
          <w:marTop w:val="0"/>
          <w:marBottom w:val="0"/>
          <w:divBdr>
            <w:top w:val="none" w:sz="0" w:space="0" w:color="auto"/>
            <w:left w:val="none" w:sz="0" w:space="0" w:color="auto"/>
            <w:bottom w:val="none" w:sz="0" w:space="0" w:color="auto"/>
            <w:right w:val="none" w:sz="0" w:space="0" w:color="auto"/>
          </w:divBdr>
        </w:div>
        <w:div w:id="97218793">
          <w:marLeft w:val="1166"/>
          <w:marRight w:val="0"/>
          <w:marTop w:val="0"/>
          <w:marBottom w:val="0"/>
          <w:divBdr>
            <w:top w:val="none" w:sz="0" w:space="0" w:color="auto"/>
            <w:left w:val="none" w:sz="0" w:space="0" w:color="auto"/>
            <w:bottom w:val="none" w:sz="0" w:space="0" w:color="auto"/>
            <w:right w:val="none" w:sz="0" w:space="0" w:color="auto"/>
          </w:divBdr>
        </w:div>
        <w:div w:id="1395004950">
          <w:marLeft w:val="1166"/>
          <w:marRight w:val="0"/>
          <w:marTop w:val="0"/>
          <w:marBottom w:val="0"/>
          <w:divBdr>
            <w:top w:val="none" w:sz="0" w:space="0" w:color="auto"/>
            <w:left w:val="none" w:sz="0" w:space="0" w:color="auto"/>
            <w:bottom w:val="none" w:sz="0" w:space="0" w:color="auto"/>
            <w:right w:val="none" w:sz="0" w:space="0" w:color="auto"/>
          </w:divBdr>
        </w:div>
        <w:div w:id="2060934764">
          <w:marLeft w:val="547"/>
          <w:marRight w:val="0"/>
          <w:marTop w:val="0"/>
          <w:marBottom w:val="0"/>
          <w:divBdr>
            <w:top w:val="none" w:sz="0" w:space="0" w:color="auto"/>
            <w:left w:val="none" w:sz="0" w:space="0" w:color="auto"/>
            <w:bottom w:val="none" w:sz="0" w:space="0" w:color="auto"/>
            <w:right w:val="none" w:sz="0" w:space="0" w:color="auto"/>
          </w:divBdr>
        </w:div>
        <w:div w:id="456490501">
          <w:marLeft w:val="1166"/>
          <w:marRight w:val="0"/>
          <w:marTop w:val="0"/>
          <w:marBottom w:val="0"/>
          <w:divBdr>
            <w:top w:val="none" w:sz="0" w:space="0" w:color="auto"/>
            <w:left w:val="none" w:sz="0" w:space="0" w:color="auto"/>
            <w:bottom w:val="none" w:sz="0" w:space="0" w:color="auto"/>
            <w:right w:val="none" w:sz="0" w:space="0" w:color="auto"/>
          </w:divBdr>
        </w:div>
      </w:divsChild>
    </w:div>
    <w:div w:id="764765935">
      <w:bodyDiv w:val="1"/>
      <w:marLeft w:val="0"/>
      <w:marRight w:val="0"/>
      <w:marTop w:val="0"/>
      <w:marBottom w:val="0"/>
      <w:divBdr>
        <w:top w:val="none" w:sz="0" w:space="0" w:color="auto"/>
        <w:left w:val="none" w:sz="0" w:space="0" w:color="auto"/>
        <w:bottom w:val="none" w:sz="0" w:space="0" w:color="auto"/>
        <w:right w:val="none" w:sz="0" w:space="0" w:color="auto"/>
      </w:divBdr>
      <w:divsChild>
        <w:div w:id="1957981849">
          <w:marLeft w:val="547"/>
          <w:marRight w:val="0"/>
          <w:marTop w:val="0"/>
          <w:marBottom w:val="0"/>
          <w:divBdr>
            <w:top w:val="none" w:sz="0" w:space="0" w:color="auto"/>
            <w:left w:val="none" w:sz="0" w:space="0" w:color="auto"/>
            <w:bottom w:val="none" w:sz="0" w:space="0" w:color="auto"/>
            <w:right w:val="none" w:sz="0" w:space="0" w:color="auto"/>
          </w:divBdr>
        </w:div>
        <w:div w:id="764617824">
          <w:marLeft w:val="547"/>
          <w:marRight w:val="0"/>
          <w:marTop w:val="0"/>
          <w:marBottom w:val="0"/>
          <w:divBdr>
            <w:top w:val="none" w:sz="0" w:space="0" w:color="auto"/>
            <w:left w:val="none" w:sz="0" w:space="0" w:color="auto"/>
            <w:bottom w:val="none" w:sz="0" w:space="0" w:color="auto"/>
            <w:right w:val="none" w:sz="0" w:space="0" w:color="auto"/>
          </w:divBdr>
        </w:div>
        <w:div w:id="10306931">
          <w:marLeft w:val="1166"/>
          <w:marRight w:val="0"/>
          <w:marTop w:val="0"/>
          <w:marBottom w:val="0"/>
          <w:divBdr>
            <w:top w:val="none" w:sz="0" w:space="0" w:color="auto"/>
            <w:left w:val="none" w:sz="0" w:space="0" w:color="auto"/>
            <w:bottom w:val="none" w:sz="0" w:space="0" w:color="auto"/>
            <w:right w:val="none" w:sz="0" w:space="0" w:color="auto"/>
          </w:divBdr>
        </w:div>
        <w:div w:id="1119491264">
          <w:marLeft w:val="547"/>
          <w:marRight w:val="0"/>
          <w:marTop w:val="0"/>
          <w:marBottom w:val="0"/>
          <w:divBdr>
            <w:top w:val="none" w:sz="0" w:space="0" w:color="auto"/>
            <w:left w:val="none" w:sz="0" w:space="0" w:color="auto"/>
            <w:bottom w:val="none" w:sz="0" w:space="0" w:color="auto"/>
            <w:right w:val="none" w:sz="0" w:space="0" w:color="auto"/>
          </w:divBdr>
        </w:div>
        <w:div w:id="265619332">
          <w:marLeft w:val="1166"/>
          <w:marRight w:val="0"/>
          <w:marTop w:val="0"/>
          <w:marBottom w:val="0"/>
          <w:divBdr>
            <w:top w:val="none" w:sz="0" w:space="0" w:color="auto"/>
            <w:left w:val="none" w:sz="0" w:space="0" w:color="auto"/>
            <w:bottom w:val="none" w:sz="0" w:space="0" w:color="auto"/>
            <w:right w:val="none" w:sz="0" w:space="0" w:color="auto"/>
          </w:divBdr>
        </w:div>
        <w:div w:id="313223269">
          <w:marLeft w:val="1166"/>
          <w:marRight w:val="0"/>
          <w:marTop w:val="0"/>
          <w:marBottom w:val="0"/>
          <w:divBdr>
            <w:top w:val="none" w:sz="0" w:space="0" w:color="auto"/>
            <w:left w:val="none" w:sz="0" w:space="0" w:color="auto"/>
            <w:bottom w:val="none" w:sz="0" w:space="0" w:color="auto"/>
            <w:right w:val="none" w:sz="0" w:space="0" w:color="auto"/>
          </w:divBdr>
        </w:div>
        <w:div w:id="1486899370">
          <w:marLeft w:val="547"/>
          <w:marRight w:val="0"/>
          <w:marTop w:val="0"/>
          <w:marBottom w:val="0"/>
          <w:divBdr>
            <w:top w:val="none" w:sz="0" w:space="0" w:color="auto"/>
            <w:left w:val="none" w:sz="0" w:space="0" w:color="auto"/>
            <w:bottom w:val="none" w:sz="0" w:space="0" w:color="auto"/>
            <w:right w:val="none" w:sz="0" w:space="0" w:color="auto"/>
          </w:divBdr>
        </w:div>
        <w:div w:id="715856025">
          <w:marLeft w:val="1166"/>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532338">
      <w:bodyDiv w:val="1"/>
      <w:marLeft w:val="0"/>
      <w:marRight w:val="0"/>
      <w:marTop w:val="0"/>
      <w:marBottom w:val="0"/>
      <w:divBdr>
        <w:top w:val="none" w:sz="0" w:space="0" w:color="auto"/>
        <w:left w:val="none" w:sz="0" w:space="0" w:color="auto"/>
        <w:bottom w:val="none" w:sz="0" w:space="0" w:color="auto"/>
        <w:right w:val="none" w:sz="0" w:space="0" w:color="auto"/>
      </w:divBdr>
      <w:divsChild>
        <w:div w:id="766078435">
          <w:marLeft w:val="547"/>
          <w:marRight w:val="0"/>
          <w:marTop w:val="0"/>
          <w:marBottom w:val="0"/>
          <w:divBdr>
            <w:top w:val="none" w:sz="0" w:space="0" w:color="auto"/>
            <w:left w:val="none" w:sz="0" w:space="0" w:color="auto"/>
            <w:bottom w:val="none" w:sz="0" w:space="0" w:color="auto"/>
            <w:right w:val="none" w:sz="0" w:space="0" w:color="auto"/>
          </w:divBdr>
        </w:div>
        <w:div w:id="2083404569">
          <w:marLeft w:val="1166"/>
          <w:marRight w:val="0"/>
          <w:marTop w:val="0"/>
          <w:marBottom w:val="0"/>
          <w:divBdr>
            <w:top w:val="none" w:sz="0" w:space="0" w:color="auto"/>
            <w:left w:val="none" w:sz="0" w:space="0" w:color="auto"/>
            <w:bottom w:val="none" w:sz="0" w:space="0" w:color="auto"/>
            <w:right w:val="none" w:sz="0" w:space="0" w:color="auto"/>
          </w:divBdr>
        </w:div>
        <w:div w:id="899443712">
          <w:marLeft w:val="1800"/>
          <w:marRight w:val="0"/>
          <w:marTop w:val="0"/>
          <w:marBottom w:val="0"/>
          <w:divBdr>
            <w:top w:val="none" w:sz="0" w:space="0" w:color="auto"/>
            <w:left w:val="none" w:sz="0" w:space="0" w:color="auto"/>
            <w:bottom w:val="none" w:sz="0" w:space="0" w:color="auto"/>
            <w:right w:val="none" w:sz="0" w:space="0" w:color="auto"/>
          </w:divBdr>
        </w:div>
        <w:div w:id="496190309">
          <w:marLeft w:val="1800"/>
          <w:marRight w:val="0"/>
          <w:marTop w:val="0"/>
          <w:marBottom w:val="0"/>
          <w:divBdr>
            <w:top w:val="none" w:sz="0" w:space="0" w:color="auto"/>
            <w:left w:val="none" w:sz="0" w:space="0" w:color="auto"/>
            <w:bottom w:val="none" w:sz="0" w:space="0" w:color="auto"/>
            <w:right w:val="none" w:sz="0" w:space="0" w:color="auto"/>
          </w:divBdr>
        </w:div>
        <w:div w:id="44526028">
          <w:marLeft w:val="2520"/>
          <w:marRight w:val="0"/>
          <w:marTop w:val="0"/>
          <w:marBottom w:val="0"/>
          <w:divBdr>
            <w:top w:val="none" w:sz="0" w:space="0" w:color="auto"/>
            <w:left w:val="none" w:sz="0" w:space="0" w:color="auto"/>
            <w:bottom w:val="none" w:sz="0" w:space="0" w:color="auto"/>
            <w:right w:val="none" w:sz="0" w:space="0" w:color="auto"/>
          </w:divBdr>
        </w:div>
        <w:div w:id="139002582">
          <w:marLeft w:val="1166"/>
          <w:marRight w:val="0"/>
          <w:marTop w:val="0"/>
          <w:marBottom w:val="0"/>
          <w:divBdr>
            <w:top w:val="none" w:sz="0" w:space="0" w:color="auto"/>
            <w:left w:val="none" w:sz="0" w:space="0" w:color="auto"/>
            <w:bottom w:val="none" w:sz="0" w:space="0" w:color="auto"/>
            <w:right w:val="none" w:sz="0" w:space="0" w:color="auto"/>
          </w:divBdr>
        </w:div>
        <w:div w:id="1881623448">
          <w:marLeft w:val="1800"/>
          <w:marRight w:val="0"/>
          <w:marTop w:val="0"/>
          <w:marBottom w:val="0"/>
          <w:divBdr>
            <w:top w:val="none" w:sz="0" w:space="0" w:color="auto"/>
            <w:left w:val="none" w:sz="0" w:space="0" w:color="auto"/>
            <w:bottom w:val="none" w:sz="0" w:space="0" w:color="auto"/>
            <w:right w:val="none" w:sz="0" w:space="0" w:color="auto"/>
          </w:divBdr>
        </w:div>
        <w:div w:id="1642267633">
          <w:marLeft w:val="547"/>
          <w:marRight w:val="0"/>
          <w:marTop w:val="0"/>
          <w:marBottom w:val="0"/>
          <w:divBdr>
            <w:top w:val="none" w:sz="0" w:space="0" w:color="auto"/>
            <w:left w:val="none" w:sz="0" w:space="0" w:color="auto"/>
            <w:bottom w:val="none" w:sz="0" w:space="0" w:color="auto"/>
            <w:right w:val="none" w:sz="0" w:space="0" w:color="auto"/>
          </w:divBdr>
        </w:div>
        <w:div w:id="2128699929">
          <w:marLeft w:val="547"/>
          <w:marRight w:val="0"/>
          <w:marTop w:val="0"/>
          <w:marBottom w:val="0"/>
          <w:divBdr>
            <w:top w:val="none" w:sz="0" w:space="0" w:color="auto"/>
            <w:left w:val="none" w:sz="0" w:space="0" w:color="auto"/>
            <w:bottom w:val="none" w:sz="0" w:space="0" w:color="auto"/>
            <w:right w:val="none" w:sz="0" w:space="0" w:color="auto"/>
          </w:divBdr>
        </w:div>
        <w:div w:id="1168331199">
          <w:marLeft w:val="1166"/>
          <w:marRight w:val="0"/>
          <w:marTop w:val="0"/>
          <w:marBottom w:val="0"/>
          <w:divBdr>
            <w:top w:val="none" w:sz="0" w:space="0" w:color="auto"/>
            <w:left w:val="none" w:sz="0" w:space="0" w:color="auto"/>
            <w:bottom w:val="none" w:sz="0" w:space="0" w:color="auto"/>
            <w:right w:val="none" w:sz="0" w:space="0" w:color="auto"/>
          </w:divBdr>
        </w:div>
      </w:divsChild>
    </w:div>
    <w:div w:id="976956256">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2368956">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9602704">
      <w:bodyDiv w:val="1"/>
      <w:marLeft w:val="0"/>
      <w:marRight w:val="0"/>
      <w:marTop w:val="0"/>
      <w:marBottom w:val="0"/>
      <w:divBdr>
        <w:top w:val="none" w:sz="0" w:space="0" w:color="auto"/>
        <w:left w:val="none" w:sz="0" w:space="0" w:color="auto"/>
        <w:bottom w:val="none" w:sz="0" w:space="0" w:color="auto"/>
        <w:right w:val="none" w:sz="0" w:space="0" w:color="auto"/>
      </w:divBdr>
      <w:divsChild>
        <w:div w:id="1524126160">
          <w:marLeft w:val="720"/>
          <w:marRight w:val="0"/>
          <w:marTop w:val="0"/>
          <w:marBottom w:val="0"/>
          <w:divBdr>
            <w:top w:val="none" w:sz="0" w:space="0" w:color="auto"/>
            <w:left w:val="none" w:sz="0" w:space="0" w:color="auto"/>
            <w:bottom w:val="none" w:sz="0" w:space="0" w:color="auto"/>
            <w:right w:val="none" w:sz="0" w:space="0" w:color="auto"/>
          </w:divBdr>
        </w:div>
        <w:div w:id="1446119279">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510852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6192740">
      <w:bodyDiv w:val="1"/>
      <w:marLeft w:val="0"/>
      <w:marRight w:val="0"/>
      <w:marTop w:val="0"/>
      <w:marBottom w:val="0"/>
      <w:divBdr>
        <w:top w:val="none" w:sz="0" w:space="0" w:color="auto"/>
        <w:left w:val="none" w:sz="0" w:space="0" w:color="auto"/>
        <w:bottom w:val="none" w:sz="0" w:space="0" w:color="auto"/>
        <w:right w:val="none" w:sz="0" w:space="0" w:color="auto"/>
      </w:divBdr>
    </w:div>
    <w:div w:id="1130977674">
      <w:bodyDiv w:val="1"/>
      <w:marLeft w:val="0"/>
      <w:marRight w:val="0"/>
      <w:marTop w:val="0"/>
      <w:marBottom w:val="0"/>
      <w:divBdr>
        <w:top w:val="none" w:sz="0" w:space="0" w:color="auto"/>
        <w:left w:val="none" w:sz="0" w:space="0" w:color="auto"/>
        <w:bottom w:val="none" w:sz="0" w:space="0" w:color="auto"/>
        <w:right w:val="none" w:sz="0" w:space="0" w:color="auto"/>
      </w:divBdr>
      <w:divsChild>
        <w:div w:id="1066026046">
          <w:marLeft w:val="547"/>
          <w:marRight w:val="0"/>
          <w:marTop w:val="0"/>
          <w:marBottom w:val="0"/>
          <w:divBdr>
            <w:top w:val="none" w:sz="0" w:space="0" w:color="auto"/>
            <w:left w:val="none" w:sz="0" w:space="0" w:color="auto"/>
            <w:bottom w:val="none" w:sz="0" w:space="0" w:color="auto"/>
            <w:right w:val="none" w:sz="0" w:space="0" w:color="auto"/>
          </w:divBdr>
        </w:div>
        <w:div w:id="563414905">
          <w:marLeft w:val="547"/>
          <w:marRight w:val="0"/>
          <w:marTop w:val="0"/>
          <w:marBottom w:val="0"/>
          <w:divBdr>
            <w:top w:val="none" w:sz="0" w:space="0" w:color="auto"/>
            <w:left w:val="none" w:sz="0" w:space="0" w:color="auto"/>
            <w:bottom w:val="none" w:sz="0" w:space="0" w:color="auto"/>
            <w:right w:val="none" w:sz="0" w:space="0" w:color="auto"/>
          </w:divBdr>
        </w:div>
        <w:div w:id="2128163032">
          <w:marLeft w:val="547"/>
          <w:marRight w:val="0"/>
          <w:marTop w:val="0"/>
          <w:marBottom w:val="0"/>
          <w:divBdr>
            <w:top w:val="none" w:sz="0" w:space="0" w:color="auto"/>
            <w:left w:val="none" w:sz="0" w:space="0" w:color="auto"/>
            <w:bottom w:val="none" w:sz="0" w:space="0" w:color="auto"/>
            <w:right w:val="none" w:sz="0" w:space="0" w:color="auto"/>
          </w:divBdr>
        </w:div>
        <w:div w:id="1022169064">
          <w:marLeft w:val="1166"/>
          <w:marRight w:val="0"/>
          <w:marTop w:val="0"/>
          <w:marBottom w:val="0"/>
          <w:divBdr>
            <w:top w:val="none" w:sz="0" w:space="0" w:color="auto"/>
            <w:left w:val="none" w:sz="0" w:space="0" w:color="auto"/>
            <w:bottom w:val="none" w:sz="0" w:space="0" w:color="auto"/>
            <w:right w:val="none" w:sz="0" w:space="0" w:color="auto"/>
          </w:divBdr>
        </w:div>
        <w:div w:id="2117477100">
          <w:marLeft w:val="720"/>
          <w:marRight w:val="0"/>
          <w:marTop w:val="0"/>
          <w:marBottom w:val="0"/>
          <w:divBdr>
            <w:top w:val="none" w:sz="0" w:space="0" w:color="auto"/>
            <w:left w:val="none" w:sz="0" w:space="0" w:color="auto"/>
            <w:bottom w:val="none" w:sz="0" w:space="0" w:color="auto"/>
            <w:right w:val="none" w:sz="0" w:space="0" w:color="auto"/>
          </w:divBdr>
        </w:div>
        <w:div w:id="1815756947">
          <w:marLeft w:val="547"/>
          <w:marRight w:val="0"/>
          <w:marTop w:val="0"/>
          <w:marBottom w:val="0"/>
          <w:divBdr>
            <w:top w:val="none" w:sz="0" w:space="0" w:color="auto"/>
            <w:left w:val="none" w:sz="0" w:space="0" w:color="auto"/>
            <w:bottom w:val="none" w:sz="0" w:space="0" w:color="auto"/>
            <w:right w:val="none" w:sz="0" w:space="0" w:color="auto"/>
          </w:divBdr>
        </w:div>
        <w:div w:id="1737361089">
          <w:marLeft w:val="547"/>
          <w:marRight w:val="0"/>
          <w:marTop w:val="0"/>
          <w:marBottom w:val="0"/>
          <w:divBdr>
            <w:top w:val="none" w:sz="0" w:space="0" w:color="auto"/>
            <w:left w:val="none" w:sz="0" w:space="0" w:color="auto"/>
            <w:bottom w:val="none" w:sz="0" w:space="0" w:color="auto"/>
            <w:right w:val="none" w:sz="0" w:space="0" w:color="auto"/>
          </w:divBdr>
        </w:div>
        <w:div w:id="1320697247">
          <w:marLeft w:val="1166"/>
          <w:marRight w:val="0"/>
          <w:marTop w:val="0"/>
          <w:marBottom w:val="0"/>
          <w:divBdr>
            <w:top w:val="none" w:sz="0" w:space="0" w:color="auto"/>
            <w:left w:val="none" w:sz="0" w:space="0" w:color="auto"/>
            <w:bottom w:val="none" w:sz="0" w:space="0" w:color="auto"/>
            <w:right w:val="none" w:sz="0" w:space="0" w:color="auto"/>
          </w:divBdr>
        </w:div>
        <w:div w:id="1641224921">
          <w:marLeft w:val="1800"/>
          <w:marRight w:val="0"/>
          <w:marTop w:val="0"/>
          <w:marBottom w:val="0"/>
          <w:divBdr>
            <w:top w:val="none" w:sz="0" w:space="0" w:color="auto"/>
            <w:left w:val="none" w:sz="0" w:space="0" w:color="auto"/>
            <w:bottom w:val="none" w:sz="0" w:space="0" w:color="auto"/>
            <w:right w:val="none" w:sz="0" w:space="0" w:color="auto"/>
          </w:divBdr>
        </w:div>
        <w:div w:id="1807697486">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172986577">
      <w:bodyDiv w:val="1"/>
      <w:marLeft w:val="0"/>
      <w:marRight w:val="0"/>
      <w:marTop w:val="0"/>
      <w:marBottom w:val="0"/>
      <w:divBdr>
        <w:top w:val="none" w:sz="0" w:space="0" w:color="auto"/>
        <w:left w:val="none" w:sz="0" w:space="0" w:color="auto"/>
        <w:bottom w:val="none" w:sz="0" w:space="0" w:color="auto"/>
        <w:right w:val="none" w:sz="0" w:space="0" w:color="auto"/>
      </w:divBdr>
      <w:divsChild>
        <w:div w:id="1472863835">
          <w:marLeft w:val="547"/>
          <w:marRight w:val="0"/>
          <w:marTop w:val="0"/>
          <w:marBottom w:val="0"/>
          <w:divBdr>
            <w:top w:val="none" w:sz="0" w:space="0" w:color="auto"/>
            <w:left w:val="none" w:sz="0" w:space="0" w:color="auto"/>
            <w:bottom w:val="none" w:sz="0" w:space="0" w:color="auto"/>
            <w:right w:val="none" w:sz="0" w:space="0" w:color="auto"/>
          </w:divBdr>
        </w:div>
        <w:div w:id="1631978317">
          <w:marLeft w:val="1166"/>
          <w:marRight w:val="0"/>
          <w:marTop w:val="0"/>
          <w:marBottom w:val="0"/>
          <w:divBdr>
            <w:top w:val="none" w:sz="0" w:space="0" w:color="auto"/>
            <w:left w:val="none" w:sz="0" w:space="0" w:color="auto"/>
            <w:bottom w:val="none" w:sz="0" w:space="0" w:color="auto"/>
            <w:right w:val="none" w:sz="0" w:space="0" w:color="auto"/>
          </w:divBdr>
        </w:div>
        <w:div w:id="975918358">
          <w:marLeft w:val="1166"/>
          <w:marRight w:val="0"/>
          <w:marTop w:val="0"/>
          <w:marBottom w:val="0"/>
          <w:divBdr>
            <w:top w:val="none" w:sz="0" w:space="0" w:color="auto"/>
            <w:left w:val="none" w:sz="0" w:space="0" w:color="auto"/>
            <w:bottom w:val="none" w:sz="0" w:space="0" w:color="auto"/>
            <w:right w:val="none" w:sz="0" w:space="0" w:color="auto"/>
          </w:divBdr>
        </w:div>
        <w:div w:id="332729434">
          <w:marLeft w:val="1800"/>
          <w:marRight w:val="0"/>
          <w:marTop w:val="0"/>
          <w:marBottom w:val="0"/>
          <w:divBdr>
            <w:top w:val="none" w:sz="0" w:space="0" w:color="auto"/>
            <w:left w:val="none" w:sz="0" w:space="0" w:color="auto"/>
            <w:bottom w:val="none" w:sz="0" w:space="0" w:color="auto"/>
            <w:right w:val="none" w:sz="0" w:space="0" w:color="auto"/>
          </w:divBdr>
        </w:div>
        <w:div w:id="1523782505">
          <w:marLeft w:val="1800"/>
          <w:marRight w:val="0"/>
          <w:marTop w:val="0"/>
          <w:marBottom w:val="0"/>
          <w:divBdr>
            <w:top w:val="none" w:sz="0" w:space="0" w:color="auto"/>
            <w:left w:val="none" w:sz="0" w:space="0" w:color="auto"/>
            <w:bottom w:val="none" w:sz="0" w:space="0" w:color="auto"/>
            <w:right w:val="none" w:sz="0" w:space="0" w:color="auto"/>
          </w:divBdr>
        </w:div>
        <w:div w:id="561907714">
          <w:marLeft w:val="1800"/>
          <w:marRight w:val="0"/>
          <w:marTop w:val="0"/>
          <w:marBottom w:val="0"/>
          <w:divBdr>
            <w:top w:val="none" w:sz="0" w:space="0" w:color="auto"/>
            <w:left w:val="none" w:sz="0" w:space="0" w:color="auto"/>
            <w:bottom w:val="none" w:sz="0" w:space="0" w:color="auto"/>
            <w:right w:val="none" w:sz="0" w:space="0" w:color="auto"/>
          </w:divBdr>
        </w:div>
        <w:div w:id="1495949129">
          <w:marLeft w:val="1800"/>
          <w:marRight w:val="0"/>
          <w:marTop w:val="0"/>
          <w:marBottom w:val="0"/>
          <w:divBdr>
            <w:top w:val="none" w:sz="0" w:space="0" w:color="auto"/>
            <w:left w:val="none" w:sz="0" w:space="0" w:color="auto"/>
            <w:bottom w:val="none" w:sz="0" w:space="0" w:color="auto"/>
            <w:right w:val="none" w:sz="0" w:space="0" w:color="auto"/>
          </w:divBdr>
        </w:div>
        <w:div w:id="1131938590">
          <w:marLeft w:val="1800"/>
          <w:marRight w:val="0"/>
          <w:marTop w:val="0"/>
          <w:marBottom w:val="0"/>
          <w:divBdr>
            <w:top w:val="none" w:sz="0" w:space="0" w:color="auto"/>
            <w:left w:val="none" w:sz="0" w:space="0" w:color="auto"/>
            <w:bottom w:val="none" w:sz="0" w:space="0" w:color="auto"/>
            <w:right w:val="none" w:sz="0" w:space="0" w:color="auto"/>
          </w:divBdr>
        </w:div>
        <w:div w:id="1932079265">
          <w:marLeft w:val="1800"/>
          <w:marRight w:val="0"/>
          <w:marTop w:val="0"/>
          <w:marBottom w:val="0"/>
          <w:divBdr>
            <w:top w:val="none" w:sz="0" w:space="0" w:color="auto"/>
            <w:left w:val="none" w:sz="0" w:space="0" w:color="auto"/>
            <w:bottom w:val="none" w:sz="0" w:space="0" w:color="auto"/>
            <w:right w:val="none" w:sz="0" w:space="0" w:color="auto"/>
          </w:divBdr>
        </w:div>
        <w:div w:id="730035281">
          <w:marLeft w:val="1166"/>
          <w:marRight w:val="0"/>
          <w:marTop w:val="0"/>
          <w:marBottom w:val="0"/>
          <w:divBdr>
            <w:top w:val="none" w:sz="0" w:space="0" w:color="auto"/>
            <w:left w:val="none" w:sz="0" w:space="0" w:color="auto"/>
            <w:bottom w:val="none" w:sz="0" w:space="0" w:color="auto"/>
            <w:right w:val="none" w:sz="0" w:space="0" w:color="auto"/>
          </w:divBdr>
        </w:div>
        <w:div w:id="1583681575">
          <w:marLeft w:val="1166"/>
          <w:marRight w:val="0"/>
          <w:marTop w:val="0"/>
          <w:marBottom w:val="0"/>
          <w:divBdr>
            <w:top w:val="none" w:sz="0" w:space="0" w:color="auto"/>
            <w:left w:val="none" w:sz="0" w:space="0" w:color="auto"/>
            <w:bottom w:val="none" w:sz="0" w:space="0" w:color="auto"/>
            <w:right w:val="none" w:sz="0" w:space="0" w:color="auto"/>
          </w:divBdr>
        </w:div>
      </w:divsChild>
    </w:div>
    <w:div w:id="1188442123">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35921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286542863">
      <w:bodyDiv w:val="1"/>
      <w:marLeft w:val="0"/>
      <w:marRight w:val="0"/>
      <w:marTop w:val="0"/>
      <w:marBottom w:val="0"/>
      <w:divBdr>
        <w:top w:val="none" w:sz="0" w:space="0" w:color="auto"/>
        <w:left w:val="none" w:sz="0" w:space="0" w:color="auto"/>
        <w:bottom w:val="none" w:sz="0" w:space="0" w:color="auto"/>
        <w:right w:val="none" w:sz="0" w:space="0" w:color="auto"/>
      </w:divBdr>
      <w:divsChild>
        <w:div w:id="2020740749">
          <w:marLeft w:val="547"/>
          <w:marRight w:val="0"/>
          <w:marTop w:val="0"/>
          <w:marBottom w:val="0"/>
          <w:divBdr>
            <w:top w:val="none" w:sz="0" w:space="0" w:color="auto"/>
            <w:left w:val="none" w:sz="0" w:space="0" w:color="auto"/>
            <w:bottom w:val="none" w:sz="0" w:space="0" w:color="auto"/>
            <w:right w:val="none" w:sz="0" w:space="0" w:color="auto"/>
          </w:divBdr>
        </w:div>
        <w:div w:id="766271763">
          <w:marLeft w:val="1166"/>
          <w:marRight w:val="0"/>
          <w:marTop w:val="0"/>
          <w:marBottom w:val="0"/>
          <w:divBdr>
            <w:top w:val="none" w:sz="0" w:space="0" w:color="auto"/>
            <w:left w:val="none" w:sz="0" w:space="0" w:color="auto"/>
            <w:bottom w:val="none" w:sz="0" w:space="0" w:color="auto"/>
            <w:right w:val="none" w:sz="0" w:space="0" w:color="auto"/>
          </w:divBdr>
        </w:div>
        <w:div w:id="273096487">
          <w:marLeft w:val="547"/>
          <w:marRight w:val="0"/>
          <w:marTop w:val="0"/>
          <w:marBottom w:val="0"/>
          <w:divBdr>
            <w:top w:val="none" w:sz="0" w:space="0" w:color="auto"/>
            <w:left w:val="none" w:sz="0" w:space="0" w:color="auto"/>
            <w:bottom w:val="none" w:sz="0" w:space="0" w:color="auto"/>
            <w:right w:val="none" w:sz="0" w:space="0" w:color="auto"/>
          </w:divBdr>
        </w:div>
        <w:div w:id="1928343183">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13426293">
      <w:bodyDiv w:val="1"/>
      <w:marLeft w:val="0"/>
      <w:marRight w:val="0"/>
      <w:marTop w:val="0"/>
      <w:marBottom w:val="0"/>
      <w:divBdr>
        <w:top w:val="none" w:sz="0" w:space="0" w:color="auto"/>
        <w:left w:val="none" w:sz="0" w:space="0" w:color="auto"/>
        <w:bottom w:val="none" w:sz="0" w:space="0" w:color="auto"/>
        <w:right w:val="none" w:sz="0" w:space="0" w:color="auto"/>
      </w:divBdr>
      <w:divsChild>
        <w:div w:id="1007826215">
          <w:marLeft w:val="547"/>
          <w:marRight w:val="0"/>
          <w:marTop w:val="0"/>
          <w:marBottom w:val="0"/>
          <w:divBdr>
            <w:top w:val="none" w:sz="0" w:space="0" w:color="auto"/>
            <w:left w:val="none" w:sz="0" w:space="0" w:color="auto"/>
            <w:bottom w:val="none" w:sz="0" w:space="0" w:color="auto"/>
            <w:right w:val="none" w:sz="0" w:space="0" w:color="auto"/>
          </w:divBdr>
        </w:div>
        <w:div w:id="658968157">
          <w:marLeft w:val="1166"/>
          <w:marRight w:val="0"/>
          <w:marTop w:val="0"/>
          <w:marBottom w:val="0"/>
          <w:divBdr>
            <w:top w:val="none" w:sz="0" w:space="0" w:color="auto"/>
            <w:left w:val="none" w:sz="0" w:space="0" w:color="auto"/>
            <w:bottom w:val="none" w:sz="0" w:space="0" w:color="auto"/>
            <w:right w:val="none" w:sz="0" w:space="0" w:color="auto"/>
          </w:divBdr>
        </w:div>
        <w:div w:id="1835797803">
          <w:marLeft w:val="547"/>
          <w:marRight w:val="0"/>
          <w:marTop w:val="0"/>
          <w:marBottom w:val="0"/>
          <w:divBdr>
            <w:top w:val="none" w:sz="0" w:space="0" w:color="auto"/>
            <w:left w:val="none" w:sz="0" w:space="0" w:color="auto"/>
            <w:bottom w:val="none" w:sz="0" w:space="0" w:color="auto"/>
            <w:right w:val="none" w:sz="0" w:space="0" w:color="auto"/>
          </w:divBdr>
        </w:div>
        <w:div w:id="1304887471">
          <w:marLeft w:val="547"/>
          <w:marRight w:val="0"/>
          <w:marTop w:val="0"/>
          <w:marBottom w:val="0"/>
          <w:divBdr>
            <w:top w:val="none" w:sz="0" w:space="0" w:color="auto"/>
            <w:left w:val="none" w:sz="0" w:space="0" w:color="auto"/>
            <w:bottom w:val="none" w:sz="0" w:space="0" w:color="auto"/>
            <w:right w:val="none" w:sz="0" w:space="0" w:color="auto"/>
          </w:divBdr>
        </w:div>
      </w:divsChild>
    </w:div>
    <w:div w:id="1417751762">
      <w:bodyDiv w:val="1"/>
      <w:marLeft w:val="0"/>
      <w:marRight w:val="0"/>
      <w:marTop w:val="0"/>
      <w:marBottom w:val="0"/>
      <w:divBdr>
        <w:top w:val="none" w:sz="0" w:space="0" w:color="auto"/>
        <w:left w:val="none" w:sz="0" w:space="0" w:color="auto"/>
        <w:bottom w:val="none" w:sz="0" w:space="0" w:color="auto"/>
        <w:right w:val="none" w:sz="0" w:space="0" w:color="auto"/>
      </w:divBdr>
      <w:divsChild>
        <w:div w:id="1557736773">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073793">
      <w:bodyDiv w:val="1"/>
      <w:marLeft w:val="0"/>
      <w:marRight w:val="0"/>
      <w:marTop w:val="0"/>
      <w:marBottom w:val="0"/>
      <w:divBdr>
        <w:top w:val="none" w:sz="0" w:space="0" w:color="auto"/>
        <w:left w:val="none" w:sz="0" w:space="0" w:color="auto"/>
        <w:bottom w:val="none" w:sz="0" w:space="0" w:color="auto"/>
        <w:right w:val="none" w:sz="0" w:space="0" w:color="auto"/>
      </w:divBdr>
    </w:div>
    <w:div w:id="1446657202">
      <w:bodyDiv w:val="1"/>
      <w:marLeft w:val="0"/>
      <w:marRight w:val="0"/>
      <w:marTop w:val="0"/>
      <w:marBottom w:val="0"/>
      <w:divBdr>
        <w:top w:val="none" w:sz="0" w:space="0" w:color="auto"/>
        <w:left w:val="none" w:sz="0" w:space="0" w:color="auto"/>
        <w:bottom w:val="none" w:sz="0" w:space="0" w:color="auto"/>
        <w:right w:val="none" w:sz="0" w:space="0" w:color="auto"/>
      </w:divBdr>
      <w:divsChild>
        <w:div w:id="46540345">
          <w:marLeft w:val="1800"/>
          <w:marRight w:val="0"/>
          <w:marTop w:val="0"/>
          <w:marBottom w:val="0"/>
          <w:divBdr>
            <w:top w:val="none" w:sz="0" w:space="0" w:color="auto"/>
            <w:left w:val="none" w:sz="0" w:space="0" w:color="auto"/>
            <w:bottom w:val="none" w:sz="0" w:space="0" w:color="auto"/>
            <w:right w:val="none" w:sz="0" w:space="0" w:color="auto"/>
          </w:divBdr>
        </w:div>
        <w:div w:id="1858612439">
          <w:marLeft w:val="180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015178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647531">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248823">
      <w:bodyDiv w:val="1"/>
      <w:marLeft w:val="0"/>
      <w:marRight w:val="0"/>
      <w:marTop w:val="0"/>
      <w:marBottom w:val="0"/>
      <w:divBdr>
        <w:top w:val="none" w:sz="0" w:space="0" w:color="auto"/>
        <w:left w:val="none" w:sz="0" w:space="0" w:color="auto"/>
        <w:bottom w:val="none" w:sz="0" w:space="0" w:color="auto"/>
        <w:right w:val="none" w:sz="0" w:space="0" w:color="auto"/>
      </w:divBdr>
    </w:div>
    <w:div w:id="1679115693">
      <w:bodyDiv w:val="1"/>
      <w:marLeft w:val="0"/>
      <w:marRight w:val="0"/>
      <w:marTop w:val="0"/>
      <w:marBottom w:val="0"/>
      <w:divBdr>
        <w:top w:val="none" w:sz="0" w:space="0" w:color="auto"/>
        <w:left w:val="none" w:sz="0" w:space="0" w:color="auto"/>
        <w:bottom w:val="none" w:sz="0" w:space="0" w:color="auto"/>
        <w:right w:val="none" w:sz="0" w:space="0" w:color="auto"/>
      </w:divBdr>
      <w:divsChild>
        <w:div w:id="303891303">
          <w:marLeft w:val="547"/>
          <w:marRight w:val="0"/>
          <w:marTop w:val="0"/>
          <w:marBottom w:val="0"/>
          <w:divBdr>
            <w:top w:val="none" w:sz="0" w:space="0" w:color="auto"/>
            <w:left w:val="none" w:sz="0" w:space="0" w:color="auto"/>
            <w:bottom w:val="none" w:sz="0" w:space="0" w:color="auto"/>
            <w:right w:val="none" w:sz="0" w:space="0" w:color="auto"/>
          </w:divBdr>
        </w:div>
        <w:div w:id="484587184">
          <w:marLeft w:val="1166"/>
          <w:marRight w:val="0"/>
          <w:marTop w:val="0"/>
          <w:marBottom w:val="0"/>
          <w:divBdr>
            <w:top w:val="none" w:sz="0" w:space="0" w:color="auto"/>
            <w:left w:val="none" w:sz="0" w:space="0" w:color="auto"/>
            <w:bottom w:val="none" w:sz="0" w:space="0" w:color="auto"/>
            <w:right w:val="none" w:sz="0" w:space="0" w:color="auto"/>
          </w:divBdr>
        </w:div>
        <w:div w:id="305936922">
          <w:marLeft w:val="1166"/>
          <w:marRight w:val="0"/>
          <w:marTop w:val="0"/>
          <w:marBottom w:val="0"/>
          <w:divBdr>
            <w:top w:val="none" w:sz="0" w:space="0" w:color="auto"/>
            <w:left w:val="none" w:sz="0" w:space="0" w:color="auto"/>
            <w:bottom w:val="none" w:sz="0" w:space="0" w:color="auto"/>
            <w:right w:val="none" w:sz="0" w:space="0" w:color="auto"/>
          </w:divBdr>
        </w:div>
        <w:div w:id="1729526877">
          <w:marLeft w:val="1800"/>
          <w:marRight w:val="0"/>
          <w:marTop w:val="0"/>
          <w:marBottom w:val="0"/>
          <w:divBdr>
            <w:top w:val="none" w:sz="0" w:space="0" w:color="auto"/>
            <w:left w:val="none" w:sz="0" w:space="0" w:color="auto"/>
            <w:bottom w:val="none" w:sz="0" w:space="0" w:color="auto"/>
            <w:right w:val="none" w:sz="0" w:space="0" w:color="auto"/>
          </w:divBdr>
        </w:div>
        <w:div w:id="531502403">
          <w:marLeft w:val="2520"/>
          <w:marRight w:val="0"/>
          <w:marTop w:val="0"/>
          <w:marBottom w:val="0"/>
          <w:divBdr>
            <w:top w:val="none" w:sz="0" w:space="0" w:color="auto"/>
            <w:left w:val="none" w:sz="0" w:space="0" w:color="auto"/>
            <w:bottom w:val="none" w:sz="0" w:space="0" w:color="auto"/>
            <w:right w:val="none" w:sz="0" w:space="0" w:color="auto"/>
          </w:divBdr>
        </w:div>
        <w:div w:id="1938781936">
          <w:marLeft w:val="2520"/>
          <w:marRight w:val="0"/>
          <w:marTop w:val="0"/>
          <w:marBottom w:val="0"/>
          <w:divBdr>
            <w:top w:val="none" w:sz="0" w:space="0" w:color="auto"/>
            <w:left w:val="none" w:sz="0" w:space="0" w:color="auto"/>
            <w:bottom w:val="none" w:sz="0" w:space="0" w:color="auto"/>
            <w:right w:val="none" w:sz="0" w:space="0" w:color="auto"/>
          </w:divBdr>
        </w:div>
        <w:div w:id="1214656054">
          <w:marLeft w:val="1166"/>
          <w:marRight w:val="0"/>
          <w:marTop w:val="0"/>
          <w:marBottom w:val="0"/>
          <w:divBdr>
            <w:top w:val="none" w:sz="0" w:space="0" w:color="auto"/>
            <w:left w:val="none" w:sz="0" w:space="0" w:color="auto"/>
            <w:bottom w:val="none" w:sz="0" w:space="0" w:color="auto"/>
            <w:right w:val="none" w:sz="0" w:space="0" w:color="auto"/>
          </w:divBdr>
        </w:div>
        <w:div w:id="1780644365">
          <w:marLeft w:val="547"/>
          <w:marRight w:val="0"/>
          <w:marTop w:val="0"/>
          <w:marBottom w:val="0"/>
          <w:divBdr>
            <w:top w:val="none" w:sz="0" w:space="0" w:color="auto"/>
            <w:left w:val="none" w:sz="0" w:space="0" w:color="auto"/>
            <w:bottom w:val="none" w:sz="0" w:space="0" w:color="auto"/>
            <w:right w:val="none" w:sz="0" w:space="0" w:color="auto"/>
          </w:divBdr>
        </w:div>
      </w:divsChild>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28158897">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69832206">
      <w:bodyDiv w:val="1"/>
      <w:marLeft w:val="0"/>
      <w:marRight w:val="0"/>
      <w:marTop w:val="0"/>
      <w:marBottom w:val="0"/>
      <w:divBdr>
        <w:top w:val="none" w:sz="0" w:space="0" w:color="auto"/>
        <w:left w:val="none" w:sz="0" w:space="0" w:color="auto"/>
        <w:bottom w:val="none" w:sz="0" w:space="0" w:color="auto"/>
        <w:right w:val="none" w:sz="0" w:space="0" w:color="auto"/>
      </w:divBdr>
      <w:divsChild>
        <w:div w:id="1662390423">
          <w:marLeft w:val="720"/>
          <w:marRight w:val="0"/>
          <w:marTop w:val="0"/>
          <w:marBottom w:val="0"/>
          <w:divBdr>
            <w:top w:val="none" w:sz="0" w:space="0" w:color="auto"/>
            <w:left w:val="none" w:sz="0" w:space="0" w:color="auto"/>
            <w:bottom w:val="none" w:sz="0" w:space="0" w:color="auto"/>
            <w:right w:val="none" w:sz="0" w:space="0" w:color="auto"/>
          </w:divBdr>
        </w:div>
        <w:div w:id="585530953">
          <w:marLeft w:val="547"/>
          <w:marRight w:val="0"/>
          <w:marTop w:val="0"/>
          <w:marBottom w:val="0"/>
          <w:divBdr>
            <w:top w:val="none" w:sz="0" w:space="0" w:color="auto"/>
            <w:left w:val="none" w:sz="0" w:space="0" w:color="auto"/>
            <w:bottom w:val="none" w:sz="0" w:space="0" w:color="auto"/>
            <w:right w:val="none" w:sz="0" w:space="0" w:color="auto"/>
          </w:divBdr>
        </w:div>
      </w:divsChild>
    </w:div>
    <w:div w:id="1870292407">
      <w:bodyDiv w:val="1"/>
      <w:marLeft w:val="0"/>
      <w:marRight w:val="0"/>
      <w:marTop w:val="0"/>
      <w:marBottom w:val="0"/>
      <w:divBdr>
        <w:top w:val="none" w:sz="0" w:space="0" w:color="auto"/>
        <w:left w:val="none" w:sz="0" w:space="0" w:color="auto"/>
        <w:bottom w:val="none" w:sz="0" w:space="0" w:color="auto"/>
        <w:right w:val="none" w:sz="0" w:space="0" w:color="auto"/>
      </w:divBdr>
    </w:div>
    <w:div w:id="187638483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20349330">
      <w:bodyDiv w:val="1"/>
      <w:marLeft w:val="0"/>
      <w:marRight w:val="0"/>
      <w:marTop w:val="0"/>
      <w:marBottom w:val="0"/>
      <w:divBdr>
        <w:top w:val="none" w:sz="0" w:space="0" w:color="auto"/>
        <w:left w:val="none" w:sz="0" w:space="0" w:color="auto"/>
        <w:bottom w:val="none" w:sz="0" w:space="0" w:color="auto"/>
        <w:right w:val="none" w:sz="0" w:space="0" w:color="auto"/>
      </w:divBdr>
      <w:divsChild>
        <w:div w:id="1197235394">
          <w:marLeft w:val="547"/>
          <w:marRight w:val="0"/>
          <w:marTop w:val="0"/>
          <w:marBottom w:val="200"/>
          <w:divBdr>
            <w:top w:val="none" w:sz="0" w:space="0" w:color="auto"/>
            <w:left w:val="none" w:sz="0" w:space="0" w:color="auto"/>
            <w:bottom w:val="none" w:sz="0" w:space="0" w:color="auto"/>
            <w:right w:val="none" w:sz="0" w:space="0" w:color="auto"/>
          </w:divBdr>
        </w:div>
        <w:div w:id="662590520">
          <w:marLeft w:val="1166"/>
          <w:marRight w:val="0"/>
          <w:marTop w:val="0"/>
          <w:marBottom w:val="200"/>
          <w:divBdr>
            <w:top w:val="none" w:sz="0" w:space="0" w:color="auto"/>
            <w:left w:val="none" w:sz="0" w:space="0" w:color="auto"/>
            <w:bottom w:val="none" w:sz="0" w:space="0" w:color="auto"/>
            <w:right w:val="none" w:sz="0" w:space="0" w:color="auto"/>
          </w:divBdr>
        </w:div>
        <w:div w:id="143856815">
          <w:marLeft w:val="1166"/>
          <w:marRight w:val="0"/>
          <w:marTop w:val="0"/>
          <w:marBottom w:val="200"/>
          <w:divBdr>
            <w:top w:val="none" w:sz="0" w:space="0" w:color="auto"/>
            <w:left w:val="none" w:sz="0" w:space="0" w:color="auto"/>
            <w:bottom w:val="none" w:sz="0" w:space="0" w:color="auto"/>
            <w:right w:val="none" w:sz="0" w:space="0" w:color="auto"/>
          </w:divBdr>
        </w:div>
        <w:div w:id="272633606">
          <w:marLeft w:val="1800"/>
          <w:marRight w:val="0"/>
          <w:marTop w:val="0"/>
          <w:marBottom w:val="200"/>
          <w:divBdr>
            <w:top w:val="none" w:sz="0" w:space="0" w:color="auto"/>
            <w:left w:val="none" w:sz="0" w:space="0" w:color="auto"/>
            <w:bottom w:val="none" w:sz="0" w:space="0" w:color="auto"/>
            <w:right w:val="none" w:sz="0" w:space="0" w:color="auto"/>
          </w:divBdr>
        </w:div>
        <w:div w:id="1773279860">
          <w:marLeft w:val="1800"/>
          <w:marRight w:val="0"/>
          <w:marTop w:val="0"/>
          <w:marBottom w:val="200"/>
          <w:divBdr>
            <w:top w:val="none" w:sz="0" w:space="0" w:color="auto"/>
            <w:left w:val="none" w:sz="0" w:space="0" w:color="auto"/>
            <w:bottom w:val="none" w:sz="0" w:space="0" w:color="auto"/>
            <w:right w:val="none" w:sz="0" w:space="0" w:color="auto"/>
          </w:divBdr>
        </w:div>
        <w:div w:id="647438068">
          <w:marLeft w:val="547"/>
          <w:marRight w:val="0"/>
          <w:marTop w:val="0"/>
          <w:marBottom w:val="200"/>
          <w:divBdr>
            <w:top w:val="none" w:sz="0" w:space="0" w:color="auto"/>
            <w:left w:val="none" w:sz="0" w:space="0" w:color="auto"/>
            <w:bottom w:val="none" w:sz="0" w:space="0" w:color="auto"/>
            <w:right w:val="none" w:sz="0" w:space="0" w:color="auto"/>
          </w:divBdr>
        </w:div>
      </w:divsChild>
    </w:div>
    <w:div w:id="2031251713">
      <w:bodyDiv w:val="1"/>
      <w:marLeft w:val="0"/>
      <w:marRight w:val="0"/>
      <w:marTop w:val="0"/>
      <w:marBottom w:val="0"/>
      <w:divBdr>
        <w:top w:val="none" w:sz="0" w:space="0" w:color="auto"/>
        <w:left w:val="none" w:sz="0" w:space="0" w:color="auto"/>
        <w:bottom w:val="none" w:sz="0" w:space="0" w:color="auto"/>
        <w:right w:val="none" w:sz="0" w:space="0" w:color="auto"/>
      </w:divBdr>
      <w:divsChild>
        <w:div w:id="1200625200">
          <w:marLeft w:val="547"/>
          <w:marRight w:val="0"/>
          <w:marTop w:val="0"/>
          <w:marBottom w:val="0"/>
          <w:divBdr>
            <w:top w:val="none" w:sz="0" w:space="0" w:color="auto"/>
            <w:left w:val="none" w:sz="0" w:space="0" w:color="auto"/>
            <w:bottom w:val="none" w:sz="0" w:space="0" w:color="auto"/>
            <w:right w:val="none" w:sz="0" w:space="0" w:color="auto"/>
          </w:divBdr>
        </w:div>
        <w:div w:id="1688752868">
          <w:marLeft w:val="1166"/>
          <w:marRight w:val="0"/>
          <w:marTop w:val="0"/>
          <w:marBottom w:val="0"/>
          <w:divBdr>
            <w:top w:val="none" w:sz="0" w:space="0" w:color="auto"/>
            <w:left w:val="none" w:sz="0" w:space="0" w:color="auto"/>
            <w:bottom w:val="none" w:sz="0" w:space="0" w:color="auto"/>
            <w:right w:val="none" w:sz="0" w:space="0" w:color="auto"/>
          </w:divBdr>
        </w:div>
        <w:div w:id="1706439087">
          <w:marLeft w:val="1166"/>
          <w:marRight w:val="0"/>
          <w:marTop w:val="0"/>
          <w:marBottom w:val="0"/>
          <w:divBdr>
            <w:top w:val="none" w:sz="0" w:space="0" w:color="auto"/>
            <w:left w:val="none" w:sz="0" w:space="0" w:color="auto"/>
            <w:bottom w:val="none" w:sz="0" w:space="0" w:color="auto"/>
            <w:right w:val="none" w:sz="0" w:space="0" w:color="auto"/>
          </w:divBdr>
        </w:div>
        <w:div w:id="2015959489">
          <w:marLeft w:val="547"/>
          <w:marRight w:val="0"/>
          <w:marTop w:val="0"/>
          <w:marBottom w:val="0"/>
          <w:divBdr>
            <w:top w:val="none" w:sz="0" w:space="0" w:color="auto"/>
            <w:left w:val="none" w:sz="0" w:space="0" w:color="auto"/>
            <w:bottom w:val="none" w:sz="0" w:space="0" w:color="auto"/>
            <w:right w:val="none" w:sz="0" w:space="0" w:color="auto"/>
          </w:divBdr>
        </w:div>
        <w:div w:id="1113281265">
          <w:marLeft w:val="1166"/>
          <w:marRight w:val="0"/>
          <w:marTop w:val="0"/>
          <w:marBottom w:val="0"/>
          <w:divBdr>
            <w:top w:val="none" w:sz="0" w:space="0" w:color="auto"/>
            <w:left w:val="none" w:sz="0" w:space="0" w:color="auto"/>
            <w:bottom w:val="none" w:sz="0" w:space="0" w:color="auto"/>
            <w:right w:val="none" w:sz="0" w:space="0" w:color="auto"/>
          </w:divBdr>
        </w:div>
        <w:div w:id="2069067444">
          <w:marLeft w:val="547"/>
          <w:marRight w:val="0"/>
          <w:marTop w:val="0"/>
          <w:marBottom w:val="0"/>
          <w:divBdr>
            <w:top w:val="none" w:sz="0" w:space="0" w:color="auto"/>
            <w:left w:val="none" w:sz="0" w:space="0" w:color="auto"/>
            <w:bottom w:val="none" w:sz="0" w:space="0" w:color="auto"/>
            <w:right w:val="none" w:sz="0" w:space="0" w:color="auto"/>
          </w:divBdr>
        </w:div>
        <w:div w:id="650524304">
          <w:marLeft w:val="547"/>
          <w:marRight w:val="0"/>
          <w:marTop w:val="0"/>
          <w:marBottom w:val="0"/>
          <w:divBdr>
            <w:top w:val="none" w:sz="0" w:space="0" w:color="auto"/>
            <w:left w:val="none" w:sz="0" w:space="0" w:color="auto"/>
            <w:bottom w:val="none" w:sz="0" w:space="0" w:color="auto"/>
            <w:right w:val="none" w:sz="0" w:space="0" w:color="auto"/>
          </w:divBdr>
        </w:div>
        <w:div w:id="1717394402">
          <w:marLeft w:val="547"/>
          <w:marRight w:val="0"/>
          <w:marTop w:val="0"/>
          <w:marBottom w:val="0"/>
          <w:divBdr>
            <w:top w:val="none" w:sz="0" w:space="0" w:color="auto"/>
            <w:left w:val="none" w:sz="0" w:space="0" w:color="auto"/>
            <w:bottom w:val="none" w:sz="0" w:space="0" w:color="auto"/>
            <w:right w:val="none" w:sz="0" w:space="0" w:color="auto"/>
          </w:divBdr>
        </w:div>
        <w:div w:id="1888301968">
          <w:marLeft w:val="1166"/>
          <w:marRight w:val="0"/>
          <w:marTop w:val="0"/>
          <w:marBottom w:val="0"/>
          <w:divBdr>
            <w:top w:val="none" w:sz="0" w:space="0" w:color="auto"/>
            <w:left w:val="none" w:sz="0" w:space="0" w:color="auto"/>
            <w:bottom w:val="none" w:sz="0" w:space="0" w:color="auto"/>
            <w:right w:val="none" w:sz="0" w:space="0" w:color="auto"/>
          </w:divBdr>
        </w:div>
        <w:div w:id="1226455981">
          <w:marLeft w:val="1166"/>
          <w:marRight w:val="0"/>
          <w:marTop w:val="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641740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image" Target="media/image12.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w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10.wmf"/><Relationship Id="rId10" Type="http://schemas.openxmlformats.org/officeDocument/2006/relationships/webSettings" Target="webSetting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9.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5AIRPNAIUNRU-1830940522-3596</_dlc_DocId>
    <_dlc_DocIdUrl xmlns="71c5aaf6-e6ce-465b-b873-5148d2a4c105">
      <Url>https://nokia.sharepoint.com/sites/c5g/5gradio/_layouts/15/DocIdRedir.aspx?ID=5AIRPNAIUNRU-1830940522-3596</Url>
      <Description>5AIRPNAIUNRU-1830940522-3596</Description>
    </_dlc_DocIdUrl>
    <HideFromDelve xmlns="71c5aaf6-e6ce-465b-b873-5148d2a4c105">false</HideFromDelv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purl.org/dc/terms/"/>
    <ds:schemaRef ds:uri="http://purl.org/dc/elements/1.1/"/>
    <ds:schemaRef ds:uri="http://schemas.openxmlformats.org/package/2006/metadata/core-properties"/>
    <ds:schemaRef ds:uri="ebabf6ce-2443-438c-9946-ecc878e7654a"/>
    <ds:schemaRef ds:uri="http://schemas.microsoft.com/office/2006/metadata/properties"/>
    <ds:schemaRef ds:uri="95d2e41d-1f11-4347-bb1c-11d6a32975dd"/>
    <ds:schemaRef ds:uri="http://purl.org/dc/dcmitype/"/>
    <ds:schemaRef ds:uri="http://schemas.microsoft.com/office/2006/documentManagement/types"/>
    <ds:schemaRef ds:uri="http://www.w3.org/XML/1998/namespace"/>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8B2A2740-2C3B-4F77-B4E4-4767CFC4E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FBFC32-68D6-43ED-A8F2-FA5434847EC6}">
  <ds:schemaRefs>
    <ds:schemaRef ds:uri="Microsoft.SharePoint.Taxonomy.ContentTypeSync"/>
  </ds:schemaRefs>
</ds:datastoreItem>
</file>

<file path=customXml/itemProps6.xml><?xml version="1.0" encoding="utf-8"?>
<ds:datastoreItem xmlns:ds="http://schemas.openxmlformats.org/officeDocument/2006/customXml" ds:itemID="{33ABF457-4191-4E7F-B271-10719FE14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324</TotalTime>
  <Pages>7</Pages>
  <Words>3591</Words>
  <Characters>18477</Characters>
  <Application>Microsoft Office Word</Application>
  <DocSecurity>0</DocSecurity>
  <Lines>153</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Nokia</cp:lastModifiedBy>
  <cp:revision>49</cp:revision>
  <cp:lastPrinted>2016-06-20T11:35:00Z</cp:lastPrinted>
  <dcterms:created xsi:type="dcterms:W3CDTF">2018-04-06T04:20:00Z</dcterms:created>
  <dcterms:modified xsi:type="dcterms:W3CDTF">2018-08-10T15:50:00Z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5c869e7a-b853-4b28-9e96-f3026922e78b</vt:lpwstr>
  </property>
</Properties>
</file>