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7114" w14:textId="1EC336B5" w:rsidR="00E12640" w:rsidRPr="004560F5" w:rsidRDefault="00E12640" w:rsidP="00E12640">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Pr="00E12640">
        <w:rPr>
          <w:rFonts w:ascii="Arial" w:hAnsi="Arial" w:cs="Arial"/>
          <w:b/>
          <w:sz w:val="24"/>
          <w:lang w:val="en-US"/>
        </w:rPr>
        <w:t>180866</w:t>
      </w:r>
      <w:r w:rsidR="00520F40">
        <w:rPr>
          <w:rFonts w:ascii="Arial" w:hAnsi="Arial" w:cs="Arial"/>
          <w:b/>
          <w:sz w:val="24"/>
          <w:lang w:val="en-US"/>
        </w:rPr>
        <w:t>3</w:t>
      </w:r>
    </w:p>
    <w:p w14:paraId="3EF2E4D5" w14:textId="77777777" w:rsidR="00E12640" w:rsidRDefault="00E12640" w:rsidP="00E12640">
      <w:pPr>
        <w:tabs>
          <w:tab w:val="left" w:pos="1985"/>
        </w:tabs>
        <w:spacing w:after="0"/>
        <w:jc w:val="both"/>
        <w:rPr>
          <w:rFonts w:ascii="Arial" w:hAnsi="Arial" w:cs="Arial"/>
          <w:b/>
          <w:sz w:val="24"/>
          <w:lang w:val="en-US"/>
        </w:rPr>
      </w:pPr>
      <w:r w:rsidRPr="004560F5">
        <w:rPr>
          <w:rFonts w:ascii="Arial" w:hAnsi="Arial" w:cs="Arial"/>
          <w:b/>
          <w:sz w:val="24"/>
          <w:lang w:val="en-US"/>
        </w:rPr>
        <w:t>Gothenburg, Sweden, August 20th – 24th, 2018</w:t>
      </w:r>
    </w:p>
    <w:p w14:paraId="07418DAF" w14:textId="77777777" w:rsidR="00E12640" w:rsidRPr="004560F5" w:rsidRDefault="00E12640" w:rsidP="00E12640">
      <w:pPr>
        <w:tabs>
          <w:tab w:val="left" w:pos="1985"/>
        </w:tabs>
        <w:spacing w:after="0"/>
        <w:jc w:val="both"/>
        <w:rPr>
          <w:rFonts w:ascii="Arial" w:hAnsi="Arial" w:cs="Arial"/>
          <w:b/>
          <w:sz w:val="24"/>
        </w:rPr>
      </w:pPr>
    </w:p>
    <w:p w14:paraId="78E51EEE" w14:textId="77777777" w:rsidR="00E12640" w:rsidRPr="00E95DAE" w:rsidRDefault="00E12640" w:rsidP="00E12640">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8E07EAF" w14:textId="0E0E327B" w:rsidR="00E12640" w:rsidRDefault="00E12640" w:rsidP="00E1264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20F40" w:rsidRPr="00520F40">
        <w:rPr>
          <w:rFonts w:ascii="Arial" w:eastAsia="Malgun Gothic" w:hAnsi="Arial" w:cs="Arial"/>
          <w:b/>
          <w:sz w:val="24"/>
          <w:lang w:val="en-US" w:eastAsia="ko-KR"/>
        </w:rPr>
        <w:t>Virtual cell ID support for SRS</w:t>
      </w:r>
    </w:p>
    <w:p w14:paraId="2768BA8B" w14:textId="67B9C457" w:rsidR="00E12640" w:rsidRPr="0081575D" w:rsidRDefault="00E12640" w:rsidP="00E1264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Pr="00E12640">
        <w:rPr>
          <w:rFonts w:ascii="Arial" w:hAnsi="Arial" w:cs="Arial"/>
          <w:b/>
          <w:sz w:val="24"/>
          <w:lang w:val="en-US"/>
        </w:rPr>
        <w:t>6.2.3.1.</w:t>
      </w:r>
      <w:r w:rsidR="00520F40">
        <w:rPr>
          <w:rFonts w:ascii="Arial" w:hAnsi="Arial" w:cs="Arial"/>
          <w:b/>
          <w:sz w:val="24"/>
          <w:lang w:val="en-US"/>
        </w:rPr>
        <w:t>2</w:t>
      </w:r>
    </w:p>
    <w:p w14:paraId="77C93E75" w14:textId="77777777" w:rsidR="00E12640" w:rsidRPr="00E95DAE" w:rsidRDefault="00E12640" w:rsidP="00E12640">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6CDC8FDF" w14:textId="7F066F5A" w:rsidR="00F00656" w:rsidRPr="00F00656" w:rsidRDefault="0097496D" w:rsidP="001A5261">
      <w:pPr>
        <w:pStyle w:val="Heading1"/>
        <w:numPr>
          <w:ilvl w:val="0"/>
          <w:numId w:val="4"/>
        </w:numPr>
        <w:spacing w:before="120" w:after="60"/>
        <w:jc w:val="both"/>
        <w:rPr>
          <w:rFonts w:cs="Arial"/>
          <w:lang w:val="en-US"/>
        </w:rPr>
      </w:pPr>
      <w:r w:rsidRPr="00F00656">
        <w:rPr>
          <w:rFonts w:cs="Arial"/>
          <w:lang w:val="en-US"/>
        </w:rPr>
        <w:t>Introduction</w:t>
      </w:r>
    </w:p>
    <w:p w14:paraId="64885239" w14:textId="77777777" w:rsidR="00F00656" w:rsidRDefault="00F00656" w:rsidP="00F00656">
      <w:pPr>
        <w:ind w:firstLine="284"/>
        <w:jc w:val="both"/>
        <w:rPr>
          <w:sz w:val="22"/>
          <w:szCs w:val="22"/>
        </w:rPr>
      </w:pPr>
      <w:r>
        <w:rPr>
          <w:sz w:val="22"/>
          <w:szCs w:val="22"/>
        </w:rPr>
        <w:t xml:space="preserve">In </w:t>
      </w:r>
      <w:r w:rsidRPr="00500CF5">
        <w:rPr>
          <w:sz w:val="22"/>
          <w:szCs w:val="22"/>
          <w:lang w:eastAsia="zh-CN"/>
        </w:rPr>
        <w:t>RAN Meeting #80</w:t>
      </w:r>
      <w:r>
        <w:rPr>
          <w:sz w:val="22"/>
          <w:szCs w:val="22"/>
          <w:lang w:eastAsia="zh-CN"/>
        </w:rPr>
        <w:t xml:space="preserve"> [1] </w:t>
      </w:r>
      <w:r>
        <w:rPr>
          <w:sz w:val="22"/>
          <w:szCs w:val="22"/>
        </w:rPr>
        <w:t>the following work item was approved with respect to SRS enhancement for increased capacity and coverage to further improve network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00656" w:rsidRPr="00BA67C5" w14:paraId="63912735" w14:textId="77777777" w:rsidTr="00BF00C5">
        <w:tc>
          <w:tcPr>
            <w:tcW w:w="9962" w:type="dxa"/>
            <w:shd w:val="clear" w:color="auto" w:fill="auto"/>
          </w:tcPr>
          <w:p w14:paraId="4A535C07" w14:textId="77777777" w:rsidR="00133FA1" w:rsidRDefault="00133FA1" w:rsidP="00133FA1">
            <w:pPr>
              <w:spacing w:after="0"/>
              <w:rPr>
                <w:lang w:eastAsia="ko-KR"/>
              </w:rPr>
            </w:pPr>
            <w:r>
              <w:rPr>
                <w:lang w:eastAsia="ko-KR"/>
              </w:rPr>
              <w:t>The work item aims to specify the enhancements identified for further improving network performance. The detailed objectives are as follows.</w:t>
            </w:r>
          </w:p>
          <w:p w14:paraId="7AFE4C76" w14:textId="77777777" w:rsidR="00133FA1" w:rsidRDefault="00133FA1" w:rsidP="00133FA1">
            <w:pPr>
              <w:spacing w:after="0"/>
              <w:rPr>
                <w:lang w:eastAsia="ko-KR"/>
              </w:rPr>
            </w:pPr>
          </w:p>
          <w:p w14:paraId="08C8357E" w14:textId="7F080413" w:rsidR="00133FA1" w:rsidRPr="00133FA1" w:rsidRDefault="00133FA1" w:rsidP="00133FA1">
            <w:pPr>
              <w:pStyle w:val="ListParagraph"/>
              <w:numPr>
                <w:ilvl w:val="0"/>
                <w:numId w:val="37"/>
              </w:numPr>
              <w:rPr>
                <w:rFonts w:ascii="Times New Roman" w:eastAsia="SimSun" w:hAnsi="Times New Roman"/>
                <w:sz w:val="20"/>
                <w:szCs w:val="20"/>
                <w:lang w:val="en-GB" w:eastAsia="ko-KR"/>
              </w:rPr>
            </w:pPr>
            <w:r w:rsidRPr="00133FA1">
              <w:rPr>
                <w:rFonts w:ascii="Times New Roman" w:eastAsia="SimSun" w:hAnsi="Times New Roman"/>
                <w:sz w:val="20"/>
                <w:szCs w:val="20"/>
                <w:lang w:val="en-GB" w:eastAsia="ko-KR"/>
              </w:rPr>
              <w:t>Enhance SRS capacity and coverage [RAN1]</w:t>
            </w:r>
          </w:p>
          <w:p w14:paraId="03B8E889" w14:textId="241EA764" w:rsidR="00133FA1" w:rsidRPr="00133FA1" w:rsidRDefault="00133FA1" w:rsidP="00133FA1">
            <w:pPr>
              <w:pStyle w:val="ListParagraph"/>
              <w:numPr>
                <w:ilvl w:val="0"/>
                <w:numId w:val="37"/>
              </w:numPr>
              <w:rPr>
                <w:rFonts w:ascii="Times New Roman" w:eastAsia="SimSun" w:hAnsi="Times New Roman"/>
                <w:sz w:val="20"/>
                <w:szCs w:val="20"/>
                <w:lang w:val="en-GB" w:eastAsia="ko-KR"/>
              </w:rPr>
            </w:pPr>
            <w:r w:rsidRPr="00133FA1">
              <w:rPr>
                <w:rFonts w:ascii="Times New Roman" w:eastAsia="SimSun" w:hAnsi="Times New Roman"/>
                <w:sz w:val="20"/>
                <w:szCs w:val="20"/>
                <w:lang w:val="en-GB" w:eastAsia="ko-KR"/>
              </w:rPr>
              <w:t>Introduce more than one symbol for SRS for one UE or for multiple UEs on a UL normal subframe</w:t>
            </w:r>
          </w:p>
          <w:p w14:paraId="67BD875D" w14:textId="05E0F8CB" w:rsidR="00133FA1" w:rsidRPr="00133FA1" w:rsidRDefault="00133FA1" w:rsidP="00133FA1">
            <w:pPr>
              <w:pStyle w:val="ListParagraph"/>
              <w:numPr>
                <w:ilvl w:val="1"/>
                <w:numId w:val="37"/>
              </w:numPr>
              <w:rPr>
                <w:rFonts w:ascii="Times New Roman" w:eastAsia="SimSun" w:hAnsi="Times New Roman"/>
                <w:sz w:val="20"/>
                <w:szCs w:val="20"/>
                <w:lang w:val="en-GB" w:eastAsia="ko-KR"/>
              </w:rPr>
            </w:pPr>
            <w:r w:rsidRPr="00133FA1">
              <w:rPr>
                <w:rFonts w:ascii="Times New Roman" w:eastAsia="SimSun" w:hAnsi="Times New Roman"/>
                <w:sz w:val="20"/>
                <w:szCs w:val="20"/>
                <w:lang w:val="en-GB" w:eastAsia="ko-KR"/>
              </w:rPr>
              <w:t>Baseline: the minimum SRS resource allocation granularity for a cell is one slot, when more than one symbol in a normal subframe is allocated for SRS for the cell</w:t>
            </w:r>
          </w:p>
          <w:p w14:paraId="6CFEF271" w14:textId="271C453B" w:rsidR="00133FA1" w:rsidRPr="00133FA1" w:rsidRDefault="00133FA1" w:rsidP="00133FA1">
            <w:pPr>
              <w:pStyle w:val="ListParagraph"/>
              <w:numPr>
                <w:ilvl w:val="1"/>
                <w:numId w:val="37"/>
              </w:numPr>
              <w:rPr>
                <w:rFonts w:ascii="Times New Roman" w:eastAsia="SimSun" w:hAnsi="Times New Roman"/>
                <w:sz w:val="20"/>
                <w:szCs w:val="20"/>
                <w:lang w:val="en-GB" w:eastAsia="ko-KR"/>
              </w:rPr>
            </w:pPr>
            <w:r w:rsidRPr="00133FA1">
              <w:rPr>
                <w:rFonts w:ascii="Times New Roman" w:eastAsia="SimSun" w:hAnsi="Times New Roman"/>
                <w:sz w:val="20"/>
                <w:szCs w:val="20"/>
                <w:lang w:val="en-GB" w:eastAsia="ko-KR"/>
              </w:rPr>
              <w:t>Enhancements on PUCCH and PUSCH are not in scope</w:t>
            </w:r>
          </w:p>
          <w:p w14:paraId="20B1E454" w14:textId="28482E9E" w:rsidR="00F00656" w:rsidRPr="00133FA1" w:rsidRDefault="00133FA1" w:rsidP="00133FA1">
            <w:pPr>
              <w:pStyle w:val="ListParagraph"/>
              <w:numPr>
                <w:ilvl w:val="0"/>
                <w:numId w:val="36"/>
              </w:numPr>
              <w:rPr>
                <w:rFonts w:eastAsia="MS Mincho"/>
                <w:lang w:eastAsia="ja-JP"/>
              </w:rPr>
            </w:pPr>
            <w:r w:rsidRPr="00133FA1">
              <w:rPr>
                <w:rFonts w:ascii="Times New Roman" w:eastAsia="SimSun" w:hAnsi="Times New Roman"/>
                <w:sz w:val="20"/>
                <w:szCs w:val="20"/>
                <w:lang w:val="en-GB" w:eastAsia="ko-KR"/>
              </w:rPr>
              <w:t xml:space="preserve">Introduce virtual cell ID for SRS </w:t>
            </w:r>
          </w:p>
        </w:tc>
      </w:tr>
    </w:tbl>
    <w:p w14:paraId="78407FDA" w14:textId="60322C55" w:rsidR="00F00656" w:rsidRDefault="00F00656" w:rsidP="00F00656">
      <w:pPr>
        <w:spacing w:before="240"/>
        <w:ind w:firstLine="288"/>
        <w:jc w:val="both"/>
        <w:rPr>
          <w:sz w:val="22"/>
          <w:szCs w:val="22"/>
        </w:rPr>
      </w:pPr>
      <w:r>
        <w:rPr>
          <w:sz w:val="22"/>
          <w:szCs w:val="22"/>
        </w:rPr>
        <w:t xml:space="preserve">In this </w:t>
      </w:r>
      <w:r w:rsidRPr="0020001D">
        <w:rPr>
          <w:sz w:val="22"/>
          <w:szCs w:val="22"/>
        </w:rPr>
        <w:t>contribution we provide</w:t>
      </w:r>
      <w:r>
        <w:rPr>
          <w:sz w:val="22"/>
          <w:szCs w:val="22"/>
        </w:rPr>
        <w:t xml:space="preserve"> </w:t>
      </w:r>
      <w:r w:rsidR="00133FA1">
        <w:rPr>
          <w:sz w:val="22"/>
          <w:szCs w:val="22"/>
        </w:rPr>
        <w:t xml:space="preserve">details about introducing virtual cell ID for SRS to enhance </w:t>
      </w:r>
      <w:r>
        <w:rPr>
          <w:sz w:val="22"/>
          <w:szCs w:val="22"/>
        </w:rPr>
        <w:t xml:space="preserve">SRS </w:t>
      </w:r>
      <w:r w:rsidR="00133FA1">
        <w:rPr>
          <w:sz w:val="22"/>
          <w:szCs w:val="22"/>
        </w:rPr>
        <w:t>capacity</w:t>
      </w:r>
      <w:r>
        <w:rPr>
          <w:sz w:val="22"/>
          <w:szCs w:val="22"/>
        </w:rPr>
        <w:t xml:space="preserve">. </w:t>
      </w:r>
    </w:p>
    <w:p w14:paraId="5D75CA80" w14:textId="294BBB8C" w:rsidR="00F00656" w:rsidRDefault="00F00656" w:rsidP="00F00656">
      <w:pPr>
        <w:pStyle w:val="Heading1"/>
        <w:numPr>
          <w:ilvl w:val="0"/>
          <w:numId w:val="4"/>
        </w:numPr>
        <w:pBdr>
          <w:top w:val="single" w:sz="12" w:space="4" w:color="auto"/>
        </w:pBdr>
        <w:rPr>
          <w:rFonts w:cs="Arial"/>
          <w:lang w:val="en-US"/>
        </w:rPr>
      </w:pPr>
      <w:r w:rsidRPr="003F5E34">
        <w:rPr>
          <w:rFonts w:cs="Arial" w:hint="eastAsia"/>
          <w:lang w:val="en-US"/>
        </w:rPr>
        <w:t>Discussi</w:t>
      </w:r>
      <w:r>
        <w:rPr>
          <w:rFonts w:cs="Arial"/>
          <w:lang w:val="en-US"/>
        </w:rPr>
        <w:t>on on SRS capacity</w:t>
      </w:r>
    </w:p>
    <w:p w14:paraId="0AE67788" w14:textId="2EA01471" w:rsidR="00F00656" w:rsidRDefault="00F00656" w:rsidP="00F00656">
      <w:pPr>
        <w:rPr>
          <w:color w:val="000000"/>
          <w:lang w:eastAsia="ko-KR"/>
        </w:rPr>
      </w:pPr>
      <w:r>
        <w:t>In LTE sounding reference signal (</w:t>
      </w:r>
      <w:r w:rsidRPr="004F3A31">
        <w:t>SRS</w:t>
      </w:r>
      <w:r>
        <w:t>)</w:t>
      </w:r>
      <w:r w:rsidRPr="004F3A31">
        <w:t xml:space="preserve"> has been </w:t>
      </w:r>
      <w:r>
        <w:t xml:space="preserve">hugely helpful in improving network performance by enabling </w:t>
      </w:r>
      <w:r w:rsidRPr="0046302A">
        <w:t>uplink frequency selective scheduling</w:t>
      </w:r>
      <w:r>
        <w:t xml:space="preserve"> as well as providing performance improvements </w:t>
      </w:r>
      <w:r w:rsidRPr="004F3A31">
        <w:t xml:space="preserve">for DL MIMO, especially in TDD. </w:t>
      </w:r>
      <w:r w:rsidRPr="003F7886">
        <w:t>Although SRS has been enhanced in previous releases, e.g., SRS coverage enhancement in Release 14 FeMTC, Release 14 SRS carrier based switching, further improvement is still needed. Firstly, SRS coverage enhancement is typically implemented in special subframe, which restricts the number of supportable UEs that require SRS coverage enhancement.</w:t>
      </w:r>
      <w:r>
        <w:t xml:space="preserve"> As </w:t>
      </w:r>
      <w:r w:rsidR="00CD78F4">
        <w:t>a result the work item specifies</w:t>
      </w:r>
      <w:r>
        <w:t xml:space="preserve"> to</w:t>
      </w:r>
      <w:r w:rsidR="00A50F63">
        <w:t xml:space="preserve"> i</w:t>
      </w:r>
      <w:r w:rsidR="00A50F63">
        <w:rPr>
          <w:lang w:eastAsia="zh-CN"/>
        </w:rPr>
        <w:t>ntroduce virtual cell ID to increase SRS capacity through allowing different UEs to have differen</w:t>
      </w:r>
      <w:r w:rsidR="00A50F63">
        <w:rPr>
          <w:rFonts w:hint="eastAsia"/>
          <w:lang w:eastAsia="zh-CN"/>
        </w:rPr>
        <w:t>t</w:t>
      </w:r>
      <w:r w:rsidR="00A50F63">
        <w:rPr>
          <w:lang w:eastAsia="zh-CN"/>
        </w:rPr>
        <w:t xml:space="preserve"> SRS sequences even </w:t>
      </w:r>
      <w:bookmarkStart w:id="0" w:name="_GoBack"/>
      <w:bookmarkEnd w:id="0"/>
      <w:r w:rsidR="00A50F63">
        <w:rPr>
          <w:lang w:eastAsia="zh-CN"/>
        </w:rPr>
        <w:t>occupying the same time-frequency resources</w:t>
      </w:r>
      <w:r>
        <w:rPr>
          <w:color w:val="000000"/>
          <w:lang w:eastAsia="ko-KR"/>
        </w:rPr>
        <w:t xml:space="preserve">. </w:t>
      </w:r>
    </w:p>
    <w:p w14:paraId="55F33173" w14:textId="30BEB28C" w:rsidR="00A50F63" w:rsidRDefault="00F00656" w:rsidP="00A50F63">
      <w:pPr>
        <w:pStyle w:val="Heading2"/>
      </w:pPr>
      <w:r>
        <w:t>2.1</w:t>
      </w:r>
      <w:r w:rsidRPr="00283E02">
        <w:t xml:space="preserve"> </w:t>
      </w:r>
      <w:bookmarkStart w:id="1" w:name="_Toc454817981"/>
      <w:r w:rsidR="00A50F63">
        <w:t>Determining virtual cell identity for sequence generation</w:t>
      </w:r>
      <w:bookmarkEnd w:id="1"/>
    </w:p>
    <w:p w14:paraId="6DBCE3F6" w14:textId="7B87A85C" w:rsidR="00A50F63" w:rsidRDefault="00A50F63" w:rsidP="00A50F63">
      <w:r>
        <w:t>In Rel-15 LTE 36.211 [2], in Section 5.5.1.5, we have th</w:t>
      </w:r>
      <w:r>
        <w:t xml:space="preserve">e </w:t>
      </w:r>
      <w:r>
        <w:t xml:space="preserve">following </w:t>
      </w:r>
      <w:r>
        <w:t xml:space="preserve">definition of </w:t>
      </w:r>
      <w:r w:rsidRPr="000C7BB6">
        <w:rPr>
          <w:position w:val="-10"/>
        </w:rPr>
        <w:object w:dxaOrig="360" w:dyaOrig="340" w14:anchorId="0ACD6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6.9pt" o:ole="">
            <v:imagedata r:id="rId11" o:title=""/>
          </v:shape>
          <o:OLEObject Type="Embed" ProgID="Equation.3" ShapeID="_x0000_i1025" DrawAspect="Content" ObjectID="_1595436102" r:id="rId12"/>
        </w:object>
      </w:r>
      <w:r>
        <w:t xml:space="preserve"> depending</w:t>
      </w:r>
      <w:r>
        <w:t xml:space="preserve"> on the type of transmission.</w:t>
      </w:r>
    </w:p>
    <w:p w14:paraId="028256BF" w14:textId="77777777" w:rsidR="00A50F63" w:rsidRDefault="00A50F63" w:rsidP="00A50F63">
      <w:r>
        <w:t>Transmissions associated with PUSCH:</w:t>
      </w:r>
    </w:p>
    <w:p w14:paraId="5D4692F6" w14:textId="77777777" w:rsidR="00A50F63" w:rsidRDefault="00A50F63" w:rsidP="00A50F63">
      <w:pPr>
        <w:pStyle w:val="B1"/>
      </w:pPr>
      <w:r>
        <w:t>-</w:t>
      </w:r>
      <w:r>
        <w:tab/>
      </w:r>
      <w:r w:rsidRPr="00D12B8B">
        <w:rPr>
          <w:position w:val="-10"/>
        </w:rPr>
        <w:object w:dxaOrig="960" w:dyaOrig="340" w14:anchorId="04C43A9C">
          <v:shape id="_x0000_i1026" type="#_x0000_t75" style="width:48pt;height:16.9pt" o:ole="">
            <v:imagedata r:id="rId13" o:title=""/>
          </v:shape>
          <o:OLEObject Type="Embed" ProgID="Equation.3" ShapeID="_x0000_i1026" DrawAspect="Content" ObjectID="_1595436103" r:id="rId14"/>
        </w:object>
      </w:r>
      <w:r>
        <w:t xml:space="preserve"> if no value for </w:t>
      </w:r>
      <w:r w:rsidRPr="000C7BB6">
        <w:rPr>
          <w:position w:val="-10"/>
        </w:rPr>
        <w:object w:dxaOrig="660" w:dyaOrig="340" w14:anchorId="77092253">
          <v:shape id="_x0000_i1027" type="#_x0000_t75" style="width:33.15pt;height:16.9pt" o:ole="">
            <v:imagedata r:id="rId15" o:title=""/>
          </v:shape>
          <o:OLEObject Type="Embed" ProgID="Equation.3" ShapeID="_x0000_i1027" DrawAspect="Content" ObjectID="_1595436104" r:id="rId16"/>
        </w:object>
      </w:r>
      <w:r>
        <w:t xml:space="preserve"> is configured by higher layers or if </w:t>
      </w:r>
      <w:r w:rsidRPr="009E58CE">
        <w:t>the PUSCH transmission corresponds to a Random Access Response Grant or a retransmission of the same transport block as part of the contention based random access procedure</w:t>
      </w:r>
      <w:r>
        <w:t xml:space="preserve">, </w:t>
      </w:r>
    </w:p>
    <w:p w14:paraId="7780BC56" w14:textId="77777777" w:rsidR="00A50F63" w:rsidRDefault="00A50F63" w:rsidP="00A50F63">
      <w:pPr>
        <w:pStyle w:val="B1"/>
      </w:pPr>
      <w:r>
        <w:t>-</w:t>
      </w:r>
      <w:r>
        <w:tab/>
      </w:r>
      <w:r w:rsidRPr="000C7BB6">
        <w:rPr>
          <w:position w:val="-10"/>
        </w:rPr>
        <w:object w:dxaOrig="1160" w:dyaOrig="340" w14:anchorId="3476B813">
          <v:shape id="_x0000_i1028" type="#_x0000_t75" style="width:58.15pt;height:16.9pt" o:ole="">
            <v:imagedata r:id="rId17" o:title=""/>
          </v:shape>
          <o:OLEObject Type="Embed" ProgID="Equation.3" ShapeID="_x0000_i1028" DrawAspect="Content" ObjectID="_1595436105" r:id="rId18"/>
        </w:object>
      </w:r>
      <w:r>
        <w:t xml:space="preserve"> otherwise.</w:t>
      </w:r>
    </w:p>
    <w:p w14:paraId="20C61F56" w14:textId="77777777" w:rsidR="00A50F63" w:rsidRDefault="00A50F63" w:rsidP="00A50F63">
      <w:r>
        <w:t>Transmissions associated with SPUCCH/PUCCH:</w:t>
      </w:r>
    </w:p>
    <w:p w14:paraId="6BACF5E3" w14:textId="77777777" w:rsidR="00A50F63" w:rsidRDefault="00A50F63" w:rsidP="00A50F63">
      <w:pPr>
        <w:pStyle w:val="B1"/>
      </w:pPr>
      <w:r>
        <w:t>-</w:t>
      </w:r>
      <w:r>
        <w:tab/>
      </w:r>
      <w:r w:rsidRPr="00D12B8B">
        <w:rPr>
          <w:position w:val="-10"/>
        </w:rPr>
        <w:object w:dxaOrig="960" w:dyaOrig="340" w14:anchorId="4980765C">
          <v:shape id="_x0000_i1029" type="#_x0000_t75" style="width:48pt;height:16.9pt" o:ole="">
            <v:imagedata r:id="rId13" o:title=""/>
          </v:shape>
          <o:OLEObject Type="Embed" ProgID="Equation.3" ShapeID="_x0000_i1029" DrawAspect="Content" ObjectID="_1595436106" r:id="rId19"/>
        </w:object>
      </w:r>
      <w:r>
        <w:t xml:space="preserve"> if no value for </w:t>
      </w:r>
      <w:r w:rsidRPr="000C7BB6">
        <w:rPr>
          <w:position w:val="-10"/>
        </w:rPr>
        <w:object w:dxaOrig="660" w:dyaOrig="340" w14:anchorId="60498FDF">
          <v:shape id="_x0000_i1030" type="#_x0000_t75" style="width:33.1pt;height:16.95pt" o:ole="">
            <v:imagedata r:id="rId20" o:title=""/>
          </v:shape>
          <o:OLEObject Type="Embed" ProgID="Equation.3" ShapeID="_x0000_i1030" DrawAspect="Content" ObjectID="_1595436107" r:id="rId21"/>
        </w:object>
      </w:r>
      <w:r>
        <w:t xml:space="preserve"> is configured by higher layers, </w:t>
      </w:r>
    </w:p>
    <w:p w14:paraId="656208E3" w14:textId="77777777" w:rsidR="00A50F63" w:rsidRDefault="00A50F63" w:rsidP="00A50F63">
      <w:pPr>
        <w:pStyle w:val="B1"/>
      </w:pPr>
      <w:r>
        <w:t>-</w:t>
      </w:r>
      <w:r>
        <w:tab/>
      </w:r>
      <w:r w:rsidRPr="000C7BB6">
        <w:rPr>
          <w:position w:val="-10"/>
        </w:rPr>
        <w:object w:dxaOrig="1180" w:dyaOrig="340" w14:anchorId="01213FCC">
          <v:shape id="_x0000_i1031" type="#_x0000_t75" style="width:59.15pt;height:16.95pt" o:ole="">
            <v:imagedata r:id="rId22" o:title=""/>
          </v:shape>
          <o:OLEObject Type="Embed" ProgID="Equation.3" ShapeID="_x0000_i1031" DrawAspect="Content" ObjectID="_1595436108" r:id="rId23"/>
        </w:object>
      </w:r>
      <w:r>
        <w:t xml:space="preserve"> otherwise.</w:t>
      </w:r>
    </w:p>
    <w:p w14:paraId="7CFBDD61" w14:textId="77777777" w:rsidR="00A50F63" w:rsidRDefault="00A50F63" w:rsidP="00A50F63">
      <w:r>
        <w:lastRenderedPageBreak/>
        <w:t>Sounding reference signals:</w:t>
      </w:r>
    </w:p>
    <w:p w14:paraId="6568C82C" w14:textId="77777777" w:rsidR="00A50F63" w:rsidRDefault="00A50F63" w:rsidP="00A50F63">
      <w:pPr>
        <w:pStyle w:val="B1"/>
      </w:pPr>
      <w:r>
        <w:t>-</w:t>
      </w:r>
      <w:r>
        <w:tab/>
      </w:r>
      <w:r w:rsidRPr="00D12B8B">
        <w:rPr>
          <w:position w:val="-10"/>
        </w:rPr>
        <w:object w:dxaOrig="960" w:dyaOrig="340" w14:anchorId="73992A28">
          <v:shape id="_x0000_i1032" type="#_x0000_t75" style="width:48pt;height:16.95pt" o:ole="">
            <v:imagedata r:id="rId13" o:title=""/>
          </v:shape>
          <o:OLEObject Type="Embed" ProgID="Equation.3" ShapeID="_x0000_i1032" DrawAspect="Content" ObjectID="_1595436109" r:id="rId24"/>
        </w:object>
      </w:r>
      <w:r>
        <w:t>.</w:t>
      </w:r>
    </w:p>
    <w:p w14:paraId="1E52C09E" w14:textId="77777777" w:rsidR="00A50F63" w:rsidRDefault="00A50F63" w:rsidP="00A50F63">
      <w:pPr>
        <w:pStyle w:val="B1"/>
      </w:pPr>
    </w:p>
    <w:p w14:paraId="67B43627" w14:textId="48770DB0" w:rsidR="00A50F63" w:rsidRDefault="00A50F63" w:rsidP="00A50F63">
      <w:pPr>
        <w:pStyle w:val="B1"/>
      </w:pPr>
      <w:r>
        <w:t>A virtual cell identity can be introduced in a straightforward manner for transmission associated with sounding reference signal similar to the virtual cell id for RS associated with PUSCH/PUCCH as:</w:t>
      </w:r>
    </w:p>
    <w:p w14:paraId="2DC837E2" w14:textId="77777777" w:rsidR="00A50F63" w:rsidRDefault="00A50F63" w:rsidP="00A50F63">
      <w:pPr>
        <w:pStyle w:val="B1"/>
        <w:numPr>
          <w:ilvl w:val="0"/>
          <w:numId w:val="38"/>
        </w:numPr>
      </w:pPr>
      <w:r w:rsidRPr="00D12B8B">
        <w:rPr>
          <w:position w:val="-10"/>
        </w:rPr>
        <w:object w:dxaOrig="960" w:dyaOrig="340" w14:anchorId="71A7BD3D">
          <v:shape id="_x0000_i1033" type="#_x0000_t75" style="width:48pt;height:16.95pt" o:ole="">
            <v:imagedata r:id="rId13" o:title=""/>
          </v:shape>
          <o:OLEObject Type="Embed" ProgID="Equation.3" ShapeID="_x0000_i1033" DrawAspect="Content" ObjectID="_1595436110" r:id="rId25"/>
        </w:object>
      </w:r>
      <w:r>
        <w:t xml:space="preserve"> if no value for </w:t>
      </w:r>
      <w:r w:rsidRPr="00A50F63">
        <w:rPr>
          <w:position w:val="-12"/>
        </w:rPr>
        <w:object w:dxaOrig="440" w:dyaOrig="380" w14:anchorId="4B13BF93">
          <v:shape id="_x0000_i1034" type="#_x0000_t75" style="width:21.95pt;height:19.05pt" o:ole="">
            <v:imagedata r:id="rId26" o:title=""/>
          </v:shape>
          <o:OLEObject Type="Embed" ProgID="Equation.DSMT4" ShapeID="_x0000_i1034" DrawAspect="Content" ObjectID="_1595436111" r:id="rId27"/>
        </w:object>
      </w:r>
      <w:r>
        <w:t xml:space="preserve"> is configured by higher layers, </w:t>
      </w:r>
    </w:p>
    <w:p w14:paraId="7514AAFF" w14:textId="78D9C168" w:rsidR="00A50F63" w:rsidRDefault="00A50F63" w:rsidP="00A50F63">
      <w:pPr>
        <w:pStyle w:val="B1"/>
        <w:numPr>
          <w:ilvl w:val="0"/>
          <w:numId w:val="38"/>
        </w:numPr>
      </w:pPr>
      <w:r w:rsidRPr="00A50F63">
        <w:rPr>
          <w:position w:val="-12"/>
        </w:rPr>
        <w:object w:dxaOrig="1020" w:dyaOrig="380" w14:anchorId="4FA95254">
          <v:shape id="_x0000_i1035" type="#_x0000_t75" style="width:50.9pt;height:19.05pt" o:ole="">
            <v:imagedata r:id="rId28" o:title=""/>
          </v:shape>
          <o:OLEObject Type="Embed" ProgID="Equation.DSMT4" ShapeID="_x0000_i1035" DrawAspect="Content" ObjectID="_1595436112" r:id="rId29"/>
        </w:object>
      </w:r>
      <w:r>
        <w:t xml:space="preserve"> otherwise.</w:t>
      </w:r>
    </w:p>
    <w:p w14:paraId="3F66D6C0" w14:textId="5596C163" w:rsidR="00A50F63" w:rsidRDefault="00A50F63" w:rsidP="00A50F63">
      <w:pPr>
        <w:pStyle w:val="B1"/>
      </w:pPr>
      <w:r>
        <w:t xml:space="preserve">This allows for </w:t>
      </w:r>
      <w:r w:rsidR="006159CE">
        <w:t xml:space="preserve">higher layer </w:t>
      </w:r>
      <w:r>
        <w:t xml:space="preserve">UE specific </w:t>
      </w:r>
      <w:r w:rsidR="006159CE">
        <w:t xml:space="preserve">configuration of virtual cell ID for SRS, which further enables increase in capacity by allowing for UE within same cell to use different sequence groups if desired. This enhancement is transparent to Rel-15 UEs. Additionally, one can exploit this feature to do inverse, e.g., assign same virtual cell id to UE’s in neighbouring cells to reduce inter-cell SRS interference. </w:t>
      </w:r>
    </w:p>
    <w:p w14:paraId="4A7142B7" w14:textId="5CAA7E81" w:rsidR="00A50F63" w:rsidRPr="006159CE" w:rsidRDefault="00A50F63" w:rsidP="00A50F63">
      <w:pPr>
        <w:pStyle w:val="B1"/>
        <w:rPr>
          <w:b/>
          <w:i/>
        </w:rPr>
      </w:pPr>
      <w:r w:rsidRPr="006159CE">
        <w:rPr>
          <w:b/>
          <w:i/>
        </w:rPr>
        <w:t xml:space="preserve">Proposal : </w:t>
      </w:r>
      <w:r w:rsidR="006159CE" w:rsidRPr="006159CE">
        <w:rPr>
          <w:b/>
          <w:i/>
        </w:rPr>
        <w:t>Introduce a UE specific higher layer configurable virtual cell ID for SRS with default value being cell ID.</w:t>
      </w:r>
    </w:p>
    <w:p w14:paraId="09933B84" w14:textId="77777777" w:rsidR="00F00656" w:rsidRDefault="00F00656" w:rsidP="00F00656"/>
    <w:p w14:paraId="705EE1F6" w14:textId="77777777" w:rsidR="00F00656" w:rsidRPr="00002509" w:rsidRDefault="00F00656" w:rsidP="00F00656">
      <w:pPr>
        <w:pStyle w:val="Heading1"/>
        <w:numPr>
          <w:ilvl w:val="0"/>
          <w:numId w:val="4"/>
        </w:numPr>
        <w:pBdr>
          <w:top w:val="single" w:sz="12" w:space="4" w:color="auto"/>
        </w:pBdr>
        <w:rPr>
          <w:rFonts w:cs="Arial"/>
          <w:lang w:val="en-US"/>
        </w:rPr>
      </w:pPr>
      <w:r w:rsidRPr="00002509">
        <w:rPr>
          <w:rFonts w:cs="Arial" w:hint="eastAsia"/>
          <w:lang w:val="en-US"/>
        </w:rPr>
        <w:t>Conclusion</w:t>
      </w:r>
    </w:p>
    <w:p w14:paraId="030F7E40" w14:textId="74B744EE" w:rsidR="00F00656" w:rsidRDefault="00F00656" w:rsidP="00F00656">
      <w:pPr>
        <w:ind w:firstLine="360"/>
        <w:jc w:val="both"/>
        <w:rPr>
          <w:sz w:val="22"/>
          <w:szCs w:val="22"/>
        </w:rPr>
      </w:pPr>
      <w:r w:rsidRPr="0020001D">
        <w:rPr>
          <w:sz w:val="22"/>
          <w:szCs w:val="22"/>
        </w:rPr>
        <w:t>In this contribution we provide</w:t>
      </w:r>
      <w:r>
        <w:rPr>
          <w:sz w:val="22"/>
          <w:szCs w:val="22"/>
        </w:rPr>
        <w:t xml:space="preserve"> </w:t>
      </w:r>
      <w:r w:rsidR="006159CE">
        <w:rPr>
          <w:sz w:val="22"/>
          <w:szCs w:val="22"/>
        </w:rPr>
        <w:t xml:space="preserve">a straightforward introduction of UE specific higher layer configurable virtual cell ID for SRS. </w:t>
      </w:r>
    </w:p>
    <w:p w14:paraId="35DC46E9" w14:textId="77777777" w:rsidR="006159CE" w:rsidRPr="006159CE" w:rsidRDefault="006159CE" w:rsidP="006159CE">
      <w:pPr>
        <w:pStyle w:val="B1"/>
        <w:rPr>
          <w:b/>
          <w:i/>
        </w:rPr>
      </w:pPr>
      <w:r w:rsidRPr="006159CE">
        <w:rPr>
          <w:b/>
          <w:i/>
        </w:rPr>
        <w:t>Proposal : Introduce a UE specific higher layer configurable virtual cell ID for SRS with default value being cell ID.</w:t>
      </w:r>
    </w:p>
    <w:p w14:paraId="6FC2A8EF" w14:textId="77777777" w:rsidR="00F00656" w:rsidRPr="009925FA" w:rsidRDefault="00F00656" w:rsidP="00F00656">
      <w:pPr>
        <w:ind w:firstLine="360"/>
        <w:jc w:val="both"/>
        <w:rPr>
          <w:b/>
          <w:i/>
          <w:sz w:val="22"/>
          <w:szCs w:val="22"/>
          <w:lang w:eastAsia="zh-CN"/>
        </w:rPr>
      </w:pPr>
    </w:p>
    <w:p w14:paraId="19D7DE0D" w14:textId="77777777" w:rsidR="00F00656" w:rsidRDefault="00F00656" w:rsidP="00F00656">
      <w:pPr>
        <w:pStyle w:val="Heading1"/>
        <w:pBdr>
          <w:top w:val="single" w:sz="12" w:space="4" w:color="auto"/>
        </w:pBdr>
        <w:ind w:left="0" w:firstLine="0"/>
        <w:jc w:val="both"/>
        <w:rPr>
          <w:rFonts w:cs="Arial"/>
          <w:lang w:val="en-US"/>
        </w:rPr>
      </w:pPr>
      <w:r w:rsidRPr="00FF2077">
        <w:rPr>
          <w:rFonts w:cs="Arial"/>
          <w:lang w:val="en-US"/>
        </w:rPr>
        <w:t>References</w:t>
      </w:r>
    </w:p>
    <w:p w14:paraId="096E4AB4" w14:textId="77777777" w:rsidR="00F00656" w:rsidRDefault="00F00656" w:rsidP="00F00656">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Pr="00500CF5">
        <w:rPr>
          <w:rFonts w:ascii="Times New Roman" w:eastAsia="SimSun" w:hAnsi="Times New Roman" w:cs="Times New Roman"/>
          <w:color w:val="auto"/>
          <w:sz w:val="22"/>
          <w:szCs w:val="22"/>
          <w:lang w:eastAsia="zh-CN"/>
        </w:rPr>
        <w:t>3GPP TSG RAN Meeting #80</w:t>
      </w:r>
      <w:r>
        <w:rPr>
          <w:rFonts w:ascii="Times New Roman" w:eastAsia="SimSun" w:hAnsi="Times New Roman" w:cs="Times New Roman"/>
          <w:color w:val="auto"/>
          <w:sz w:val="22"/>
          <w:szCs w:val="22"/>
          <w:lang w:eastAsia="zh-CN"/>
        </w:rPr>
        <w:t>,</w:t>
      </w:r>
      <w:r w:rsidRPr="00500CF5">
        <w:rPr>
          <w:rFonts w:ascii="Times New Roman" w:eastAsia="SimSun" w:hAnsi="Times New Roman" w:cs="Times New Roman"/>
          <w:color w:val="auto"/>
          <w:sz w:val="22"/>
          <w:szCs w:val="22"/>
          <w:lang w:eastAsia="zh-CN"/>
        </w:rPr>
        <w:tab/>
        <w:t>RP-181485</w:t>
      </w:r>
      <w:r>
        <w:rPr>
          <w:rFonts w:ascii="Times New Roman" w:eastAsia="SimSun" w:hAnsi="Times New Roman" w:cs="Times New Roman"/>
          <w:color w:val="auto"/>
          <w:sz w:val="22"/>
          <w:szCs w:val="22"/>
          <w:lang w:eastAsia="zh-CN"/>
        </w:rPr>
        <w:t xml:space="preserve"> </w:t>
      </w:r>
      <w:r w:rsidRPr="00500CF5">
        <w:rPr>
          <w:rFonts w:ascii="Times New Roman" w:eastAsia="SimSun" w:hAnsi="Times New Roman" w:cs="Times New Roman"/>
          <w:color w:val="auto"/>
          <w:sz w:val="22"/>
          <w:szCs w:val="22"/>
          <w:lang w:eastAsia="zh-CN"/>
        </w:rPr>
        <w:t>La Jolla, USA, June 11 - 14, 2018</w:t>
      </w:r>
      <w:r>
        <w:rPr>
          <w:rFonts w:ascii="Times New Roman" w:eastAsia="SimSun" w:hAnsi="Times New Roman" w:cs="Times New Roman"/>
          <w:color w:val="auto"/>
          <w:sz w:val="22"/>
          <w:szCs w:val="22"/>
          <w:lang w:eastAsia="zh-CN"/>
        </w:rPr>
        <w:t>.</w:t>
      </w:r>
    </w:p>
    <w:p w14:paraId="673494C9" w14:textId="77777777" w:rsidR="00F00656" w:rsidRDefault="00F00656" w:rsidP="00F00656">
      <w:pPr>
        <w:pStyle w:val="Default"/>
        <w:ind w:left="4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[2</w:t>
      </w:r>
      <w:r w:rsidRPr="0084163A">
        <w:rPr>
          <w:rFonts w:ascii="Times New Roman" w:eastAsia="SimSun" w:hAnsi="Times New Roman" w:cs="Times New Roman"/>
          <w:color w:val="auto"/>
          <w:sz w:val="22"/>
          <w:szCs w:val="22"/>
          <w:lang w:eastAsia="zh-CN"/>
        </w:rPr>
        <w:t>] Physical channels and modulation (Release-15) 3GPP TS 36.211.</w:t>
      </w:r>
    </w:p>
    <w:p w14:paraId="673CC21A" w14:textId="77777777" w:rsidR="00F00656" w:rsidRPr="00011036" w:rsidRDefault="00F00656" w:rsidP="00F00656">
      <w:pPr>
        <w:pStyle w:val="Default"/>
        <w:ind w:left="420"/>
        <w:jc w:val="both"/>
        <w:rPr>
          <w:sz w:val="22"/>
          <w:szCs w:val="22"/>
        </w:rPr>
      </w:pPr>
    </w:p>
    <w:p w14:paraId="037CFC02" w14:textId="77777777" w:rsidR="00F00656" w:rsidRPr="00F00656" w:rsidRDefault="00F00656" w:rsidP="00F00656">
      <w:pPr>
        <w:rPr>
          <w:lang w:val="en-US"/>
        </w:rPr>
      </w:pPr>
    </w:p>
    <w:sectPr w:rsidR="00F00656" w:rsidRPr="00F0065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D448" w14:textId="77777777" w:rsidR="00516384" w:rsidRDefault="00516384">
      <w:r>
        <w:separator/>
      </w:r>
    </w:p>
  </w:endnote>
  <w:endnote w:type="continuationSeparator" w:id="0">
    <w:p w14:paraId="12B2A2A5" w14:textId="77777777" w:rsidR="00516384" w:rsidRDefault="0051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D88A9" w14:textId="77777777" w:rsidR="00516384" w:rsidRDefault="00516384">
      <w:r>
        <w:separator/>
      </w:r>
    </w:p>
  </w:footnote>
  <w:footnote w:type="continuationSeparator" w:id="0">
    <w:p w14:paraId="18397A3E" w14:textId="77777777" w:rsidR="00516384" w:rsidRDefault="00516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F018D7"/>
    <w:multiLevelType w:val="hybridMultilevel"/>
    <w:tmpl w:val="6CD4747E"/>
    <w:lvl w:ilvl="0" w:tplc="97505EF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E2067"/>
    <w:multiLevelType w:val="hybridMultilevel"/>
    <w:tmpl w:val="6C36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906D55"/>
    <w:multiLevelType w:val="hybridMultilevel"/>
    <w:tmpl w:val="4568355E"/>
    <w:lvl w:ilvl="0" w:tplc="97505EFE">
      <w:numFmt w:val="bullet"/>
      <w:lvlText w:val="•"/>
      <w:lvlJc w:val="left"/>
      <w:pPr>
        <w:ind w:left="720" w:hanging="360"/>
      </w:pPr>
      <w:rPr>
        <w:rFonts w:ascii="Times New Roman" w:eastAsia="SimSun" w:hAnsi="Times New Roman" w:cs="Times New Roman" w:hint="default"/>
      </w:rPr>
    </w:lvl>
    <w:lvl w:ilvl="1" w:tplc="DFA410B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35"/>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4"/>
  </w:num>
  <w:num w:numId="6">
    <w:abstractNumId w:val="12"/>
  </w:num>
  <w:num w:numId="7">
    <w:abstractNumId w:val="33"/>
  </w:num>
  <w:num w:numId="8">
    <w:abstractNumId w:val="27"/>
  </w:num>
  <w:num w:numId="9">
    <w:abstractNumId w:val="9"/>
  </w:num>
  <w:num w:numId="10">
    <w:abstractNumId w:val="23"/>
  </w:num>
  <w:num w:numId="11">
    <w:abstractNumId w:val="2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5"/>
  </w:num>
  <w:num w:numId="15">
    <w:abstractNumId w:val="14"/>
  </w:num>
  <w:num w:numId="16">
    <w:abstractNumId w:val="4"/>
  </w:num>
  <w:num w:numId="17">
    <w:abstractNumId w:val="2"/>
  </w:num>
  <w:num w:numId="18">
    <w:abstractNumId w:val="31"/>
  </w:num>
  <w:num w:numId="19">
    <w:abstractNumId w:val="36"/>
  </w:num>
  <w:num w:numId="20">
    <w:abstractNumId w:val="1"/>
  </w:num>
  <w:num w:numId="21">
    <w:abstractNumId w:val="11"/>
  </w:num>
  <w:num w:numId="22">
    <w:abstractNumId w:val="3"/>
  </w:num>
  <w:num w:numId="23">
    <w:abstractNumId w:val="22"/>
  </w:num>
  <w:num w:numId="24">
    <w:abstractNumId w:val="15"/>
  </w:num>
  <w:num w:numId="25">
    <w:abstractNumId w:val="26"/>
  </w:num>
  <w:num w:numId="26">
    <w:abstractNumId w:val="30"/>
  </w:num>
  <w:num w:numId="27">
    <w:abstractNumId w:val="18"/>
  </w:num>
  <w:num w:numId="28">
    <w:abstractNumId w:val="17"/>
  </w:num>
  <w:num w:numId="29">
    <w:abstractNumId w:val="8"/>
  </w:num>
  <w:num w:numId="30">
    <w:abstractNumId w:val="28"/>
  </w:num>
  <w:num w:numId="31">
    <w:abstractNumId w:val="6"/>
  </w:num>
  <w:num w:numId="32">
    <w:abstractNumId w:val="13"/>
  </w:num>
  <w:num w:numId="33">
    <w:abstractNumId w:val="20"/>
  </w:num>
  <w:num w:numId="34">
    <w:abstractNumId w:val="32"/>
  </w:num>
  <w:num w:numId="35">
    <w:abstractNumId w:val="37"/>
  </w:num>
  <w:num w:numId="36">
    <w:abstractNumId w:val="21"/>
  </w:num>
  <w:num w:numId="37">
    <w:abstractNumId w:val="34"/>
  </w:num>
  <w:num w:numId="3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3FA1"/>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797"/>
    <w:rsid w:val="001F0800"/>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BA8"/>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0A4"/>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420"/>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A8F"/>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384"/>
    <w:rsid w:val="00516B96"/>
    <w:rsid w:val="00516D2A"/>
    <w:rsid w:val="00517186"/>
    <w:rsid w:val="005173A4"/>
    <w:rsid w:val="0051770E"/>
    <w:rsid w:val="0052001B"/>
    <w:rsid w:val="005205C8"/>
    <w:rsid w:val="005205D5"/>
    <w:rsid w:val="00520F40"/>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9CE"/>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1B58"/>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1B0C"/>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0F63"/>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D78F4"/>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5D"/>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56"/>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704A02D0-3FA2-4CC6-BD14-DF76E3E7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F00656"/>
    <w:rPr>
      <w:rFonts w:ascii="Arial" w:hAnsi="Arial"/>
      <w:sz w:val="18"/>
      <w:lang w:val="en-GB" w:eastAsia="en-US"/>
    </w:rPr>
  </w:style>
  <w:style w:type="character" w:customStyle="1" w:styleId="TAHCar">
    <w:name w:val="TAH Car"/>
    <w:link w:val="TAH"/>
    <w:locked/>
    <w:rsid w:val="00F006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D82AA467-3800-4139-850C-8AEFDFE4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Pages>
  <Words>570</Words>
  <Characters>3073</Characters>
  <Application>Microsoft Office Word</Application>
  <DocSecurity>0</DocSecurity>
  <Lines>61</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Pawar, Sameer</cp:lastModifiedBy>
  <cp:revision>21</cp:revision>
  <cp:lastPrinted>2011-11-09T07:49:00Z</cp:lastPrinted>
  <dcterms:created xsi:type="dcterms:W3CDTF">2018-02-16T06:13:00Z</dcterms:created>
  <dcterms:modified xsi:type="dcterms:W3CDTF">2018-08-11T02:55:00Z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2dd2fade-1e2d-4987-8ff6-a4a7a8053a6f</vt:lpwstr>
  </property>
  <property fmtid="{D5CDD505-2E9C-101B-9397-08002B2CF9AE}" pid="10" name="CTP_BU">
    <vt:lpwstr>NEXT GEN AND STANDARDS GROUP</vt:lpwstr>
  </property>
  <property fmtid="{D5CDD505-2E9C-101B-9397-08002B2CF9AE}" pid="11" name="CTP_TimeStamp">
    <vt:lpwstr>2018-08-11 02:55:03Z</vt:lpwstr>
  </property>
  <property fmtid="{D5CDD505-2E9C-101B-9397-08002B2CF9AE}" pid="12" name="ContentTypeId">
    <vt:lpwstr>0x0101001A6C2134160B1A4083A3FDA85C8A909E</vt:lpwstr>
  </property>
  <property fmtid="{D5CDD505-2E9C-101B-9397-08002B2CF9AE}" pid="13" name="CTPClassification">
    <vt:lpwstr>CTP_IC</vt:lpwstr>
  </property>
</Properties>
</file>