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671" w:rsidRPr="00727C48" w:rsidRDefault="00A04671" w:rsidP="00A04671">
      <w:pPr>
        <w:pStyle w:val="a4"/>
        <w:rPr>
          <w:rFonts w:eastAsia="宋体" w:cs="Arial"/>
          <w:bCs/>
          <w:sz w:val="22"/>
          <w:szCs w:val="22"/>
          <w:lang w:eastAsia="zh-CN"/>
        </w:rPr>
      </w:pPr>
      <w:r w:rsidRPr="00727C48">
        <w:rPr>
          <w:rFonts w:eastAsia="宋体" w:cs="Arial"/>
          <w:bCs/>
          <w:sz w:val="22"/>
          <w:szCs w:val="22"/>
          <w:lang w:eastAsia="zh-CN"/>
        </w:rPr>
        <w:t>3GPP TSG RAN WG1 Meeting #94</w:t>
      </w:r>
      <w:r w:rsidRPr="00727C48">
        <w:rPr>
          <w:rFonts w:eastAsia="宋体" w:cs="Arial"/>
          <w:bCs/>
          <w:sz w:val="22"/>
          <w:szCs w:val="22"/>
          <w:lang w:eastAsia="zh-CN"/>
        </w:rPr>
        <w:tab/>
      </w:r>
      <w:r w:rsidRPr="00727C48">
        <w:rPr>
          <w:rFonts w:eastAsia="宋体" w:cs="Arial"/>
          <w:bCs/>
          <w:sz w:val="22"/>
          <w:szCs w:val="22"/>
          <w:lang w:eastAsia="zh-CN"/>
        </w:rPr>
        <w:tab/>
      </w:r>
      <w:r w:rsidRPr="00727C48">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326130">
        <w:rPr>
          <w:rFonts w:eastAsia="宋体" w:cs="Arial"/>
          <w:bCs/>
          <w:sz w:val="22"/>
          <w:szCs w:val="22"/>
          <w:lang w:eastAsia="zh-CN"/>
        </w:rPr>
        <w:t>R1-1808383</w:t>
      </w:r>
    </w:p>
    <w:p w:rsidR="00A04671" w:rsidRDefault="00A04671" w:rsidP="00A04671">
      <w:pPr>
        <w:pStyle w:val="a4"/>
        <w:rPr>
          <w:rFonts w:eastAsia="宋体" w:cs="Arial"/>
          <w:bCs/>
          <w:sz w:val="22"/>
          <w:szCs w:val="22"/>
          <w:lang w:eastAsia="zh-CN"/>
        </w:rPr>
      </w:pPr>
      <w:r w:rsidRPr="00727C48">
        <w:rPr>
          <w:rFonts w:eastAsia="宋体" w:cs="Arial"/>
          <w:bCs/>
          <w:sz w:val="22"/>
          <w:szCs w:val="22"/>
          <w:lang w:eastAsia="zh-CN"/>
        </w:rPr>
        <w:t>Gothenburg, Sweden, Aug 20th – 24th, 2018</w:t>
      </w:r>
    </w:p>
    <w:p w:rsidR="00371EBE" w:rsidRDefault="00371EBE" w:rsidP="00371EBE">
      <w:pPr>
        <w:pStyle w:val="a4"/>
        <w:tabs>
          <w:tab w:val="right" w:pos="9639"/>
        </w:tabs>
        <w:rPr>
          <w:rFonts w:eastAsia="宋体"/>
          <w:bCs/>
          <w:sz w:val="22"/>
          <w:szCs w:val="22"/>
          <w:lang w:eastAsia="zh-CN"/>
        </w:rPr>
      </w:pPr>
    </w:p>
    <w:p w:rsidR="001547B0" w:rsidRDefault="001547B0" w:rsidP="00B726FC">
      <w:pPr>
        <w:pStyle w:val="a4"/>
        <w:spacing w:line="276" w:lineRule="auto"/>
        <w:rPr>
          <w:rFonts w:ascii="Times New Roman" w:hAnsi="Times New Roman"/>
          <w:sz w:val="22"/>
          <w:szCs w:val="22"/>
        </w:rPr>
      </w:pPr>
    </w:p>
    <w:p w:rsidR="00042B81" w:rsidRPr="001547B0" w:rsidRDefault="00042B81" w:rsidP="00A34842">
      <w:pPr>
        <w:pStyle w:val="a4"/>
        <w:spacing w:before="240" w:line="276" w:lineRule="auto"/>
        <w:outlineLvl w:val="0"/>
        <w:rPr>
          <w:rFonts w:eastAsia="宋体" w:cs="Arial"/>
          <w:sz w:val="24"/>
          <w:szCs w:val="24"/>
          <w:lang w:eastAsia="zh-CN"/>
        </w:rPr>
      </w:pPr>
      <w:r w:rsidRPr="001547B0">
        <w:rPr>
          <w:rFonts w:cs="Arial"/>
          <w:sz w:val="24"/>
          <w:szCs w:val="24"/>
        </w:rPr>
        <w:t xml:space="preserve">Source: </w:t>
      </w:r>
      <w:r w:rsidRPr="001547B0">
        <w:rPr>
          <w:rFonts w:eastAsia="宋体" w:cs="Arial"/>
          <w:sz w:val="24"/>
          <w:szCs w:val="24"/>
          <w:lang w:eastAsia="zh-CN"/>
        </w:rPr>
        <w:t xml:space="preserve">             </w:t>
      </w:r>
      <w:r w:rsidR="003A54FC" w:rsidRPr="001547B0">
        <w:rPr>
          <w:rFonts w:cs="Arial"/>
          <w:sz w:val="24"/>
          <w:szCs w:val="24"/>
        </w:rPr>
        <w:t>CATT</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Title:</w:t>
      </w:r>
      <w:r w:rsidRPr="001547B0">
        <w:rPr>
          <w:rFonts w:eastAsia="宋体" w:cs="Arial"/>
          <w:sz w:val="24"/>
          <w:szCs w:val="24"/>
          <w:lang w:eastAsia="zh-CN"/>
        </w:rPr>
        <w:t xml:space="preserve">                  </w:t>
      </w:r>
      <w:r w:rsidR="00A04671">
        <w:rPr>
          <w:rFonts w:eastAsia="宋体" w:cs="Arial"/>
          <w:sz w:val="24"/>
          <w:szCs w:val="24"/>
          <w:lang w:eastAsia="zh-CN"/>
        </w:rPr>
        <w:t xml:space="preserve"> Remaining Issu</w:t>
      </w:r>
      <w:r w:rsidR="00522CCF">
        <w:rPr>
          <w:rFonts w:eastAsia="宋体" w:cs="Arial"/>
          <w:sz w:val="24"/>
          <w:szCs w:val="24"/>
          <w:lang w:eastAsia="zh-CN"/>
        </w:rPr>
        <w:t>es of LTE-NR Dual Connectivity</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Agenda Item:</w:t>
      </w:r>
      <w:bookmarkStart w:id="0" w:name="Source"/>
      <w:bookmarkEnd w:id="0"/>
      <w:r w:rsidRPr="001547B0">
        <w:rPr>
          <w:rFonts w:eastAsia="宋体" w:cs="Arial"/>
          <w:sz w:val="24"/>
          <w:szCs w:val="24"/>
          <w:lang w:eastAsia="zh-CN"/>
        </w:rPr>
        <w:t xml:space="preserve">     </w:t>
      </w:r>
      <w:r w:rsidR="00326130">
        <w:rPr>
          <w:rFonts w:eastAsia="宋体" w:cs="Arial"/>
          <w:sz w:val="24"/>
          <w:szCs w:val="24"/>
          <w:lang w:eastAsia="zh-CN"/>
        </w:rPr>
        <w:t>7.1.4</w:t>
      </w:r>
    </w:p>
    <w:p w:rsidR="00042B81" w:rsidRPr="001547B0" w:rsidRDefault="00042B81" w:rsidP="00042B81">
      <w:pPr>
        <w:pStyle w:val="a4"/>
        <w:spacing w:line="276" w:lineRule="auto"/>
        <w:rPr>
          <w:rFonts w:cs="Arial"/>
          <w:sz w:val="24"/>
          <w:szCs w:val="24"/>
        </w:rPr>
      </w:pPr>
      <w:r w:rsidRPr="001547B0">
        <w:rPr>
          <w:rFonts w:cs="Arial"/>
          <w:sz w:val="24"/>
          <w:szCs w:val="24"/>
        </w:rPr>
        <w:t>Document for:</w:t>
      </w:r>
      <w:bookmarkStart w:id="1" w:name="DocumentFor"/>
      <w:bookmarkEnd w:id="1"/>
      <w:r w:rsidRPr="001547B0">
        <w:rPr>
          <w:rFonts w:eastAsia="宋体" w:cs="Arial"/>
          <w:sz w:val="24"/>
          <w:szCs w:val="24"/>
          <w:lang w:eastAsia="zh-CN"/>
        </w:rPr>
        <w:t xml:space="preserve">   </w:t>
      </w:r>
      <w:r w:rsidRPr="001547B0">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522CCF" w:rsidRDefault="00522CCF" w:rsidP="00522CCF">
      <w:pPr>
        <w:spacing w:after="60"/>
        <w:rPr>
          <w:rFonts w:hAnsi="宋体"/>
        </w:rPr>
      </w:pPr>
      <w:r>
        <w:rPr>
          <w:rFonts w:hAnsi="宋体"/>
        </w:rPr>
        <w:t xml:space="preserve">In RAN#80, the NR Rel-15 exception sheet </w:t>
      </w:r>
      <w:r w:rsidR="00405B6A">
        <w:rPr>
          <w:rFonts w:hAnsi="宋体"/>
        </w:rPr>
        <w:fldChar w:fldCharType="begin"/>
      </w:r>
      <w:r>
        <w:rPr>
          <w:rFonts w:hAnsi="宋体"/>
        </w:rPr>
        <w:instrText xml:space="preserve"> REF _Ref520314936 \r \h </w:instrText>
      </w:r>
      <w:r w:rsidR="00405B6A">
        <w:rPr>
          <w:rFonts w:hAnsi="宋体"/>
        </w:rPr>
      </w:r>
      <w:r w:rsidR="00405B6A">
        <w:rPr>
          <w:rFonts w:hAnsi="宋体"/>
        </w:rPr>
        <w:fldChar w:fldCharType="separate"/>
      </w:r>
      <w:r w:rsidR="00382630">
        <w:rPr>
          <w:rFonts w:hAnsi="宋体"/>
        </w:rPr>
        <w:t>[1]</w:t>
      </w:r>
      <w:r w:rsidR="00405B6A">
        <w:rPr>
          <w:rFonts w:hAnsi="宋体"/>
        </w:rPr>
        <w:fldChar w:fldCharType="end"/>
      </w:r>
      <w:r>
        <w:rPr>
          <w:rFonts w:hAnsi="宋体"/>
        </w:rPr>
        <w:t xml:space="preserve"> includes NR Rel-15 features of both NE-DC power control and NR DC in RAN1 for the late release targeted to complete in RAN#82 as follows,</w:t>
      </w:r>
    </w:p>
    <w:p w:rsidR="00522CCF" w:rsidRDefault="00522CCF" w:rsidP="00522CCF">
      <w:pPr>
        <w:spacing w:after="60"/>
        <w:rPr>
          <w:rFonts w:hAnsi="宋体"/>
        </w:rPr>
      </w:pPr>
    </w:p>
    <w:p w:rsidR="00522CCF" w:rsidRPr="000B4F3A" w:rsidRDefault="00522CCF" w:rsidP="00522CCF">
      <w:pPr>
        <w:pStyle w:val="12"/>
        <w:numPr>
          <w:ilvl w:val="1"/>
          <w:numId w:val="22"/>
        </w:numPr>
        <w:rPr>
          <w:bCs/>
          <w:lang w:eastAsia="ja-JP"/>
        </w:rPr>
      </w:pPr>
      <w:r w:rsidRPr="000B4F3A">
        <w:rPr>
          <w:rFonts w:hint="eastAsia"/>
          <w:bCs/>
          <w:lang w:eastAsia="ja-JP"/>
        </w:rPr>
        <w:t>Option 4:</w:t>
      </w:r>
    </w:p>
    <w:p w:rsidR="00522CCF" w:rsidRPr="000B4F3A" w:rsidRDefault="00522CCF" w:rsidP="00522CCF">
      <w:pPr>
        <w:pStyle w:val="12"/>
        <w:numPr>
          <w:ilvl w:val="2"/>
          <w:numId w:val="22"/>
        </w:numPr>
        <w:rPr>
          <w:bCs/>
          <w:lang w:eastAsia="ja-JP"/>
        </w:rPr>
      </w:pPr>
      <w:r>
        <w:rPr>
          <w:rFonts w:hint="eastAsia"/>
          <w:bCs/>
          <w:lang w:eastAsia="ja-JP"/>
        </w:rPr>
        <w:t>E</w:t>
      </w:r>
      <w:r w:rsidRPr="000B4F3A">
        <w:rPr>
          <w:bCs/>
          <w:lang w:eastAsia="ja-JP"/>
        </w:rPr>
        <w:t>valuate whether new design on power control, multiplexing, etc. for both LTE &amp; NR specs</w:t>
      </w:r>
    </w:p>
    <w:p w:rsidR="00522CCF" w:rsidRPr="000B4F3A" w:rsidRDefault="00522CCF" w:rsidP="00522CCF">
      <w:pPr>
        <w:pStyle w:val="12"/>
        <w:numPr>
          <w:ilvl w:val="3"/>
          <w:numId w:val="22"/>
        </w:numPr>
        <w:rPr>
          <w:bCs/>
          <w:lang w:eastAsia="ja-JP"/>
        </w:rPr>
      </w:pPr>
      <w:r w:rsidRPr="000B4F3A">
        <w:rPr>
          <w:bCs/>
          <w:lang w:eastAsia="ja-JP"/>
        </w:rPr>
        <w:t>Strive for minimum RAN1 specification impact</w:t>
      </w:r>
    </w:p>
    <w:p w:rsidR="00522CCF" w:rsidRDefault="00522CCF" w:rsidP="00522CCF">
      <w:pPr>
        <w:pStyle w:val="12"/>
        <w:numPr>
          <w:ilvl w:val="3"/>
          <w:numId w:val="22"/>
        </w:numPr>
        <w:rPr>
          <w:bCs/>
          <w:lang w:eastAsia="ja-JP"/>
        </w:rPr>
      </w:pPr>
      <w:r w:rsidRPr="000B4F3A">
        <w:rPr>
          <w:bCs/>
          <w:lang w:eastAsia="ja-JP"/>
        </w:rPr>
        <w:t>Some (limited) RAN1 meeting time is expected</w:t>
      </w:r>
    </w:p>
    <w:p w:rsidR="00522CCF" w:rsidRDefault="00522CCF" w:rsidP="00522CCF">
      <w:pPr>
        <w:pStyle w:val="12"/>
        <w:numPr>
          <w:ilvl w:val="1"/>
          <w:numId w:val="22"/>
        </w:numPr>
        <w:rPr>
          <w:bCs/>
          <w:lang w:eastAsia="ja-JP"/>
        </w:rPr>
      </w:pPr>
      <w:r>
        <w:rPr>
          <w:rFonts w:hint="eastAsia"/>
          <w:bCs/>
          <w:lang w:eastAsia="ja-JP"/>
        </w:rPr>
        <w:t>NR-NR Dual Connectivity</w:t>
      </w:r>
    </w:p>
    <w:p w:rsidR="00522CCF" w:rsidRDefault="00522CCF" w:rsidP="00522CCF">
      <w:pPr>
        <w:pStyle w:val="12"/>
        <w:numPr>
          <w:ilvl w:val="2"/>
          <w:numId w:val="22"/>
        </w:numPr>
        <w:rPr>
          <w:bCs/>
          <w:lang w:eastAsia="ja-JP"/>
        </w:rPr>
      </w:pPr>
      <w:r>
        <w:rPr>
          <w:bCs/>
          <w:lang w:eastAsia="ja-JP"/>
        </w:rPr>
        <w:t>Synchronous operation</w:t>
      </w:r>
    </w:p>
    <w:p w:rsidR="00522CCF" w:rsidRDefault="00522CCF" w:rsidP="00522CCF">
      <w:pPr>
        <w:pStyle w:val="12"/>
        <w:numPr>
          <w:ilvl w:val="2"/>
          <w:numId w:val="22"/>
        </w:numPr>
        <w:rPr>
          <w:bCs/>
          <w:lang w:eastAsia="ja-JP"/>
        </w:rPr>
      </w:pPr>
      <w:r>
        <w:rPr>
          <w:bCs/>
          <w:lang w:eastAsia="ja-JP"/>
        </w:rPr>
        <w:t>Minimum RAN1 impact and no HW impact</w:t>
      </w:r>
    </w:p>
    <w:p w:rsidR="00522CCF" w:rsidRPr="00471965" w:rsidRDefault="00522CCF" w:rsidP="00522CCF">
      <w:pPr>
        <w:pStyle w:val="12"/>
        <w:numPr>
          <w:ilvl w:val="2"/>
          <w:numId w:val="22"/>
        </w:numPr>
        <w:rPr>
          <w:bCs/>
          <w:lang w:eastAsia="ja-JP"/>
        </w:rPr>
      </w:pPr>
      <w:r w:rsidRPr="00471965">
        <w:rPr>
          <w:rFonts w:hint="eastAsia"/>
          <w:bCs/>
          <w:lang w:eastAsia="ja-JP"/>
        </w:rPr>
        <w:t>N</w:t>
      </w:r>
      <w:r w:rsidRPr="00471965">
        <w:rPr>
          <w:bCs/>
          <w:lang w:eastAsia="ja-JP"/>
        </w:rPr>
        <w:t>o PUCCH-</w:t>
      </w:r>
      <w:proofErr w:type="spellStart"/>
      <w:r w:rsidRPr="00471965">
        <w:rPr>
          <w:bCs/>
          <w:lang w:eastAsia="ja-JP"/>
        </w:rPr>
        <w:t>SCell</w:t>
      </w:r>
      <w:proofErr w:type="spellEnd"/>
    </w:p>
    <w:p w:rsidR="00407DEA" w:rsidRDefault="00407DEA" w:rsidP="00407DEA">
      <w:pPr>
        <w:spacing w:after="60"/>
        <w:jc w:val="both"/>
        <w:rPr>
          <w:rFonts w:hAnsi="宋体"/>
        </w:rPr>
      </w:pPr>
    </w:p>
    <w:p w:rsidR="00A3209A" w:rsidRDefault="00E769D9" w:rsidP="00DC1340">
      <w:pPr>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disc</w:t>
      </w:r>
      <w:r w:rsidR="00DC1340">
        <w:rPr>
          <w:rFonts w:eastAsia="宋体"/>
          <w:szCs w:val="22"/>
          <w:lang w:val="en-US" w:eastAsia="zh-CN"/>
        </w:rPr>
        <w:t xml:space="preserve">uss the </w:t>
      </w:r>
      <w:r w:rsidR="000A299D">
        <w:rPr>
          <w:rFonts w:eastAsia="宋体"/>
          <w:szCs w:val="22"/>
          <w:lang w:val="en-US" w:eastAsia="zh-CN"/>
        </w:rPr>
        <w:t xml:space="preserve">remaining issue of LTE-NR dual connectivity, which includes the intra-band EN-DC power control and </w:t>
      </w:r>
      <w:r w:rsidR="00DC1340">
        <w:rPr>
          <w:rFonts w:eastAsia="宋体"/>
          <w:szCs w:val="22"/>
          <w:lang w:val="en-US" w:eastAsia="zh-CN"/>
        </w:rPr>
        <w:t>power sharing mechanism for</w:t>
      </w:r>
      <w:r w:rsidR="00B201DA">
        <w:rPr>
          <w:rFonts w:eastAsia="宋体"/>
          <w:szCs w:val="22"/>
          <w:lang w:val="en-US" w:eastAsia="zh-CN"/>
        </w:rPr>
        <w:t xml:space="preserve"> NE-DC (</w:t>
      </w:r>
      <w:r w:rsidR="00DC1340">
        <w:rPr>
          <w:rFonts w:eastAsia="宋体"/>
          <w:szCs w:val="22"/>
          <w:lang w:val="en-US" w:eastAsia="zh-CN"/>
        </w:rPr>
        <w:t>NR and LTE dual connectivity</w:t>
      </w:r>
      <w:r w:rsidR="009C1E3D">
        <w:rPr>
          <w:rFonts w:eastAsia="宋体"/>
          <w:szCs w:val="22"/>
          <w:lang w:val="en-US" w:eastAsia="zh-CN"/>
        </w:rPr>
        <w:t xml:space="preserve"> for architecture option 4</w:t>
      </w:r>
      <w:r w:rsidR="00B201DA">
        <w:rPr>
          <w:rFonts w:eastAsia="宋体"/>
          <w:szCs w:val="22"/>
          <w:lang w:val="en-US" w:eastAsia="zh-CN"/>
        </w:rPr>
        <w:t>)</w:t>
      </w:r>
      <w:r w:rsidR="00DC1340">
        <w:rPr>
          <w:rFonts w:eastAsia="宋体"/>
          <w:szCs w:val="22"/>
          <w:lang w:val="en-US" w:eastAsia="zh-CN"/>
        </w:rPr>
        <w:t xml:space="preserve">.  </w:t>
      </w:r>
      <w:r w:rsidR="007C7260">
        <w:rPr>
          <w:rFonts w:eastAsia="宋体"/>
          <w:szCs w:val="22"/>
          <w:lang w:val="en-US" w:eastAsia="zh-CN"/>
        </w:rPr>
        <w:t xml:space="preserve">  </w:t>
      </w:r>
      <w:r w:rsidR="00CC064D">
        <w:rPr>
          <w:rFonts w:eastAsia="宋体" w:hint="eastAsia"/>
          <w:szCs w:val="22"/>
          <w:lang w:val="en-US" w:eastAsia="zh-CN"/>
        </w:rPr>
        <w:t xml:space="preserve"> </w:t>
      </w:r>
    </w:p>
    <w:p w:rsidR="00522CCF" w:rsidRDefault="00522CCF" w:rsidP="006424EB">
      <w:pPr>
        <w:pStyle w:val="1"/>
      </w:pPr>
      <w:r>
        <w:t>Power Control for Intra-band EN-DC</w:t>
      </w:r>
    </w:p>
    <w:p w:rsidR="00355592" w:rsidRDefault="004468BE" w:rsidP="004468BE">
      <w:pPr>
        <w:spacing w:before="120" w:after="0"/>
        <w:rPr>
          <w:lang w:val="en-US"/>
        </w:rPr>
      </w:pPr>
      <w:r>
        <w:t xml:space="preserve">In RAN1#93, </w:t>
      </w:r>
      <w:r>
        <w:rPr>
          <w:lang w:val="en-US"/>
        </w:rPr>
        <w:t xml:space="preserve">RAN4 sent an LS </w:t>
      </w:r>
      <w:r w:rsidR="00405B6A">
        <w:rPr>
          <w:lang w:val="en-US"/>
        </w:rPr>
        <w:fldChar w:fldCharType="begin"/>
      </w:r>
      <w:r>
        <w:rPr>
          <w:lang w:val="en-US"/>
        </w:rPr>
        <w:instrText xml:space="preserve"> REF _Ref520498083 \r \h </w:instrText>
      </w:r>
      <w:r w:rsidR="00405B6A">
        <w:rPr>
          <w:lang w:val="en-US"/>
        </w:rPr>
      </w:r>
      <w:r w:rsidR="00405B6A">
        <w:rPr>
          <w:lang w:val="en-US"/>
        </w:rPr>
        <w:fldChar w:fldCharType="separate"/>
      </w:r>
      <w:r>
        <w:rPr>
          <w:lang w:val="en-US"/>
        </w:rPr>
        <w:t>[2]</w:t>
      </w:r>
      <w:r w:rsidR="00405B6A">
        <w:rPr>
          <w:lang w:val="en-US"/>
        </w:rPr>
        <w:fldChar w:fldCharType="end"/>
      </w:r>
      <w:r>
        <w:rPr>
          <w:lang w:val="en-US"/>
        </w:rPr>
        <w:t xml:space="preserve"> indicating the study results of </w:t>
      </w:r>
      <w:proofErr w:type="spellStart"/>
      <w:r w:rsidR="000A299D">
        <w:rPr>
          <w:lang w:val="en-US"/>
        </w:rPr>
        <w:t>intermods</w:t>
      </w:r>
      <w:proofErr w:type="spellEnd"/>
      <w:r w:rsidR="000A299D">
        <w:rPr>
          <w:lang w:val="en-US"/>
        </w:rPr>
        <w:t xml:space="preserve"> and reverse </w:t>
      </w:r>
      <w:proofErr w:type="spellStart"/>
      <w:r w:rsidR="000A299D">
        <w:rPr>
          <w:lang w:val="en-US"/>
        </w:rPr>
        <w:t>intermods</w:t>
      </w:r>
      <w:proofErr w:type="spellEnd"/>
      <w:r w:rsidR="000A299D">
        <w:rPr>
          <w:lang w:val="en-US"/>
        </w:rPr>
        <w:t xml:space="preserve"> on the ability of UEs to meet emission requirements</w:t>
      </w:r>
      <w:r>
        <w:rPr>
          <w:lang w:val="en-US"/>
        </w:rPr>
        <w:t xml:space="preserve"> for intra-band EN-DC</w:t>
      </w:r>
      <w:proofErr w:type="gramStart"/>
      <w:r w:rsidR="000A299D">
        <w:rPr>
          <w:lang w:val="en-US"/>
        </w:rPr>
        <w:t xml:space="preserve">. </w:t>
      </w:r>
      <w:r>
        <w:rPr>
          <w:lang w:val="en-US"/>
        </w:rPr>
        <w:t xml:space="preserve">   </w:t>
      </w:r>
      <w:proofErr w:type="gramEnd"/>
      <w:r>
        <w:rPr>
          <w:lang w:val="en-US"/>
        </w:rPr>
        <w:t xml:space="preserve">From </w:t>
      </w:r>
      <w:r w:rsidR="00405B6A">
        <w:rPr>
          <w:lang w:val="en-US"/>
        </w:rPr>
        <w:fldChar w:fldCharType="begin"/>
      </w:r>
      <w:r>
        <w:rPr>
          <w:lang w:val="en-US"/>
        </w:rPr>
        <w:instrText xml:space="preserve"> REF _Ref520498083 \r \h </w:instrText>
      </w:r>
      <w:r w:rsidR="00405B6A">
        <w:rPr>
          <w:lang w:val="en-US"/>
        </w:rPr>
      </w:r>
      <w:r w:rsidR="00405B6A">
        <w:rPr>
          <w:lang w:val="en-US"/>
        </w:rPr>
        <w:fldChar w:fldCharType="separate"/>
      </w:r>
      <w:r>
        <w:rPr>
          <w:lang w:val="en-US"/>
        </w:rPr>
        <w:t>[2]</w:t>
      </w:r>
      <w:r w:rsidR="00405B6A">
        <w:rPr>
          <w:lang w:val="en-US"/>
        </w:rPr>
        <w:fldChar w:fldCharType="end"/>
      </w:r>
      <w:r>
        <w:rPr>
          <w:lang w:val="en-US"/>
        </w:rPr>
        <w:t>, the study results showed that p</w:t>
      </w:r>
      <w:r w:rsidR="000A299D">
        <w:rPr>
          <w:lang w:val="en-US"/>
        </w:rPr>
        <w:t xml:space="preserve">ower reduction techniques including MPR and A-MPR </w:t>
      </w:r>
      <w:proofErr w:type="gramStart"/>
      <w:r w:rsidR="000A299D">
        <w:rPr>
          <w:lang w:val="en-US"/>
        </w:rPr>
        <w:t>can</w:t>
      </w:r>
      <w:proofErr w:type="gramEnd"/>
      <w:r w:rsidR="000A299D">
        <w:rPr>
          <w:lang w:val="en-US"/>
        </w:rPr>
        <w:t xml:space="preserve"> be used to minimize the impact of these IMDs and RIMDs. </w:t>
      </w:r>
      <w:r>
        <w:rPr>
          <w:lang w:val="en-US"/>
        </w:rPr>
        <w:t xml:space="preserve"> The </w:t>
      </w:r>
      <w:r w:rsidR="000A299D">
        <w:rPr>
          <w:lang w:val="en-US"/>
        </w:rPr>
        <w:t>MPR a</w:t>
      </w:r>
      <w:r>
        <w:rPr>
          <w:lang w:val="en-US"/>
        </w:rPr>
        <w:t xml:space="preserve">nd A-MPR with </w:t>
      </w:r>
      <w:r w:rsidR="000A299D">
        <w:rPr>
          <w:lang w:val="en-US"/>
        </w:rPr>
        <w:t>equal PSD between LTE and NR</w:t>
      </w:r>
      <w:r>
        <w:rPr>
          <w:lang w:val="en-US"/>
        </w:rPr>
        <w:t xml:space="preserve"> and equal </w:t>
      </w:r>
      <w:proofErr w:type="gramStart"/>
      <w:r>
        <w:rPr>
          <w:lang w:val="en-US"/>
        </w:rPr>
        <w:t>back-off</w:t>
      </w:r>
      <w:proofErr w:type="gramEnd"/>
      <w:r w:rsidR="000A299D">
        <w:rPr>
          <w:lang w:val="en-US"/>
        </w:rPr>
        <w:t xml:space="preserve"> for E-UTRA and NR</w:t>
      </w:r>
      <w:r>
        <w:rPr>
          <w:lang w:val="en-US"/>
        </w:rPr>
        <w:t xml:space="preserve"> is in the RAN4 study.   </w:t>
      </w:r>
      <w:r w:rsidR="00355592">
        <w:rPr>
          <w:lang w:val="en-US"/>
        </w:rPr>
        <w:t xml:space="preserve">An email discussion on the reply LS to RAN4 was conducted after RAN1#93 with the reply LS agreed in </w:t>
      </w:r>
      <w:r w:rsidR="00405B6A">
        <w:rPr>
          <w:lang w:val="en-US"/>
        </w:rPr>
        <w:fldChar w:fldCharType="begin"/>
      </w:r>
      <w:r w:rsidR="00355592">
        <w:rPr>
          <w:lang w:val="en-US"/>
        </w:rPr>
        <w:instrText xml:space="preserve"> REF _Ref520500809 \r \h </w:instrText>
      </w:r>
      <w:r w:rsidR="00405B6A">
        <w:rPr>
          <w:lang w:val="en-US"/>
        </w:rPr>
      </w:r>
      <w:r w:rsidR="00405B6A">
        <w:rPr>
          <w:lang w:val="en-US"/>
        </w:rPr>
        <w:fldChar w:fldCharType="separate"/>
      </w:r>
      <w:r w:rsidR="00355592">
        <w:rPr>
          <w:lang w:val="en-US"/>
        </w:rPr>
        <w:t>[5]</w:t>
      </w:r>
      <w:r w:rsidR="00405B6A">
        <w:rPr>
          <w:lang w:val="en-US"/>
        </w:rPr>
        <w:fldChar w:fldCharType="end"/>
      </w:r>
      <w:r w:rsidR="00355592">
        <w:rPr>
          <w:lang w:val="en-US"/>
        </w:rPr>
        <w:t xml:space="preserve">.  </w:t>
      </w:r>
    </w:p>
    <w:p w:rsidR="00355592" w:rsidRDefault="004468BE" w:rsidP="004468BE">
      <w:pPr>
        <w:spacing w:before="120" w:after="0"/>
        <w:rPr>
          <w:lang w:val="en-US"/>
        </w:rPr>
      </w:pPr>
      <w:r>
        <w:rPr>
          <w:lang w:val="en-US"/>
        </w:rPr>
        <w:t xml:space="preserve">The equal PSD </w:t>
      </w:r>
      <w:r w:rsidR="00355592">
        <w:rPr>
          <w:lang w:val="en-US"/>
        </w:rPr>
        <w:t>assumption is not part of RAN1 power control design in LTE and NR.   The principle of the power control in LTE and NR is to compensate the path loss and to adjust to the interference in meeting the target SINR in LTE and NR carrier independently.  The assumption of equal PSD between LTE and NR would require the power setting of UL transmission either NR or LTE to relinquish its open power control loop and to accommodate the output power of the power control from the other technology.   The UL transmission powers are set independently based on the respective power control formula in LTE and NR.   RAN4 power control assumption is not consistent with RAN1’s power control design.</w:t>
      </w:r>
    </w:p>
    <w:p w:rsidR="00465A78" w:rsidRDefault="00355592" w:rsidP="00465A78">
      <w:pPr>
        <w:spacing w:before="120" w:after="0"/>
        <w:rPr>
          <w:szCs w:val="22"/>
        </w:rPr>
      </w:pPr>
      <w:r>
        <w:rPr>
          <w:lang w:val="en-US"/>
        </w:rPr>
        <w:t xml:space="preserve">During the email discussion, UE vendors showed strong concern on the processing timeline for the time setting.  </w:t>
      </w:r>
      <w:bookmarkStart w:id="2" w:name="_Hlk519241433"/>
      <w:r>
        <w:rPr>
          <w:szCs w:val="22"/>
        </w:rPr>
        <w:t>The basic design principle in RAN1 power control both LTE and NR have sufficient processing in power setting for EN-DC</w:t>
      </w:r>
      <w:proofErr w:type="gramStart"/>
      <w:r>
        <w:rPr>
          <w:szCs w:val="22"/>
        </w:rPr>
        <w:t xml:space="preserve">.   </w:t>
      </w:r>
      <w:proofErr w:type="gramEnd"/>
      <w:r w:rsidR="00382630" w:rsidRPr="00C53917">
        <w:rPr>
          <w:szCs w:val="22"/>
        </w:rPr>
        <w:t>NR</w:t>
      </w:r>
      <w:r>
        <w:rPr>
          <w:szCs w:val="22"/>
        </w:rPr>
        <w:t xml:space="preserve"> with faster</w:t>
      </w:r>
      <w:r w:rsidR="00382630" w:rsidRPr="00C53917">
        <w:rPr>
          <w:szCs w:val="22"/>
        </w:rPr>
        <w:t xml:space="preserve"> processing times </w:t>
      </w:r>
      <w:r>
        <w:rPr>
          <w:szCs w:val="22"/>
        </w:rPr>
        <w:t>could have sufficient time to calculate the total transmission power when both LTE and NR are scheduled at the same subframe duration</w:t>
      </w:r>
      <w:proofErr w:type="gramStart"/>
      <w:r>
        <w:rPr>
          <w:szCs w:val="22"/>
        </w:rPr>
        <w:t xml:space="preserve">.    </w:t>
      </w:r>
      <w:proofErr w:type="gramEnd"/>
      <w:r>
        <w:rPr>
          <w:szCs w:val="22"/>
        </w:rPr>
        <w:t>The assumption is that LTE</w:t>
      </w:r>
      <w:r w:rsidR="00465A78">
        <w:rPr>
          <w:szCs w:val="22"/>
        </w:rPr>
        <w:t xml:space="preserve"> power computation would not take into account any NR transmission  for EN-DC due to longer processing time in comparison to that of NR.  </w:t>
      </w:r>
      <w:bookmarkStart w:id="3" w:name="_Hlk519237579"/>
      <w:bookmarkEnd w:id="2"/>
      <w:r w:rsidR="00465A78">
        <w:rPr>
          <w:szCs w:val="22"/>
        </w:rPr>
        <w:t>During the email discussion, some companies propose that slow down the NR processing</w:t>
      </w:r>
      <w:r w:rsidR="00382630" w:rsidRPr="00C53917">
        <w:rPr>
          <w:szCs w:val="22"/>
        </w:rPr>
        <w:t xml:space="preserve"> would have severe effects on latency</w:t>
      </w:r>
      <w:bookmarkEnd w:id="3"/>
      <w:r w:rsidR="00465A78">
        <w:rPr>
          <w:szCs w:val="22"/>
        </w:rPr>
        <w:t xml:space="preserve"> and </w:t>
      </w:r>
      <w:r w:rsidR="00382630" w:rsidRPr="00C53917">
        <w:rPr>
          <w:szCs w:val="22"/>
        </w:rPr>
        <w:t>have negative effects on throughput from the u</w:t>
      </w:r>
      <w:r w:rsidR="00465A78">
        <w:rPr>
          <w:szCs w:val="22"/>
        </w:rPr>
        <w:t>ser perspective and thus</w:t>
      </w:r>
      <w:r w:rsidR="00382630" w:rsidRPr="00C53917">
        <w:rPr>
          <w:szCs w:val="22"/>
        </w:rPr>
        <w:t xml:space="preserve"> reduce the</w:t>
      </w:r>
      <w:r w:rsidR="00465A78">
        <w:rPr>
          <w:szCs w:val="22"/>
        </w:rPr>
        <w:t xml:space="preserve"> NR</w:t>
      </w:r>
      <w:r w:rsidR="00382630" w:rsidRPr="00C53917">
        <w:rPr>
          <w:szCs w:val="22"/>
        </w:rPr>
        <w:t xml:space="preserve"> system capacity </w:t>
      </w:r>
    </w:p>
    <w:p w:rsidR="00465A78" w:rsidRDefault="00465A78" w:rsidP="00465A78">
      <w:pPr>
        <w:spacing w:before="120" w:after="0"/>
        <w:rPr>
          <w:szCs w:val="22"/>
        </w:rPr>
      </w:pPr>
    </w:p>
    <w:p w:rsidR="00465A78" w:rsidRPr="00465A78" w:rsidRDefault="00465A78" w:rsidP="00465A78">
      <w:pPr>
        <w:spacing w:before="120" w:after="0"/>
        <w:rPr>
          <w:b/>
          <w:szCs w:val="22"/>
        </w:rPr>
      </w:pPr>
      <w:r>
        <w:rPr>
          <w:b/>
          <w:szCs w:val="22"/>
        </w:rPr>
        <w:t>Proposal 1: RAN1 power control in LTE and NR are feasible for intra-band EN-DC without modification</w:t>
      </w:r>
    </w:p>
    <w:p w:rsidR="00465A78" w:rsidRDefault="00465A78" w:rsidP="00465A78">
      <w:pPr>
        <w:spacing w:before="120" w:after="0"/>
        <w:rPr>
          <w:szCs w:val="22"/>
        </w:rPr>
      </w:pPr>
    </w:p>
    <w:p w:rsidR="00465A78" w:rsidRPr="00C53917" w:rsidRDefault="00465A78" w:rsidP="00465A78">
      <w:pPr>
        <w:spacing w:before="120" w:after="0"/>
        <w:rPr>
          <w:szCs w:val="22"/>
        </w:rPr>
      </w:pPr>
    </w:p>
    <w:p w:rsidR="006424EB" w:rsidRDefault="00B45172" w:rsidP="006424EB">
      <w:pPr>
        <w:pStyle w:val="1"/>
      </w:pPr>
      <w:r>
        <w:rPr>
          <w:rFonts w:eastAsia="宋体"/>
          <w:lang w:eastAsia="zh-CN"/>
        </w:rPr>
        <w:lastRenderedPageBreak/>
        <w:t xml:space="preserve">Dynamic </w:t>
      </w:r>
      <w:r w:rsidR="00DC1340">
        <w:rPr>
          <w:rFonts w:eastAsia="宋体"/>
          <w:lang w:eastAsia="zh-CN"/>
        </w:rPr>
        <w:t>Power Sharing</w:t>
      </w:r>
      <w:r>
        <w:rPr>
          <w:rFonts w:eastAsia="宋体"/>
          <w:lang w:eastAsia="zh-CN"/>
        </w:rPr>
        <w:t xml:space="preserve"> in NE-DC</w:t>
      </w:r>
    </w:p>
    <w:p w:rsidR="0001383A" w:rsidRDefault="0001383A" w:rsidP="00326130">
      <w:pPr>
        <w:spacing w:before="120" w:afterLines="50" w:line="276" w:lineRule="auto"/>
        <w:jc w:val="both"/>
        <w:rPr>
          <w:rFonts w:eastAsia="宋体"/>
          <w:szCs w:val="22"/>
          <w:lang w:eastAsia="zh-CN"/>
        </w:rPr>
      </w:pPr>
    </w:p>
    <w:p w:rsidR="00522CCF" w:rsidRDefault="0001383A" w:rsidP="00246296">
      <w:pPr>
        <w:spacing w:before="120" w:after="0"/>
        <w:rPr>
          <w:lang w:eastAsia="zh-CN"/>
        </w:rPr>
      </w:pPr>
      <w:r>
        <w:rPr>
          <w:rFonts w:eastAsia="宋体"/>
          <w:szCs w:val="22"/>
          <w:lang w:eastAsia="zh-CN"/>
        </w:rPr>
        <w:t>Power sharing mechanism</w:t>
      </w:r>
      <w:r w:rsidR="00567638">
        <w:rPr>
          <w:rFonts w:eastAsia="宋体"/>
          <w:szCs w:val="22"/>
          <w:lang w:eastAsia="zh-CN"/>
        </w:rPr>
        <w:t xml:space="preserve"> for LTE and NR dual connectivity is to define the UE power allocation strategy for NR and LTE UL transmission.</w:t>
      </w:r>
      <w:r>
        <w:rPr>
          <w:rFonts w:eastAsia="宋体"/>
          <w:szCs w:val="22"/>
          <w:lang w:eastAsia="zh-CN"/>
        </w:rPr>
        <w:t xml:space="preserve">  </w:t>
      </w:r>
      <w:r w:rsidR="00B201DA">
        <w:rPr>
          <w:lang w:eastAsia="zh-CN"/>
        </w:rPr>
        <w:t xml:space="preserve">In EN-DC, </w:t>
      </w:r>
      <w:r w:rsidR="007D66F1">
        <w:rPr>
          <w:lang w:eastAsia="zh-CN"/>
        </w:rPr>
        <w:t xml:space="preserve">the configured maximum power </w:t>
      </w:r>
      <w:r w:rsidR="007D66F1">
        <w:t xml:space="preserve">P_LTE and P_NR </w:t>
      </w:r>
      <w:r w:rsidR="007D66F1">
        <w:rPr>
          <w:lang w:eastAsia="zh-CN"/>
        </w:rPr>
        <w:t xml:space="preserve">could be the same as </w:t>
      </w:r>
      <w:r w:rsidR="00B201DA">
        <w:rPr>
          <w:lang w:eastAsia="zh-CN"/>
        </w:rPr>
        <w:t xml:space="preserve">the maximum power of the power class, </w:t>
      </w:r>
      <w:proofErr w:type="spellStart"/>
      <w:r w:rsidR="00B201DA">
        <w:rPr>
          <w:lang w:eastAsia="zh-CN"/>
        </w:rPr>
        <w:t>e.g</w:t>
      </w:r>
      <w:proofErr w:type="spellEnd"/>
      <w:r w:rsidR="00B201DA">
        <w:rPr>
          <w:lang w:eastAsia="zh-CN"/>
        </w:rPr>
        <w:t xml:space="preserve">,, 23 </w:t>
      </w:r>
      <w:proofErr w:type="spellStart"/>
      <w:r w:rsidR="00B201DA">
        <w:rPr>
          <w:lang w:eastAsia="zh-CN"/>
        </w:rPr>
        <w:t>dBm</w:t>
      </w:r>
      <w:proofErr w:type="spellEnd"/>
      <w:r w:rsidR="00B201DA">
        <w:rPr>
          <w:lang w:eastAsia="zh-CN"/>
        </w:rPr>
        <w:t>,</w:t>
      </w:r>
      <w:r w:rsidR="007D66F1">
        <w:rPr>
          <w:lang w:eastAsia="zh-CN"/>
        </w:rPr>
        <w:t xml:space="preserve"> or overbooked with the total power </w:t>
      </w:r>
      <w:r w:rsidR="007D66F1">
        <w:t>P_LTE + P_NR</w:t>
      </w:r>
      <w:r w:rsidR="007D66F1">
        <w:rPr>
          <w:lang w:eastAsia="zh-CN"/>
        </w:rPr>
        <w:t xml:space="preserve"> greater than the power class</w:t>
      </w:r>
      <w:r w:rsidR="00B201DA">
        <w:rPr>
          <w:lang w:eastAsia="zh-CN"/>
        </w:rPr>
        <w:t xml:space="preserve">.   </w:t>
      </w:r>
      <w:r w:rsidR="00465A78">
        <w:rPr>
          <w:lang w:eastAsia="zh-CN"/>
        </w:rPr>
        <w:t xml:space="preserve">All UEs need to support the sum of the total power would not exceed the maximum power of the power class.  If the sum of the total power of LTE and NR PUSCH/PUCCH/SRS transmission is over the maximum power limit of the power class, UE is required to scale down the total transmit power or drop the NR PUSCH transmission based on UE implementation in order to protect the LTE PUSCH transmission based on the request from Operators.  </w:t>
      </w:r>
    </w:p>
    <w:p w:rsidR="008F50ED" w:rsidRDefault="00943EA4" w:rsidP="00246296">
      <w:pPr>
        <w:spacing w:before="120" w:after="0"/>
        <w:rPr>
          <w:lang w:eastAsia="zh-CN"/>
        </w:rPr>
      </w:pPr>
      <w:r>
        <w:rPr>
          <w:lang w:eastAsia="zh-CN"/>
        </w:rPr>
        <w:t xml:space="preserve">For NE-DC with NR as the </w:t>
      </w:r>
      <w:proofErr w:type="spellStart"/>
      <w:r>
        <w:rPr>
          <w:lang w:eastAsia="zh-CN"/>
        </w:rPr>
        <w:t>PCell</w:t>
      </w:r>
      <w:proofErr w:type="spellEnd"/>
      <w:r>
        <w:rPr>
          <w:lang w:eastAsia="zh-CN"/>
        </w:rPr>
        <w:t>,</w:t>
      </w:r>
      <w:r w:rsidR="00246296">
        <w:rPr>
          <w:lang w:eastAsia="zh-CN"/>
        </w:rPr>
        <w:t xml:space="preserve"> NR is the Primary cell group (PCG) and LTE is the secondary cell group (SCG)</w:t>
      </w:r>
      <w:proofErr w:type="gramStart"/>
      <w:r w:rsidR="00246296">
        <w:rPr>
          <w:lang w:eastAsia="zh-CN"/>
        </w:rPr>
        <w:t xml:space="preserve">.  </w:t>
      </w:r>
      <w:r>
        <w:rPr>
          <w:lang w:eastAsia="zh-CN"/>
        </w:rPr>
        <w:t xml:space="preserve"> </w:t>
      </w:r>
      <w:proofErr w:type="gramEnd"/>
      <w:r w:rsidR="007D66F1">
        <w:rPr>
          <w:rFonts w:hint="eastAsia"/>
          <w:lang w:eastAsia="zh-CN"/>
        </w:rPr>
        <w:t>NR</w:t>
      </w:r>
      <w:r w:rsidR="007D66F1">
        <w:rPr>
          <w:lang w:eastAsia="zh-CN"/>
        </w:rPr>
        <w:t xml:space="preserve"> supports </w:t>
      </w:r>
      <w:r w:rsidR="007D66F1">
        <w:t>different numerologies</w:t>
      </w:r>
      <w:r>
        <w:rPr>
          <w:rFonts w:hint="eastAsia"/>
          <w:lang w:eastAsia="zh-CN"/>
        </w:rPr>
        <w:t xml:space="preserve"> </w:t>
      </w:r>
      <w:r w:rsidR="00246296">
        <w:rPr>
          <w:lang w:eastAsia="zh-CN"/>
        </w:rPr>
        <w:t>and different slot format</w:t>
      </w:r>
      <w:proofErr w:type="gramStart"/>
      <w:r w:rsidR="007D66F1">
        <w:rPr>
          <w:rFonts w:hint="eastAsia"/>
          <w:lang w:eastAsia="zh-CN"/>
        </w:rPr>
        <w:t xml:space="preserve">. </w:t>
      </w:r>
      <w:r w:rsidR="007D66F1">
        <w:rPr>
          <w:lang w:eastAsia="zh-CN"/>
        </w:rPr>
        <w:t xml:space="preserve">  </w:t>
      </w:r>
      <w:proofErr w:type="gramEnd"/>
      <w:r w:rsidR="007D66F1">
        <w:rPr>
          <w:lang w:eastAsia="zh-CN"/>
        </w:rPr>
        <w:t xml:space="preserve">The UL maximum power </w:t>
      </w:r>
      <w:proofErr w:type="spellStart"/>
      <w:r w:rsidR="007D66F1">
        <w:rPr>
          <w:i/>
          <w:lang w:eastAsia="zh-CN"/>
        </w:rPr>
        <w:t>P</w:t>
      </w:r>
      <w:r w:rsidR="007D66F1">
        <w:rPr>
          <w:i/>
          <w:vertAlign w:val="subscript"/>
          <w:lang w:eastAsia="zh-CN"/>
        </w:rPr>
        <w:t>CMAX,c</w:t>
      </w:r>
      <w:proofErr w:type="spellEnd"/>
      <w:r w:rsidR="007D66F1">
        <w:rPr>
          <w:i/>
          <w:lang w:eastAsia="zh-CN"/>
        </w:rPr>
        <w:t xml:space="preserve"> </w:t>
      </w:r>
      <w:r w:rsidR="007D66F1">
        <w:rPr>
          <w:lang w:eastAsia="zh-CN"/>
        </w:rPr>
        <w:t xml:space="preserve">configured for </w:t>
      </w:r>
      <w:r>
        <w:rPr>
          <w:lang w:eastAsia="zh-CN"/>
        </w:rPr>
        <w:t>NR</w:t>
      </w:r>
      <w:r w:rsidR="007D66F1">
        <w:rPr>
          <w:lang w:eastAsia="zh-CN"/>
        </w:rPr>
        <w:t xml:space="preserve"> component carrier</w:t>
      </w:r>
      <w:r>
        <w:rPr>
          <w:lang w:eastAsia="zh-CN"/>
        </w:rPr>
        <w:t xml:space="preserve"> for NE-DC </w:t>
      </w:r>
      <w:r w:rsidR="00246296">
        <w:rPr>
          <w:lang w:eastAsia="zh-CN"/>
        </w:rPr>
        <w:t xml:space="preserve">would be equal of shorter than that of </w:t>
      </w:r>
      <w:r>
        <w:rPr>
          <w:lang w:eastAsia="zh-CN"/>
        </w:rPr>
        <w:t>the LTE subframe length</w:t>
      </w:r>
      <w:proofErr w:type="gramStart"/>
      <w:r>
        <w:rPr>
          <w:lang w:eastAsia="zh-CN"/>
        </w:rPr>
        <w:t xml:space="preserve">.  </w:t>
      </w:r>
      <w:r w:rsidR="007D66F1">
        <w:rPr>
          <w:lang w:eastAsia="zh-CN"/>
        </w:rPr>
        <w:t xml:space="preserve"> </w:t>
      </w:r>
      <w:proofErr w:type="gramEnd"/>
      <w:r>
        <w:rPr>
          <w:lang w:eastAsia="zh-CN"/>
        </w:rPr>
        <w:t xml:space="preserve">Even NR has the same numerology of 15 kHz SCS as that of LTE, </w:t>
      </w:r>
      <w:r w:rsidR="007D66F1">
        <w:rPr>
          <w:lang w:eastAsia="zh-CN"/>
        </w:rPr>
        <w:t xml:space="preserve"> </w:t>
      </w:r>
      <w:r>
        <w:rPr>
          <w:lang w:eastAsia="zh-CN"/>
        </w:rPr>
        <w:t>the NR</w:t>
      </w:r>
      <w:r w:rsidR="007D66F1">
        <w:rPr>
          <w:lang w:eastAsia="zh-CN"/>
        </w:rPr>
        <w:t xml:space="preserve"> component carrier might have different slot format, which the number of UL symbols within a slot could </w:t>
      </w:r>
      <w:r>
        <w:rPr>
          <w:lang w:eastAsia="zh-CN"/>
        </w:rPr>
        <w:t xml:space="preserve">be different even NR and LTE </w:t>
      </w:r>
      <w:r w:rsidR="007D66F1">
        <w:rPr>
          <w:lang w:eastAsia="zh-CN"/>
        </w:rPr>
        <w:t xml:space="preserve">carriers have same numerology as shown in </w:t>
      </w:r>
      <w:r w:rsidR="00405B6A">
        <w:rPr>
          <w:lang w:eastAsia="zh-CN"/>
        </w:rPr>
        <w:fldChar w:fldCharType="begin"/>
      </w:r>
      <w:r w:rsidR="007D66F1">
        <w:rPr>
          <w:lang w:eastAsia="zh-CN"/>
        </w:rPr>
        <w:instrText xml:space="preserve"> REF _Ref498633323 \h </w:instrText>
      </w:r>
      <w:r w:rsidR="00405B6A">
        <w:rPr>
          <w:lang w:eastAsia="zh-CN"/>
        </w:rPr>
      </w:r>
      <w:r w:rsidR="00405B6A">
        <w:rPr>
          <w:lang w:eastAsia="zh-CN"/>
        </w:rPr>
        <w:fldChar w:fldCharType="separate"/>
      </w:r>
      <w:r w:rsidR="007D66F1">
        <w:t xml:space="preserve">Figure </w:t>
      </w:r>
      <w:r w:rsidR="007D66F1">
        <w:rPr>
          <w:noProof/>
        </w:rPr>
        <w:t>1</w:t>
      </w:r>
      <w:r w:rsidR="00405B6A">
        <w:rPr>
          <w:lang w:eastAsia="zh-CN"/>
        </w:rPr>
        <w:fldChar w:fldCharType="end"/>
      </w:r>
      <w:r w:rsidR="007D66F1">
        <w:rPr>
          <w:lang w:eastAsia="zh-CN"/>
        </w:rPr>
        <w:t xml:space="preserve">.  </w:t>
      </w:r>
      <w:r w:rsidR="00246296">
        <w:rPr>
          <w:lang w:eastAsia="zh-CN"/>
        </w:rPr>
        <w:t xml:space="preserve">For NR and LTE carriers with different numerologies, the NR slot length would be different to LTE subframe length as shown in </w:t>
      </w:r>
      <w:r w:rsidR="00405B6A">
        <w:rPr>
          <w:lang w:eastAsia="zh-CN"/>
        </w:rPr>
        <w:fldChar w:fldCharType="begin"/>
      </w:r>
      <w:r w:rsidR="00246296">
        <w:rPr>
          <w:lang w:eastAsia="zh-CN"/>
        </w:rPr>
        <w:instrText xml:space="preserve"> REF _Ref498633323 \h </w:instrText>
      </w:r>
      <w:r w:rsidR="00405B6A">
        <w:rPr>
          <w:lang w:eastAsia="zh-CN"/>
        </w:rPr>
      </w:r>
      <w:r w:rsidR="00405B6A">
        <w:rPr>
          <w:lang w:eastAsia="zh-CN"/>
        </w:rPr>
        <w:fldChar w:fldCharType="separate"/>
      </w:r>
      <w:r w:rsidR="00246296">
        <w:t xml:space="preserve">Figure </w:t>
      </w:r>
      <w:r w:rsidR="00246296">
        <w:rPr>
          <w:noProof/>
        </w:rPr>
        <w:t>1</w:t>
      </w:r>
      <w:r w:rsidR="00405B6A">
        <w:rPr>
          <w:lang w:eastAsia="zh-CN"/>
        </w:rPr>
        <w:fldChar w:fldCharType="end"/>
      </w:r>
      <w:r w:rsidR="00246296">
        <w:rPr>
          <w:lang w:eastAsia="zh-CN"/>
        </w:rPr>
        <w:t xml:space="preserve">.    </w:t>
      </w:r>
    </w:p>
    <w:p w:rsidR="008F50ED" w:rsidRDefault="008F50ED" w:rsidP="00246296">
      <w:pPr>
        <w:spacing w:before="120" w:after="0"/>
        <w:rPr>
          <w:lang w:eastAsia="zh-CN"/>
        </w:rPr>
      </w:pPr>
    </w:p>
    <w:p w:rsidR="00246296" w:rsidRDefault="00246296" w:rsidP="007D66F1">
      <w:pPr>
        <w:rPr>
          <w:lang w:eastAsia="zh-CN"/>
        </w:rPr>
        <w:sectPr w:rsidR="00246296"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pPr>
    </w:p>
    <w:p w:rsidR="00246296" w:rsidRDefault="00246296" w:rsidP="007D66F1"/>
    <w:p w:rsidR="00246296" w:rsidRDefault="00246296" w:rsidP="007D66F1">
      <w:pPr>
        <w:rPr>
          <w:lang w:eastAsia="zh-CN"/>
        </w:rPr>
      </w:pPr>
      <w:r>
        <w:object w:dxaOrig="7731" w:dyaOrig="2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5pt;height:69.3pt" o:ole="">
            <v:imagedata r:id="rId10" o:title=""/>
          </v:shape>
          <o:OLEObject Type="Embed" ProgID="Visio.Drawing.11" ShapeID="_x0000_i1025" DrawAspect="Content" ObjectID="_1595424190" r:id="rId11"/>
        </w:object>
      </w:r>
    </w:p>
    <w:p w:rsidR="00246296" w:rsidRDefault="00246296" w:rsidP="007D66F1">
      <w:pPr>
        <w:rPr>
          <w:lang w:eastAsia="zh-CN"/>
        </w:rPr>
      </w:pPr>
    </w:p>
    <w:p w:rsidR="00246296" w:rsidRDefault="00246296" w:rsidP="00246296">
      <w:pPr>
        <w:keepNext/>
        <w:sectPr w:rsidR="00246296" w:rsidSect="00246296">
          <w:footnotePr>
            <w:numRestart w:val="eachSect"/>
          </w:footnotePr>
          <w:type w:val="continuous"/>
          <w:pgSz w:w="11907" w:h="16840" w:code="9"/>
          <w:pgMar w:top="1416" w:right="1133" w:bottom="1133" w:left="1133" w:header="850" w:footer="340" w:gutter="0"/>
          <w:pgNumType w:start="1"/>
          <w:cols w:num="2" w:space="720"/>
        </w:sectPr>
      </w:pPr>
      <w:r>
        <w:object w:dxaOrig="4312" w:dyaOrig="2157">
          <v:shape id="_x0000_i1026" type="#_x0000_t75" style="width:197.75pt;height:76.85pt" o:ole="">
            <v:imagedata r:id="rId12" o:title=""/>
          </v:shape>
          <o:OLEObject Type="Embed" ProgID="Visio.Drawing.11" ShapeID="_x0000_i1026" DrawAspect="Content" ObjectID="_1595424191" r:id="rId13"/>
        </w:object>
      </w:r>
    </w:p>
    <w:p w:rsidR="007D66F1" w:rsidRDefault="007D66F1" w:rsidP="00246296">
      <w:pPr>
        <w:keepNext/>
      </w:pPr>
    </w:p>
    <w:p w:rsidR="007D66F1" w:rsidRDefault="007D66F1" w:rsidP="00246296">
      <w:pPr>
        <w:pStyle w:val="a8"/>
        <w:jc w:val="center"/>
        <w:rPr>
          <w:lang w:eastAsia="zh-CN"/>
        </w:rPr>
      </w:pPr>
      <w:bookmarkStart w:id="4" w:name="_Ref498633323"/>
      <w:r>
        <w:t xml:space="preserve">Figure </w:t>
      </w:r>
      <w:fldSimple w:instr=" SEQ Figure \* ARABIC ">
        <w:r>
          <w:rPr>
            <w:noProof/>
          </w:rPr>
          <w:t>1</w:t>
        </w:r>
      </w:fldSimple>
      <w:bookmarkEnd w:id="4"/>
      <w:r w:rsidR="00522CCF">
        <w:rPr>
          <w:noProof/>
        </w:rPr>
        <w:t>: CG</w:t>
      </w:r>
      <w:r>
        <w:rPr>
          <w:noProof/>
        </w:rPr>
        <w:t>s with same numerology but different slot formats</w:t>
      </w:r>
      <w:r w:rsidR="00246296">
        <w:rPr>
          <w:lang w:eastAsia="zh-CN"/>
        </w:rPr>
        <w:t xml:space="preserve"> (left) and different numerologies (right)</w:t>
      </w:r>
    </w:p>
    <w:p w:rsidR="007D66F1" w:rsidRDefault="007D66F1" w:rsidP="00326130">
      <w:pPr>
        <w:keepNext/>
        <w:spacing w:before="120" w:afterLines="50" w:line="276" w:lineRule="auto"/>
        <w:jc w:val="center"/>
      </w:pPr>
    </w:p>
    <w:p w:rsidR="007D66F1" w:rsidRPr="008F50ED" w:rsidRDefault="008F50ED" w:rsidP="008F50ED">
      <w:pPr>
        <w:spacing w:before="120" w:after="0"/>
        <w:rPr>
          <w:lang w:eastAsia="zh-CN"/>
        </w:rPr>
      </w:pPr>
      <w:r>
        <w:rPr>
          <w:lang w:eastAsia="zh-CN"/>
        </w:rPr>
        <w:t xml:space="preserve">UE would compute the </w:t>
      </w:r>
      <w:proofErr w:type="spellStart"/>
      <w:r>
        <w:rPr>
          <w:lang w:eastAsia="zh-CN"/>
        </w:rPr>
        <w:t>Tx</w:t>
      </w:r>
      <w:proofErr w:type="spellEnd"/>
      <w:r>
        <w:rPr>
          <w:lang w:eastAsia="zh-CN"/>
        </w:rPr>
        <w:t xml:space="preserve"> power of LTE and NR independently based on power control</w:t>
      </w:r>
      <w:proofErr w:type="gramStart"/>
      <w:r>
        <w:rPr>
          <w:lang w:eastAsia="zh-CN"/>
        </w:rPr>
        <w:t xml:space="preserve">. </w:t>
      </w:r>
      <w:proofErr w:type="gramEnd"/>
      <w:r>
        <w:rPr>
          <w:lang w:eastAsia="zh-CN"/>
        </w:rPr>
        <w:t>NR has faster processing comparing to that of LTE.  The power control of NR transmission might be able to take into account of LTE power setting at the NR baseband when they are scheduled to transmit in the same UL subframe.  Inversely, LTE is not able to take into account the power setting of NR UL transmission since LTE has long processing timeline</w:t>
      </w:r>
      <w:proofErr w:type="gramStart"/>
      <w:r>
        <w:rPr>
          <w:lang w:eastAsia="zh-CN"/>
        </w:rPr>
        <w:t xml:space="preserve">.    </w:t>
      </w:r>
      <w:proofErr w:type="gramEnd"/>
      <w:r>
        <w:rPr>
          <w:lang w:eastAsia="zh-CN"/>
        </w:rPr>
        <w:t xml:space="preserve">When the total </w:t>
      </w:r>
      <w:proofErr w:type="spellStart"/>
      <w:r>
        <w:rPr>
          <w:lang w:eastAsia="zh-CN"/>
        </w:rPr>
        <w:t>Tx</w:t>
      </w:r>
      <w:proofErr w:type="spellEnd"/>
      <w:r>
        <w:rPr>
          <w:lang w:eastAsia="zh-CN"/>
        </w:rPr>
        <w:t xml:space="preserve"> power might exceed the total output power of the UE power class in the some symbols for NE-DC, UE has to scale down the </w:t>
      </w:r>
      <w:proofErr w:type="spellStart"/>
      <w:r>
        <w:rPr>
          <w:lang w:eastAsia="zh-CN"/>
        </w:rPr>
        <w:t>Tx</w:t>
      </w:r>
      <w:proofErr w:type="spellEnd"/>
      <w:r>
        <w:rPr>
          <w:lang w:eastAsia="zh-CN"/>
        </w:rPr>
        <w:t xml:space="preserve"> power when the total output power exceeds the configured maximum power at some OFDM symbols due to shorter UL slot format or larger subcarrier spacing in NR</w:t>
      </w:r>
      <w:proofErr w:type="gramStart"/>
      <w:r>
        <w:rPr>
          <w:lang w:eastAsia="zh-CN"/>
        </w:rPr>
        <w:t xml:space="preserve">.   </w:t>
      </w:r>
      <w:proofErr w:type="gramEnd"/>
      <w:r w:rsidR="00143858">
        <w:rPr>
          <w:rFonts w:eastAsiaTheme="minorEastAsia"/>
          <w:lang w:val="en-US" w:eastAsia="zh-CN"/>
        </w:rPr>
        <w:t xml:space="preserve">For NE-DC, the NR PUSCH transmission power would be more robust with shorter interval comparing to that of LTE due to different slot formats or numerology.   </w:t>
      </w:r>
      <w:r w:rsidR="007D66F1">
        <w:rPr>
          <w:rFonts w:eastAsiaTheme="minorEastAsia"/>
          <w:lang w:val="en-US" w:eastAsia="zh-CN"/>
        </w:rPr>
        <w:t xml:space="preserve"> </w:t>
      </w:r>
      <w:r w:rsidR="00143858">
        <w:rPr>
          <w:rFonts w:eastAsiaTheme="minorEastAsia"/>
          <w:lang w:val="en-US" w:eastAsia="zh-CN"/>
        </w:rPr>
        <w:t xml:space="preserve">The power scaling or power dropping on LTE </w:t>
      </w:r>
      <w:proofErr w:type="spellStart"/>
      <w:r w:rsidR="00143858">
        <w:rPr>
          <w:rFonts w:eastAsiaTheme="minorEastAsia"/>
          <w:lang w:val="en-US" w:eastAsia="zh-CN"/>
        </w:rPr>
        <w:t>SCell</w:t>
      </w:r>
      <w:proofErr w:type="spellEnd"/>
      <w:r w:rsidR="00143858">
        <w:rPr>
          <w:rFonts w:eastAsiaTheme="minorEastAsia"/>
          <w:lang w:val="en-US" w:eastAsia="zh-CN"/>
        </w:rPr>
        <w:t xml:space="preserve"> to protect the NR </w:t>
      </w:r>
      <w:proofErr w:type="spellStart"/>
      <w:r w:rsidR="00143858">
        <w:rPr>
          <w:rFonts w:eastAsiaTheme="minorEastAsia"/>
          <w:lang w:val="en-US" w:eastAsia="zh-CN"/>
        </w:rPr>
        <w:t>PCell</w:t>
      </w:r>
      <w:proofErr w:type="spellEnd"/>
      <w:r w:rsidR="00143858">
        <w:rPr>
          <w:rFonts w:eastAsiaTheme="minorEastAsia"/>
          <w:lang w:val="en-US" w:eastAsia="zh-CN"/>
        </w:rPr>
        <w:t xml:space="preserve"> would be difficult since the LTE PUSCH transmission interval is longer than that of NR PUSCH and over the maximum power might happen in the middle of LTE subframe</w:t>
      </w:r>
      <w:r w:rsidR="006A2D0A">
        <w:rPr>
          <w:rFonts w:eastAsiaTheme="minorEastAsia"/>
          <w:lang w:val="en-US" w:eastAsia="zh-CN"/>
        </w:rPr>
        <w:t xml:space="preserve"> and LTE has longer processing time than that of NR.  </w:t>
      </w:r>
      <w:r w:rsidR="007D66F1">
        <w:rPr>
          <w:rFonts w:eastAsiaTheme="minorEastAsia"/>
          <w:lang w:val="en-US" w:eastAsia="zh-CN"/>
        </w:rPr>
        <w:t xml:space="preserve"> </w:t>
      </w:r>
      <w:r w:rsidR="00143858">
        <w:rPr>
          <w:rFonts w:eastAsiaTheme="minorEastAsia"/>
          <w:lang w:val="en-US" w:eastAsia="zh-CN"/>
        </w:rPr>
        <w:t xml:space="preserve">Since there is no request from operator to protect the NR </w:t>
      </w:r>
      <w:proofErr w:type="spellStart"/>
      <w:r w:rsidR="00143858">
        <w:rPr>
          <w:rFonts w:eastAsiaTheme="minorEastAsia"/>
          <w:lang w:val="en-US" w:eastAsia="zh-CN"/>
        </w:rPr>
        <w:t>PCell</w:t>
      </w:r>
      <w:proofErr w:type="spellEnd"/>
      <w:r w:rsidR="00143858">
        <w:rPr>
          <w:rFonts w:eastAsiaTheme="minorEastAsia"/>
          <w:lang w:val="en-US" w:eastAsia="zh-CN"/>
        </w:rPr>
        <w:t xml:space="preserve">, </w:t>
      </w:r>
      <w:r w:rsidR="007D66F1">
        <w:rPr>
          <w:rFonts w:eastAsiaTheme="minorEastAsia"/>
          <w:lang w:val="en-US" w:eastAsia="zh-CN"/>
        </w:rPr>
        <w:t>it would be UE implementation choice of scaling the transmit power</w:t>
      </w:r>
      <w:r w:rsidR="00143858" w:rsidRPr="00143858">
        <w:rPr>
          <w:rFonts w:eastAsiaTheme="minorEastAsia"/>
          <w:lang w:val="en-US" w:eastAsia="zh-CN"/>
        </w:rPr>
        <w:t xml:space="preserve"> </w:t>
      </w:r>
      <w:r w:rsidR="00143858">
        <w:rPr>
          <w:rFonts w:eastAsiaTheme="minorEastAsia"/>
          <w:lang w:val="en-US" w:eastAsia="zh-CN"/>
        </w:rPr>
        <w:t>If the UE output power at some OFDM symbols exceeds the maximum power of the UE power class for NE-DC</w:t>
      </w:r>
      <w:r w:rsidR="007D66F1">
        <w:rPr>
          <w:rFonts w:eastAsiaTheme="minorEastAsia"/>
          <w:lang w:val="en-US" w:eastAsia="zh-CN"/>
        </w:rPr>
        <w:t xml:space="preserve">.   </w:t>
      </w:r>
    </w:p>
    <w:p w:rsidR="00246296" w:rsidRDefault="00246296" w:rsidP="00143858">
      <w:pPr>
        <w:rPr>
          <w:rFonts w:eastAsia="宋体"/>
          <w:b/>
          <w:szCs w:val="22"/>
          <w:lang w:eastAsia="zh-CN"/>
        </w:rPr>
      </w:pPr>
    </w:p>
    <w:p w:rsidR="00143858" w:rsidRPr="00143858" w:rsidRDefault="006A2D0A" w:rsidP="00143858">
      <w:pPr>
        <w:rPr>
          <w:rFonts w:eastAsia="宋体"/>
          <w:b/>
          <w:szCs w:val="22"/>
          <w:lang w:eastAsia="zh-CN"/>
        </w:rPr>
      </w:pPr>
      <w:r>
        <w:rPr>
          <w:rFonts w:eastAsia="宋体"/>
          <w:b/>
          <w:szCs w:val="22"/>
          <w:lang w:eastAsia="zh-CN"/>
        </w:rPr>
        <w:t>Proposal 2</w:t>
      </w:r>
      <w:r w:rsidR="006424EB">
        <w:rPr>
          <w:rFonts w:eastAsia="宋体"/>
          <w:b/>
          <w:szCs w:val="22"/>
          <w:lang w:eastAsia="zh-CN"/>
        </w:rPr>
        <w:t xml:space="preserve">:  </w:t>
      </w:r>
      <w:r>
        <w:rPr>
          <w:rFonts w:eastAsia="宋体"/>
          <w:b/>
          <w:szCs w:val="22"/>
          <w:lang w:eastAsia="zh-CN"/>
        </w:rPr>
        <w:t>For NE-DC dynamic power sharing with total power overbooking, the power scaling would depend on</w:t>
      </w:r>
      <w:r w:rsidR="00143858" w:rsidRPr="00143858">
        <w:rPr>
          <w:rFonts w:eastAsia="宋体"/>
          <w:b/>
          <w:szCs w:val="22"/>
          <w:lang w:eastAsia="zh-CN"/>
        </w:rPr>
        <w:t xml:space="preserve"> U</w:t>
      </w:r>
      <w:r w:rsidR="001F5C25">
        <w:rPr>
          <w:rFonts w:eastAsia="宋体"/>
          <w:b/>
          <w:szCs w:val="22"/>
          <w:lang w:eastAsia="zh-CN"/>
        </w:rPr>
        <w:t>E implementation solution</w:t>
      </w:r>
      <w:r w:rsidR="00143858" w:rsidRPr="00143858">
        <w:rPr>
          <w:rFonts w:eastAsia="宋体"/>
          <w:b/>
          <w:szCs w:val="22"/>
          <w:lang w:eastAsia="zh-CN"/>
        </w:rPr>
        <w:t xml:space="preserve"> </w:t>
      </w:r>
      <w:r>
        <w:rPr>
          <w:rFonts w:eastAsia="宋体"/>
          <w:b/>
          <w:szCs w:val="22"/>
          <w:lang w:eastAsia="zh-CN"/>
        </w:rPr>
        <w:t xml:space="preserve">when </w:t>
      </w:r>
      <w:r w:rsidR="00143858" w:rsidRPr="00143858">
        <w:rPr>
          <w:rFonts w:eastAsia="宋体"/>
          <w:b/>
          <w:szCs w:val="22"/>
          <w:lang w:eastAsia="zh-CN"/>
        </w:rPr>
        <w:t>UE output power at some OFDM symbols exceeds the maximum power o</w:t>
      </w:r>
      <w:r w:rsidR="001F5C25">
        <w:rPr>
          <w:rFonts w:eastAsia="宋体"/>
          <w:b/>
          <w:szCs w:val="22"/>
          <w:lang w:eastAsia="zh-CN"/>
        </w:rPr>
        <w:t>f</w:t>
      </w:r>
      <w:r>
        <w:rPr>
          <w:rFonts w:eastAsia="宋体"/>
          <w:b/>
          <w:szCs w:val="22"/>
          <w:lang w:eastAsia="zh-CN"/>
        </w:rPr>
        <w:t xml:space="preserve"> the UE power class.</w:t>
      </w:r>
    </w:p>
    <w:p w:rsidR="00EE52B4" w:rsidRPr="00DA6C58"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473378" w:rsidRDefault="00020D4B" w:rsidP="00326130">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DA6C58">
        <w:rPr>
          <w:rFonts w:eastAsia="宋体" w:hint="eastAsia"/>
          <w:szCs w:val="22"/>
          <w:lang w:val="en-US" w:eastAsia="zh-CN"/>
        </w:rPr>
        <w:t xml:space="preserve">s contribution, we discuss </w:t>
      </w:r>
      <w:r w:rsidR="006A2D0A">
        <w:rPr>
          <w:rFonts w:eastAsia="宋体"/>
          <w:szCs w:val="22"/>
          <w:lang w:val="en-US" w:eastAsia="zh-CN"/>
        </w:rPr>
        <w:t xml:space="preserve">the power control of intra-band EN-DC and </w:t>
      </w:r>
      <w:r w:rsidR="00763234">
        <w:rPr>
          <w:rFonts w:eastAsia="宋体"/>
          <w:szCs w:val="22"/>
          <w:lang w:val="en-US" w:eastAsia="zh-CN"/>
        </w:rPr>
        <w:t xml:space="preserve">dynamic </w:t>
      </w:r>
      <w:r w:rsidR="00473378">
        <w:rPr>
          <w:rFonts w:eastAsia="宋体"/>
          <w:szCs w:val="22"/>
          <w:lang w:val="en-US" w:eastAsia="zh-CN"/>
        </w:rPr>
        <w:t xml:space="preserve">power sharing mechanism for </w:t>
      </w:r>
      <w:r w:rsidR="001F5C25">
        <w:rPr>
          <w:rFonts w:eastAsia="宋体"/>
          <w:szCs w:val="22"/>
          <w:lang w:val="en-US" w:eastAsia="zh-CN"/>
        </w:rPr>
        <w:t>NE-DC (</w:t>
      </w:r>
      <w:r w:rsidR="00473378">
        <w:rPr>
          <w:rFonts w:eastAsia="宋体"/>
          <w:szCs w:val="22"/>
          <w:lang w:val="en-US" w:eastAsia="zh-CN"/>
        </w:rPr>
        <w:t>NR and LTE dual connectivity</w:t>
      </w:r>
      <w:r w:rsidR="001F5C25">
        <w:rPr>
          <w:rFonts w:eastAsia="宋体"/>
          <w:szCs w:val="22"/>
          <w:lang w:val="en-US" w:eastAsia="zh-CN"/>
        </w:rPr>
        <w:t xml:space="preserve"> for architecture option 4)</w:t>
      </w:r>
      <w:r w:rsidR="00473378">
        <w:rPr>
          <w:rFonts w:eastAsia="宋体"/>
          <w:szCs w:val="22"/>
          <w:lang w:val="en-US" w:eastAsia="zh-CN"/>
        </w:rPr>
        <w:t>.   With all the analysis, we propose</w:t>
      </w:r>
      <w:r w:rsidR="00DA6C58">
        <w:rPr>
          <w:rFonts w:eastAsia="宋体"/>
          <w:szCs w:val="22"/>
          <w:lang w:val="en-US" w:eastAsia="zh-CN"/>
        </w:rPr>
        <w:t xml:space="preserve"> the following,</w:t>
      </w:r>
    </w:p>
    <w:p w:rsidR="006A2D0A" w:rsidRPr="006A2D0A" w:rsidRDefault="006A2D0A" w:rsidP="006A2D0A">
      <w:pPr>
        <w:pStyle w:val="af5"/>
        <w:numPr>
          <w:ilvl w:val="0"/>
          <w:numId w:val="19"/>
        </w:numPr>
        <w:spacing w:before="120" w:after="0"/>
        <w:rPr>
          <w:szCs w:val="22"/>
        </w:rPr>
      </w:pPr>
      <w:r w:rsidRPr="006A2D0A">
        <w:rPr>
          <w:szCs w:val="22"/>
        </w:rPr>
        <w:t>Proposal 1: RAN1 power control in LTE and NR are feasible for intra-band EN-DC without modification</w:t>
      </w:r>
    </w:p>
    <w:p w:rsidR="006A2D0A" w:rsidRPr="006A2D0A" w:rsidRDefault="006A2D0A" w:rsidP="006A2D0A">
      <w:pPr>
        <w:pStyle w:val="af5"/>
        <w:numPr>
          <w:ilvl w:val="0"/>
          <w:numId w:val="19"/>
        </w:numPr>
        <w:rPr>
          <w:rFonts w:eastAsia="宋体"/>
          <w:szCs w:val="22"/>
          <w:lang w:eastAsia="zh-CN"/>
        </w:rPr>
      </w:pPr>
      <w:r w:rsidRPr="006A2D0A">
        <w:rPr>
          <w:rFonts w:eastAsia="宋体"/>
          <w:szCs w:val="22"/>
          <w:lang w:eastAsia="zh-CN"/>
        </w:rPr>
        <w:lastRenderedPageBreak/>
        <w:t>Proposal 2:  For NE-DC dynamic power sharing with total power overbooking, the power scaling would depend on UE implementation solution when UE output power at some OFDM symbols exceeds the maximum power of the UE power class.</w:t>
      </w:r>
    </w:p>
    <w:p w:rsidR="00374AAB" w:rsidRPr="00EE52B4" w:rsidRDefault="00374AAB" w:rsidP="00020D4B">
      <w:pPr>
        <w:spacing w:after="120"/>
        <w:jc w:val="both"/>
        <w:rPr>
          <w:rFonts w:eastAsia="宋体"/>
          <w:lang w:eastAsia="zh-CN"/>
        </w:rPr>
      </w:pPr>
    </w:p>
    <w:p w:rsidR="00E34167" w:rsidRPr="006424EB" w:rsidRDefault="00B603D4" w:rsidP="006424EB">
      <w:pPr>
        <w:pStyle w:val="1"/>
        <w:rPr>
          <w:rFonts w:eastAsia="宋体"/>
          <w:lang w:eastAsia="zh-CN"/>
        </w:rPr>
      </w:pPr>
      <w:r w:rsidRPr="006D7672">
        <w:rPr>
          <w:rFonts w:eastAsia="宋体" w:hint="eastAsia"/>
          <w:lang w:eastAsia="zh-CN"/>
        </w:rPr>
        <w:t>Reference</w:t>
      </w:r>
      <w:r w:rsidR="006D7672">
        <w:rPr>
          <w:rFonts w:eastAsia="宋体"/>
          <w:lang w:eastAsia="zh-CN"/>
        </w:rPr>
        <w:t>s</w:t>
      </w:r>
      <w:bookmarkStart w:id="5" w:name="_Ref446506608"/>
      <w:bookmarkStart w:id="6" w:name="_Ref446507216"/>
      <w:bookmarkStart w:id="7" w:name="_Ref446511358"/>
      <w:bookmarkEnd w:id="5"/>
      <w:bookmarkEnd w:id="6"/>
      <w:bookmarkEnd w:id="7"/>
    </w:p>
    <w:p w:rsidR="00A24B50" w:rsidRPr="00A24B50" w:rsidRDefault="00A24B50" w:rsidP="00DC1340">
      <w:pPr>
        <w:pStyle w:val="af5"/>
        <w:ind w:left="420"/>
      </w:pPr>
    </w:p>
    <w:p w:rsidR="00382630" w:rsidRPr="00107724" w:rsidRDefault="00382630" w:rsidP="00382630">
      <w:pPr>
        <w:pStyle w:val="af5"/>
        <w:numPr>
          <w:ilvl w:val="0"/>
          <w:numId w:val="8"/>
        </w:numPr>
      </w:pPr>
      <w:bookmarkStart w:id="8" w:name="_Ref520314936"/>
      <w:bookmarkStart w:id="9" w:name="_Ref485235721"/>
      <w:bookmarkStart w:id="10" w:name="_Ref481536347"/>
      <w:r>
        <w:t>RP-181473, “</w:t>
      </w:r>
      <w:r w:rsidRPr="00107724">
        <w:t xml:space="preserve">Rel-15 Work Item Exception for New Radio Access Technology </w:t>
      </w:r>
      <w:r>
        <w:t>–</w:t>
      </w:r>
      <w:r w:rsidRPr="00107724">
        <w:t xml:space="preserve"> Core</w:t>
      </w:r>
      <w:r>
        <w:t xml:space="preserve">”, </w:t>
      </w:r>
      <w:proofErr w:type="spellStart"/>
      <w:r>
        <w:t>DoCoMo</w:t>
      </w:r>
      <w:bookmarkEnd w:id="8"/>
      <w:proofErr w:type="spellEnd"/>
    </w:p>
    <w:p w:rsidR="00FB3592" w:rsidRPr="00FB3592" w:rsidRDefault="00FB3592" w:rsidP="00FB3592">
      <w:pPr>
        <w:pStyle w:val="af5"/>
        <w:numPr>
          <w:ilvl w:val="0"/>
          <w:numId w:val="8"/>
        </w:numPr>
        <w:rPr>
          <w:lang w:val="en-US"/>
        </w:rPr>
      </w:pPr>
      <w:bookmarkStart w:id="11" w:name="_Ref520498083"/>
      <w:r w:rsidRPr="00FB3592">
        <w:rPr>
          <w:lang w:val="en-US"/>
        </w:rPr>
        <w:t>R1-1807805</w:t>
      </w:r>
      <w:r w:rsidRPr="00FB3592">
        <w:rPr>
          <w:lang w:val="en-US"/>
        </w:rPr>
        <w:tab/>
        <w:t xml:space="preserve">, “LS on RAN4 agreement on </w:t>
      </w:r>
      <w:proofErr w:type="spellStart"/>
      <w:r w:rsidRPr="00FB3592">
        <w:rPr>
          <w:lang w:val="en-US"/>
        </w:rPr>
        <w:t>intraband</w:t>
      </w:r>
      <w:proofErr w:type="spellEnd"/>
      <w:r w:rsidRPr="00FB3592">
        <w:rPr>
          <w:lang w:val="en-US"/>
        </w:rPr>
        <w:t xml:space="preserve"> EN-DC A-MPR”, RAN4</w:t>
      </w:r>
      <w:bookmarkEnd w:id="11"/>
    </w:p>
    <w:p w:rsidR="00FB3592" w:rsidRPr="00FB3592" w:rsidRDefault="00FB3592" w:rsidP="00FB3592">
      <w:pPr>
        <w:pStyle w:val="af5"/>
        <w:numPr>
          <w:ilvl w:val="0"/>
          <w:numId w:val="8"/>
        </w:numPr>
      </w:pPr>
      <w:r w:rsidRPr="00FB3592">
        <w:t>R1-1806302, “Dynamic Power Sharing for NE-DC”, CATT</w:t>
      </w:r>
    </w:p>
    <w:p w:rsidR="00FB3592" w:rsidRDefault="00FB3592" w:rsidP="00407DEA">
      <w:pPr>
        <w:pStyle w:val="af5"/>
        <w:numPr>
          <w:ilvl w:val="0"/>
          <w:numId w:val="8"/>
        </w:numPr>
        <w:rPr>
          <w:lang w:eastAsia="ja-JP"/>
        </w:rPr>
      </w:pPr>
      <w:r w:rsidRPr="00FB3592">
        <w:t>R1-1807865</w:t>
      </w:r>
      <w:r w:rsidRPr="00FB3592">
        <w:rPr>
          <w:b/>
        </w:rPr>
        <w:tab/>
      </w:r>
      <w:r>
        <w:t>, “</w:t>
      </w:r>
      <w:r w:rsidRPr="00DB6490">
        <w:t>Proposals on LTE-NR coexistence</w:t>
      </w:r>
      <w:r>
        <w:t>”,  Qualcomm</w:t>
      </w:r>
      <w:bookmarkEnd w:id="9"/>
      <w:bookmarkEnd w:id="10"/>
    </w:p>
    <w:p w:rsidR="004A41CF" w:rsidRPr="00407DEA" w:rsidRDefault="00FB3592" w:rsidP="00407DEA">
      <w:pPr>
        <w:pStyle w:val="af5"/>
        <w:numPr>
          <w:ilvl w:val="0"/>
          <w:numId w:val="8"/>
        </w:numPr>
        <w:rPr>
          <w:lang w:eastAsia="ja-JP"/>
        </w:rPr>
      </w:pPr>
      <w:bookmarkStart w:id="12" w:name="_Ref520500809"/>
      <w:r w:rsidRPr="00FB3592">
        <w:rPr>
          <w:lang w:eastAsia="ja-JP"/>
        </w:rPr>
        <w:t>R1-1807974</w:t>
      </w:r>
      <w:r w:rsidRPr="00FB3592">
        <w:rPr>
          <w:lang w:eastAsia="ja-JP"/>
        </w:rPr>
        <w:tab/>
      </w:r>
      <w:r>
        <w:rPr>
          <w:lang w:eastAsia="ja-JP"/>
        </w:rPr>
        <w:t>, “</w:t>
      </w:r>
      <w:r w:rsidRPr="00FB3592">
        <w:rPr>
          <w:lang w:eastAsia="ja-JP"/>
        </w:rPr>
        <w:t xml:space="preserve">Reply LS on RAN4 agreement on </w:t>
      </w:r>
      <w:proofErr w:type="spellStart"/>
      <w:r w:rsidRPr="00FB3592">
        <w:rPr>
          <w:lang w:eastAsia="ja-JP"/>
        </w:rPr>
        <w:t>intraband</w:t>
      </w:r>
      <w:proofErr w:type="spellEnd"/>
      <w:r w:rsidRPr="00FB3592">
        <w:rPr>
          <w:lang w:eastAsia="ja-JP"/>
        </w:rPr>
        <w:t xml:space="preserve"> EN-DC A-MPR</w:t>
      </w:r>
      <w:r>
        <w:rPr>
          <w:lang w:eastAsia="ja-JP"/>
        </w:rPr>
        <w:t xml:space="preserve">”,  </w:t>
      </w:r>
      <w:r w:rsidRPr="00FB3592">
        <w:rPr>
          <w:lang w:eastAsia="ja-JP"/>
        </w:rPr>
        <w:t>RAN1</w:t>
      </w:r>
      <w:bookmarkEnd w:id="12"/>
    </w:p>
    <w:sectPr w:rsidR="004A41CF" w:rsidRPr="00407DEA" w:rsidSect="00246296">
      <w:footnotePr>
        <w:numRestart w:val="eachSect"/>
      </w:footnotePr>
      <w:type w:val="continuous"/>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880" w:rsidRDefault="00F35880">
      <w:r>
        <w:separator/>
      </w:r>
    </w:p>
  </w:endnote>
  <w:endnote w:type="continuationSeparator" w:id="0">
    <w:p w:rsidR="00F35880" w:rsidRDefault="00F3588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405B6A">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405B6A">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326130">
      <w:rPr>
        <w:rStyle w:val="a6"/>
      </w:rPr>
      <w:t>1</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880" w:rsidRDefault="00F35880">
      <w:r>
        <w:separator/>
      </w:r>
    </w:p>
  </w:footnote>
  <w:footnote w:type="continuationSeparator" w:id="0">
    <w:p w:rsidR="00F35880" w:rsidRDefault="00F358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0">
    <w:nsid w:val="2F4F294A"/>
    <w:multiLevelType w:val="hybridMultilevel"/>
    <w:tmpl w:val="92321FC0"/>
    <w:lvl w:ilvl="0" w:tplc="4D46F4EE">
      <w:start w:val="1"/>
      <w:numFmt w:val="bullet"/>
      <w:lvlText w:val="•"/>
      <w:lvlJc w:val="left"/>
      <w:pPr>
        <w:tabs>
          <w:tab w:val="num" w:pos="720"/>
        </w:tabs>
        <w:ind w:left="720" w:hanging="360"/>
      </w:pPr>
      <w:rPr>
        <w:rFonts w:ascii="Arial" w:hAnsi="Arial" w:hint="default"/>
      </w:rPr>
    </w:lvl>
    <w:lvl w:ilvl="1" w:tplc="FB383E0C">
      <w:start w:val="1584"/>
      <w:numFmt w:val="bullet"/>
      <w:lvlText w:val="−"/>
      <w:lvlJc w:val="left"/>
      <w:pPr>
        <w:tabs>
          <w:tab w:val="num" w:pos="1440"/>
        </w:tabs>
        <w:ind w:left="1440" w:hanging="360"/>
      </w:pPr>
      <w:rPr>
        <w:rFonts w:ascii="Arial" w:hAnsi="Arial" w:hint="default"/>
      </w:rPr>
    </w:lvl>
    <w:lvl w:ilvl="2" w:tplc="DACA0FC2">
      <w:start w:val="1584"/>
      <w:numFmt w:val="bullet"/>
      <w:lvlText w:val="−"/>
      <w:lvlJc w:val="left"/>
      <w:pPr>
        <w:tabs>
          <w:tab w:val="num" w:pos="2160"/>
        </w:tabs>
        <w:ind w:left="2160" w:hanging="360"/>
      </w:pPr>
      <w:rPr>
        <w:rFonts w:ascii="Arial" w:hAnsi="Arial" w:hint="default"/>
      </w:rPr>
    </w:lvl>
    <w:lvl w:ilvl="3" w:tplc="D7743E92" w:tentative="1">
      <w:start w:val="1"/>
      <w:numFmt w:val="bullet"/>
      <w:lvlText w:val="•"/>
      <w:lvlJc w:val="left"/>
      <w:pPr>
        <w:tabs>
          <w:tab w:val="num" w:pos="2880"/>
        </w:tabs>
        <w:ind w:left="2880" w:hanging="360"/>
      </w:pPr>
      <w:rPr>
        <w:rFonts w:ascii="Arial" w:hAnsi="Arial" w:hint="default"/>
      </w:rPr>
    </w:lvl>
    <w:lvl w:ilvl="4" w:tplc="F39C6EFA" w:tentative="1">
      <w:start w:val="1"/>
      <w:numFmt w:val="bullet"/>
      <w:lvlText w:val="•"/>
      <w:lvlJc w:val="left"/>
      <w:pPr>
        <w:tabs>
          <w:tab w:val="num" w:pos="3600"/>
        </w:tabs>
        <w:ind w:left="3600" w:hanging="360"/>
      </w:pPr>
      <w:rPr>
        <w:rFonts w:ascii="Arial" w:hAnsi="Arial" w:hint="default"/>
      </w:rPr>
    </w:lvl>
    <w:lvl w:ilvl="5" w:tplc="CB982D70" w:tentative="1">
      <w:start w:val="1"/>
      <w:numFmt w:val="bullet"/>
      <w:lvlText w:val="•"/>
      <w:lvlJc w:val="left"/>
      <w:pPr>
        <w:tabs>
          <w:tab w:val="num" w:pos="4320"/>
        </w:tabs>
        <w:ind w:left="4320" w:hanging="360"/>
      </w:pPr>
      <w:rPr>
        <w:rFonts w:ascii="Arial" w:hAnsi="Arial" w:hint="default"/>
      </w:rPr>
    </w:lvl>
    <w:lvl w:ilvl="6" w:tplc="80F476BC" w:tentative="1">
      <w:start w:val="1"/>
      <w:numFmt w:val="bullet"/>
      <w:lvlText w:val="•"/>
      <w:lvlJc w:val="left"/>
      <w:pPr>
        <w:tabs>
          <w:tab w:val="num" w:pos="5040"/>
        </w:tabs>
        <w:ind w:left="5040" w:hanging="360"/>
      </w:pPr>
      <w:rPr>
        <w:rFonts w:ascii="Arial" w:hAnsi="Arial" w:hint="default"/>
      </w:rPr>
    </w:lvl>
    <w:lvl w:ilvl="7" w:tplc="8E2CD33E" w:tentative="1">
      <w:start w:val="1"/>
      <w:numFmt w:val="bullet"/>
      <w:lvlText w:val="•"/>
      <w:lvlJc w:val="left"/>
      <w:pPr>
        <w:tabs>
          <w:tab w:val="num" w:pos="5760"/>
        </w:tabs>
        <w:ind w:left="5760" w:hanging="360"/>
      </w:pPr>
      <w:rPr>
        <w:rFonts w:ascii="Arial" w:hAnsi="Arial" w:hint="default"/>
      </w:rPr>
    </w:lvl>
    <w:lvl w:ilvl="8" w:tplc="8D929B90" w:tentative="1">
      <w:start w:val="1"/>
      <w:numFmt w:val="bullet"/>
      <w:lvlText w:val="•"/>
      <w:lvlJc w:val="left"/>
      <w:pPr>
        <w:tabs>
          <w:tab w:val="num" w:pos="6480"/>
        </w:tabs>
        <w:ind w:left="6480" w:hanging="360"/>
      </w:pPr>
      <w:rPr>
        <w:rFonts w:ascii="Arial" w:hAnsi="Arial" w:hint="default"/>
      </w:rPr>
    </w:lvl>
  </w:abstractNum>
  <w:abstractNum w:abstractNumId="11">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AAD46B9"/>
    <w:multiLevelType w:val="hybridMultilevel"/>
    <w:tmpl w:val="51D6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2">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3"/>
  </w:num>
  <w:num w:numId="4">
    <w:abstractNumId w:val="16"/>
  </w:num>
  <w:num w:numId="5">
    <w:abstractNumId w:val="1"/>
  </w:num>
  <w:num w:numId="6">
    <w:abstractNumId w:val="7"/>
  </w:num>
  <w:num w:numId="7">
    <w:abstractNumId w:val="17"/>
  </w:num>
  <w:num w:numId="8">
    <w:abstractNumId w:val="6"/>
  </w:num>
  <w:num w:numId="9">
    <w:abstractNumId w:val="2"/>
  </w:num>
  <w:num w:numId="10">
    <w:abstractNumId w:val="21"/>
  </w:num>
  <w:num w:numId="11">
    <w:abstractNumId w:val="14"/>
  </w:num>
  <w:num w:numId="12">
    <w:abstractNumId w:val="15"/>
  </w:num>
  <w:num w:numId="13">
    <w:abstractNumId w:val="4"/>
  </w:num>
  <w:num w:numId="14">
    <w:abstractNumId w:val="9"/>
  </w:num>
  <w:num w:numId="15">
    <w:abstractNumId w:val="8"/>
  </w:num>
  <w:num w:numId="16">
    <w:abstractNumId w:val="12"/>
  </w:num>
  <w:num w:numId="17">
    <w:abstractNumId w:val="20"/>
  </w:num>
  <w:num w:numId="18">
    <w:abstractNumId w:val="11"/>
  </w:num>
  <w:num w:numId="19">
    <w:abstractNumId w:val="19"/>
  </w:num>
  <w:num w:numId="20">
    <w:abstractNumId w:val="0"/>
  </w:num>
  <w:num w:numId="21">
    <w:abstractNumId w:val="10"/>
  </w:num>
  <w:num w:numId="22">
    <w:abstractNumId w:val="5"/>
  </w:num>
  <w:num w:numId="23">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5529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30"/>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99D"/>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858"/>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5C25"/>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96"/>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4FD5"/>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130"/>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92"/>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1EBE"/>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630"/>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187"/>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B6A"/>
    <w:rsid w:val="00405FFC"/>
    <w:rsid w:val="0040652E"/>
    <w:rsid w:val="00406986"/>
    <w:rsid w:val="00407AFB"/>
    <w:rsid w:val="00407C43"/>
    <w:rsid w:val="00407DEA"/>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8BE"/>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A78"/>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0D"/>
    <w:rsid w:val="00521939"/>
    <w:rsid w:val="00521BAA"/>
    <w:rsid w:val="00521CF4"/>
    <w:rsid w:val="00521F3C"/>
    <w:rsid w:val="005225D7"/>
    <w:rsid w:val="00522CCF"/>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D0A"/>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DC"/>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234"/>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6F07"/>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6F1"/>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DF2"/>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3E"/>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0ED"/>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EA4"/>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E3D"/>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4671"/>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97E16"/>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8DA"/>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1DA"/>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172"/>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C23"/>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880"/>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592"/>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 ??,?????,????,목록 단락,リスト段落,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aliases w:val="- Bullets Char,?? ?? Char,????? Char,???? Char,목록 단락 Char,リスト段落 Char,Lista1 Char"/>
    <w:link w:val="af5"/>
    <w:uiPriority w:val="34"/>
    <w:qFormat/>
    <w:rsid w:val="00567638"/>
    <w:rPr>
      <w:rFonts w:eastAsia="Times New Roman"/>
      <w:lang w:val="en-GB" w:eastAsia="en-US"/>
    </w:rPr>
  </w:style>
  <w:style w:type="paragraph" w:styleId="12">
    <w:name w:val="index 1"/>
    <w:basedOn w:val="a0"/>
    <w:rsid w:val="00522CCF"/>
    <w:pPr>
      <w:keepLines/>
      <w:overflowPunct w:val="0"/>
      <w:autoSpaceDE w:val="0"/>
      <w:autoSpaceDN w:val="0"/>
      <w:adjustRightInd w:val="0"/>
      <w:spacing w:after="0"/>
      <w:textAlignment w:val="baseline"/>
    </w:pPr>
    <w:rPr>
      <w:rFonts w:eastAsia="MS Mincho"/>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8527973">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38259570">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68591-2BB4-40E1-B2BB-DF205607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7583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12</cp:revision>
  <cp:lastPrinted>2007-12-29T21:50:00Z</cp:lastPrinted>
  <dcterms:created xsi:type="dcterms:W3CDTF">2018-05-03T05:22:00Z</dcterms:created>
  <dcterms:modified xsi:type="dcterms:W3CDTF">2018-08-10T20:36:00Z</dcterms:modified>
</cp:coreProperties>
</file>