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F4FB6" w14:textId="43CD7CD7" w:rsidR="009B0DBB" w:rsidRPr="00E85AA4" w:rsidRDefault="009B0DBB" w:rsidP="009B0DBB">
      <w:pPr>
        <w:pStyle w:val="3GPPHeader"/>
        <w:spacing w:after="60"/>
        <w:rPr>
          <w:sz w:val="32"/>
          <w:szCs w:val="32"/>
          <w:highlight w:val="yellow"/>
          <w:lang w:val="en-US"/>
        </w:rPr>
      </w:pPr>
      <w:bookmarkStart w:id="0" w:name="_GoBack"/>
      <w:bookmarkEnd w:id="0"/>
      <w:r w:rsidRPr="00E85AA4">
        <w:rPr>
          <w:lang w:val="en-US"/>
        </w:rPr>
        <w:t>3GPP TSG-RAN WG1 Meeting #9</w:t>
      </w:r>
      <w:r w:rsidR="00C805D4">
        <w:rPr>
          <w:lang w:val="en-US"/>
        </w:rPr>
        <w:t>3</w:t>
      </w:r>
      <w:r w:rsidRPr="00E85AA4">
        <w:rPr>
          <w:lang w:val="en-US"/>
        </w:rPr>
        <w:tab/>
      </w:r>
      <w:r w:rsidRPr="00E85AA4">
        <w:rPr>
          <w:sz w:val="32"/>
          <w:szCs w:val="32"/>
          <w:lang w:val="en-US"/>
        </w:rPr>
        <w:t>R1-180</w:t>
      </w:r>
      <w:r w:rsidR="00C805D4">
        <w:rPr>
          <w:sz w:val="32"/>
          <w:szCs w:val="32"/>
          <w:lang w:val="en-US"/>
        </w:rPr>
        <w:t>7221</w:t>
      </w:r>
    </w:p>
    <w:p w14:paraId="5CE2E97E" w14:textId="069C99DC" w:rsidR="009B0DBB" w:rsidRPr="00E85AA4" w:rsidRDefault="00C805D4" w:rsidP="009B0DBB">
      <w:pPr>
        <w:pStyle w:val="3GPPHeader"/>
        <w:rPr>
          <w:lang w:val="en-US"/>
        </w:rPr>
      </w:pPr>
      <w:r>
        <w:rPr>
          <w:lang w:val="en-US"/>
        </w:rPr>
        <w:t>Busan</w:t>
      </w:r>
      <w:r w:rsidR="009B0DBB" w:rsidRPr="00E85AA4">
        <w:rPr>
          <w:lang w:val="en-US"/>
        </w:rPr>
        <w:t xml:space="preserve">, </w:t>
      </w:r>
      <w:r>
        <w:rPr>
          <w:lang w:val="en-US"/>
        </w:rPr>
        <w:t>Korea</w:t>
      </w:r>
      <w:r w:rsidR="009B0DBB" w:rsidRPr="00E85AA4">
        <w:rPr>
          <w:lang w:val="en-US"/>
        </w:rPr>
        <w:t xml:space="preserve">, </w:t>
      </w:r>
      <w:r>
        <w:rPr>
          <w:lang w:val="en-US"/>
        </w:rPr>
        <w:t>21</w:t>
      </w:r>
      <w:r>
        <w:rPr>
          <w:vertAlign w:val="superscript"/>
          <w:lang w:val="en-US"/>
        </w:rPr>
        <w:t>st</w:t>
      </w:r>
      <w:r w:rsidR="009B0DBB" w:rsidRPr="00E85AA4">
        <w:rPr>
          <w:lang w:val="en-US"/>
        </w:rPr>
        <w:t xml:space="preserve"> – 2</w:t>
      </w:r>
      <w:r>
        <w:rPr>
          <w:lang w:val="en-US"/>
        </w:rPr>
        <w:t>5</w:t>
      </w:r>
      <w:r w:rsidR="009B0DBB" w:rsidRPr="00E85AA4">
        <w:rPr>
          <w:vertAlign w:val="superscript"/>
          <w:lang w:val="en-US"/>
        </w:rPr>
        <w:t>th</w:t>
      </w:r>
      <w:r w:rsidR="009B0DBB" w:rsidRPr="00E85AA4">
        <w:rPr>
          <w:lang w:val="en-US"/>
        </w:rPr>
        <w:t xml:space="preserve"> </w:t>
      </w:r>
      <w:r>
        <w:rPr>
          <w:lang w:val="en-US"/>
        </w:rPr>
        <w:t>May</w:t>
      </w:r>
      <w:r w:rsidR="009B0DBB" w:rsidRPr="00E85AA4">
        <w:rPr>
          <w:lang w:val="en-US"/>
        </w:rPr>
        <w:t xml:space="preserve"> 2018</w:t>
      </w:r>
    </w:p>
    <w:p w14:paraId="08246E7A" w14:textId="1839A8CC" w:rsidR="009B0DBB" w:rsidRPr="00016940" w:rsidRDefault="009B0DBB" w:rsidP="009B0DBB">
      <w:pPr>
        <w:pStyle w:val="3GPPHeader"/>
        <w:rPr>
          <w:sz w:val="22"/>
          <w:szCs w:val="22"/>
          <w:lang w:val="en-US"/>
        </w:rPr>
      </w:pPr>
      <w:r w:rsidRPr="00016940">
        <w:rPr>
          <w:sz w:val="22"/>
          <w:szCs w:val="22"/>
          <w:lang w:val="en-US"/>
        </w:rPr>
        <w:t>Agenda Item:</w:t>
      </w:r>
      <w:r w:rsidRPr="00016940">
        <w:rPr>
          <w:sz w:val="22"/>
          <w:szCs w:val="22"/>
          <w:lang w:val="en-US"/>
        </w:rPr>
        <w:tab/>
        <w:t>7.7.</w:t>
      </w:r>
      <w:r>
        <w:rPr>
          <w:sz w:val="22"/>
          <w:szCs w:val="22"/>
          <w:lang w:val="en-US"/>
        </w:rPr>
        <w:t>1</w:t>
      </w:r>
    </w:p>
    <w:p w14:paraId="78AF00C7" w14:textId="77777777" w:rsidR="009B0DBB" w:rsidRPr="00E85AA4" w:rsidRDefault="009B0DBB" w:rsidP="009B0DBB">
      <w:pPr>
        <w:pStyle w:val="3GPPHeader"/>
        <w:rPr>
          <w:sz w:val="22"/>
          <w:szCs w:val="22"/>
          <w:lang w:val="en-US"/>
        </w:rPr>
      </w:pPr>
      <w:r w:rsidRPr="00E85AA4">
        <w:rPr>
          <w:sz w:val="22"/>
          <w:szCs w:val="22"/>
          <w:lang w:val="en-US"/>
        </w:rPr>
        <w:t>Source:</w:t>
      </w:r>
      <w:r w:rsidRPr="00E85AA4">
        <w:rPr>
          <w:sz w:val="22"/>
          <w:szCs w:val="22"/>
          <w:lang w:val="en-US"/>
        </w:rPr>
        <w:tab/>
        <w:t>Ericsson</w:t>
      </w:r>
    </w:p>
    <w:p w14:paraId="6CBDD6EA" w14:textId="44D59DA5" w:rsidR="009B0DBB" w:rsidRPr="00E85AA4" w:rsidRDefault="009B0DBB" w:rsidP="009B0DBB">
      <w:pPr>
        <w:pStyle w:val="3GPPHeader"/>
        <w:ind w:left="1701" w:hanging="1701"/>
        <w:rPr>
          <w:sz w:val="22"/>
          <w:szCs w:val="22"/>
          <w:lang w:val="en-US"/>
        </w:rPr>
      </w:pPr>
      <w:r w:rsidRPr="00E85AA4">
        <w:rPr>
          <w:sz w:val="22"/>
          <w:szCs w:val="22"/>
          <w:lang w:val="en-US"/>
        </w:rPr>
        <w:t>Title:</w:t>
      </w:r>
      <w:r w:rsidRPr="00E85AA4">
        <w:rPr>
          <w:sz w:val="22"/>
          <w:szCs w:val="22"/>
          <w:lang w:val="en-US"/>
        </w:rPr>
        <w:tab/>
      </w:r>
      <w:r>
        <w:rPr>
          <w:sz w:val="22"/>
          <w:szCs w:val="22"/>
        </w:rPr>
        <w:t>Physical-layer aspects related to IAB</w:t>
      </w:r>
    </w:p>
    <w:p w14:paraId="49EABC54" w14:textId="65AC5364" w:rsidR="009B0DBB" w:rsidRPr="00E85AA4" w:rsidRDefault="009B0DBB" w:rsidP="009B0DBB">
      <w:pPr>
        <w:pStyle w:val="3GPPHeader"/>
        <w:rPr>
          <w:sz w:val="22"/>
          <w:szCs w:val="22"/>
          <w:lang w:val="en-US"/>
        </w:rPr>
      </w:pPr>
      <w:r w:rsidRPr="00E85AA4">
        <w:rPr>
          <w:sz w:val="22"/>
          <w:szCs w:val="22"/>
          <w:lang w:val="en-US"/>
        </w:rPr>
        <w:t>Document for:</w:t>
      </w:r>
      <w:r w:rsidRPr="00E85AA4">
        <w:rPr>
          <w:sz w:val="22"/>
          <w:szCs w:val="22"/>
          <w:lang w:val="en-US"/>
        </w:rPr>
        <w:tab/>
        <w:t>Discussion</w:t>
      </w:r>
      <w:r>
        <w:rPr>
          <w:sz w:val="22"/>
          <w:szCs w:val="22"/>
          <w:lang w:val="en-US"/>
        </w:rPr>
        <w:t xml:space="preserve"> and decision</w:t>
      </w:r>
    </w:p>
    <w:p w14:paraId="3E1199C4" w14:textId="75D66FC0" w:rsidR="003B0FB8" w:rsidRDefault="00E90E49" w:rsidP="00E55E1E">
      <w:pPr>
        <w:pStyle w:val="Heading1"/>
      </w:pPr>
      <w:r w:rsidRPr="00824F3D">
        <w:t>Introduction</w:t>
      </w:r>
    </w:p>
    <w:p w14:paraId="2E3F1829" w14:textId="22405354" w:rsidR="00404853" w:rsidRPr="00E55E1E" w:rsidRDefault="00AB7883" w:rsidP="00E55E1E">
      <w:r>
        <w:t xml:space="preserve">In this paper we will discuss </w:t>
      </w:r>
      <w:r w:rsidR="003B0FB8">
        <w:t>some further aspects of the IAB backhaul link</w:t>
      </w:r>
      <w:r w:rsidR="004B3FE6">
        <w:t xml:space="preserve">. </w:t>
      </w:r>
    </w:p>
    <w:p w14:paraId="2A32A878" w14:textId="788C413B" w:rsidR="005508F9" w:rsidRDefault="006B2C55" w:rsidP="005508F9">
      <w:pPr>
        <w:pStyle w:val="Heading1"/>
      </w:pPr>
      <w:r>
        <w:t>Discussion</w:t>
      </w:r>
    </w:p>
    <w:p w14:paraId="39F76E9F" w14:textId="01ED1294" w:rsidR="006B2C55" w:rsidRDefault="006B2C55" w:rsidP="00BF04D7">
      <w:pPr>
        <w:pStyle w:val="Heading2"/>
      </w:pPr>
      <w:r>
        <w:t>IAB links</w:t>
      </w:r>
    </w:p>
    <w:p w14:paraId="382BDB64" w14:textId="4550DFCE" w:rsidR="00BF04D7" w:rsidRDefault="00BF04D7" w:rsidP="00BF04D7">
      <w:pPr>
        <w:rPr>
          <w:rFonts w:asciiTheme="minorHAnsi" w:hAnsiTheme="minorHAnsi"/>
          <w:lang w:eastAsia="en-US"/>
        </w:rPr>
      </w:pPr>
      <w:r>
        <w:t>With regards to an IAB node there are 6 types of unidirectional links, see also</w:t>
      </w:r>
      <w:r w:rsidR="006B2C55">
        <w:t xml:space="preserve"> </w:t>
      </w:r>
      <w:r w:rsidR="006B2C55">
        <w:fldChar w:fldCharType="begin"/>
      </w:r>
      <w:r w:rsidR="006B2C55">
        <w:instrText xml:space="preserve"> REF _Ref513623849 \h </w:instrText>
      </w:r>
      <w:r w:rsidR="006B2C55">
        <w:fldChar w:fldCharType="separate"/>
      </w:r>
      <w:r w:rsidR="00DD50FC">
        <w:t xml:space="preserve">Figure </w:t>
      </w:r>
      <w:r w:rsidR="00DD50FC">
        <w:rPr>
          <w:noProof/>
        </w:rPr>
        <w:t>2</w:t>
      </w:r>
      <w:r w:rsidR="00DD50FC">
        <w:noBreakHyphen/>
      </w:r>
      <w:r w:rsidR="00DD50FC">
        <w:rPr>
          <w:noProof/>
        </w:rPr>
        <w:t>1</w:t>
      </w:r>
      <w:r w:rsidR="006B2C55">
        <w:fldChar w:fldCharType="end"/>
      </w:r>
      <w:r>
        <w:t xml:space="preserve">. </w:t>
      </w:r>
    </w:p>
    <w:p w14:paraId="058C549D" w14:textId="4884007D" w:rsidR="00BF04D7" w:rsidRDefault="00BF04D7" w:rsidP="00BF04D7">
      <w:pPr>
        <w:pStyle w:val="ListParagraph"/>
        <w:numPr>
          <w:ilvl w:val="0"/>
          <w:numId w:val="25"/>
        </w:numPr>
        <w:overflowPunct/>
        <w:autoSpaceDE/>
        <w:autoSpaceDN/>
        <w:adjustRightInd/>
        <w:spacing w:after="160" w:line="256" w:lineRule="auto"/>
        <w:jc w:val="left"/>
        <w:textAlignment w:val="auto"/>
      </w:pPr>
      <w:r>
        <w:t>L</w:t>
      </w:r>
      <w:r>
        <w:rPr>
          <w:vertAlign w:val="subscript"/>
        </w:rPr>
        <w:t>P,</w:t>
      </w:r>
      <w:r w:rsidR="00C805D4">
        <w:rPr>
          <w:vertAlign w:val="subscript"/>
        </w:rPr>
        <w:t>D</w:t>
      </w:r>
      <w:r w:rsidR="008524BB">
        <w:rPr>
          <w:vertAlign w:val="subscript"/>
        </w:rPr>
        <w:t>L</w:t>
      </w:r>
      <w:r>
        <w:t xml:space="preserve"> : The </w:t>
      </w:r>
      <w:r w:rsidR="00C805D4">
        <w:t>“downlink”</w:t>
      </w:r>
      <w:r>
        <w:t xml:space="preserve"> from the parent node (backhaul </w:t>
      </w:r>
      <w:r w:rsidR="00C805D4">
        <w:t>RX</w:t>
      </w:r>
      <w:r>
        <w:t xml:space="preserve"> at the IAB node) </w:t>
      </w:r>
    </w:p>
    <w:p w14:paraId="7396B0DF" w14:textId="6ADBEB8E" w:rsidR="00BF04D7" w:rsidRDefault="00BF04D7" w:rsidP="00BF04D7">
      <w:pPr>
        <w:pStyle w:val="ListParagraph"/>
        <w:numPr>
          <w:ilvl w:val="0"/>
          <w:numId w:val="25"/>
        </w:numPr>
        <w:overflowPunct/>
        <w:autoSpaceDE/>
        <w:autoSpaceDN/>
        <w:adjustRightInd/>
        <w:spacing w:after="160" w:line="256" w:lineRule="auto"/>
        <w:jc w:val="left"/>
        <w:textAlignment w:val="auto"/>
      </w:pPr>
      <w:r>
        <w:t>L</w:t>
      </w:r>
      <w:r>
        <w:rPr>
          <w:vertAlign w:val="subscript"/>
        </w:rPr>
        <w:t>P,</w:t>
      </w:r>
      <w:r w:rsidR="00C805D4">
        <w:rPr>
          <w:vertAlign w:val="subscript"/>
        </w:rPr>
        <w:t>U</w:t>
      </w:r>
      <w:r w:rsidR="00B2281D">
        <w:rPr>
          <w:vertAlign w:val="subscript"/>
        </w:rPr>
        <w:t>L</w:t>
      </w:r>
      <w:r>
        <w:rPr>
          <w:vertAlign w:val="subscript"/>
        </w:rPr>
        <w:t xml:space="preserve"> </w:t>
      </w:r>
      <w:r>
        <w:t>: The “</w:t>
      </w:r>
      <w:r w:rsidR="00C805D4">
        <w:t xml:space="preserve">uplink” </w:t>
      </w:r>
      <w:r>
        <w:t xml:space="preserve">to the parent node (backhaul </w:t>
      </w:r>
      <w:r w:rsidR="00C805D4">
        <w:t>TX</w:t>
      </w:r>
      <w:r>
        <w:t xml:space="preserve"> at the IAB node)</w:t>
      </w:r>
    </w:p>
    <w:p w14:paraId="770C50CC" w14:textId="238EB7B9" w:rsidR="00BF04D7" w:rsidRDefault="00BF04D7" w:rsidP="00BF04D7">
      <w:pPr>
        <w:pStyle w:val="ListParagraph"/>
        <w:numPr>
          <w:ilvl w:val="0"/>
          <w:numId w:val="25"/>
        </w:numPr>
        <w:overflowPunct/>
        <w:autoSpaceDE/>
        <w:autoSpaceDN/>
        <w:adjustRightInd/>
        <w:spacing w:after="160" w:line="256" w:lineRule="auto"/>
        <w:jc w:val="left"/>
        <w:textAlignment w:val="auto"/>
      </w:pPr>
      <w:r>
        <w:t>L</w:t>
      </w:r>
      <w:r>
        <w:rPr>
          <w:vertAlign w:val="subscript"/>
        </w:rPr>
        <w:t>C,D</w:t>
      </w:r>
      <w:r w:rsidR="00B2281D">
        <w:rPr>
          <w:vertAlign w:val="subscript"/>
        </w:rPr>
        <w:t>L</w:t>
      </w:r>
      <w:r>
        <w:rPr>
          <w:vertAlign w:val="subscript"/>
        </w:rPr>
        <w:t xml:space="preserve"> </w:t>
      </w:r>
      <w:r>
        <w:t xml:space="preserve">: The </w:t>
      </w:r>
      <w:r w:rsidR="00C805D4">
        <w:t xml:space="preserve">“downlink” </w:t>
      </w:r>
      <w:r>
        <w:t xml:space="preserve">to any child node under the IAB node (backhaul </w:t>
      </w:r>
      <w:r w:rsidR="00C805D4">
        <w:t>TX</w:t>
      </w:r>
      <w:r>
        <w:t xml:space="preserve"> at the IAB node)</w:t>
      </w:r>
    </w:p>
    <w:p w14:paraId="2E8490A1" w14:textId="60433215" w:rsidR="00BF04D7" w:rsidRDefault="00BF04D7" w:rsidP="00BF04D7">
      <w:pPr>
        <w:pStyle w:val="ListParagraph"/>
        <w:numPr>
          <w:ilvl w:val="0"/>
          <w:numId w:val="25"/>
        </w:numPr>
        <w:overflowPunct/>
        <w:autoSpaceDE/>
        <w:autoSpaceDN/>
        <w:adjustRightInd/>
        <w:spacing w:after="160" w:line="256" w:lineRule="auto"/>
        <w:jc w:val="left"/>
        <w:textAlignment w:val="auto"/>
      </w:pPr>
      <w:r>
        <w:t>L</w:t>
      </w:r>
      <w:r>
        <w:rPr>
          <w:vertAlign w:val="subscript"/>
        </w:rPr>
        <w:t>C,UL</w:t>
      </w:r>
      <w:r>
        <w:t xml:space="preserve"> : The “upli</w:t>
      </w:r>
      <w:r w:rsidR="00C805D4">
        <w:t>nk”</w:t>
      </w:r>
      <w:r>
        <w:t xml:space="preserve"> from any child node under the IAB node (backhaul </w:t>
      </w:r>
      <w:r w:rsidR="00C805D4">
        <w:t>RX</w:t>
      </w:r>
      <w:r>
        <w:t xml:space="preserve"> at the IAB node)</w:t>
      </w:r>
    </w:p>
    <w:p w14:paraId="2EAD4755" w14:textId="11294DEA" w:rsidR="00BF04D7" w:rsidRDefault="00BF04D7" w:rsidP="00BF04D7">
      <w:pPr>
        <w:pStyle w:val="ListParagraph"/>
        <w:numPr>
          <w:ilvl w:val="0"/>
          <w:numId w:val="25"/>
        </w:numPr>
        <w:overflowPunct/>
        <w:autoSpaceDE/>
        <w:autoSpaceDN/>
        <w:adjustRightInd/>
        <w:spacing w:after="160" w:line="256" w:lineRule="auto"/>
        <w:jc w:val="left"/>
        <w:textAlignment w:val="auto"/>
      </w:pPr>
      <w:r>
        <w:t>L</w:t>
      </w:r>
      <w:r>
        <w:rPr>
          <w:vertAlign w:val="subscript"/>
        </w:rPr>
        <w:t>U,DL</w:t>
      </w:r>
      <w:r>
        <w:t xml:space="preserve"> : The</w:t>
      </w:r>
      <w:r w:rsidR="00C805D4">
        <w:t xml:space="preserve"> </w:t>
      </w:r>
      <w:r>
        <w:t xml:space="preserve">downlink to any UE directly under the IAB node (access-link </w:t>
      </w:r>
      <w:r w:rsidR="00C805D4">
        <w:t>TX</w:t>
      </w:r>
      <w:r>
        <w:t xml:space="preserve"> at the IAB node)</w:t>
      </w:r>
    </w:p>
    <w:p w14:paraId="48964F5C" w14:textId="36F26957" w:rsidR="00BF04D7" w:rsidRDefault="00BF04D7" w:rsidP="00BF04D7">
      <w:pPr>
        <w:pStyle w:val="ListParagraph"/>
        <w:numPr>
          <w:ilvl w:val="0"/>
          <w:numId w:val="25"/>
        </w:numPr>
        <w:overflowPunct/>
        <w:autoSpaceDE/>
        <w:autoSpaceDN/>
        <w:adjustRightInd/>
        <w:spacing w:after="160" w:line="256" w:lineRule="auto"/>
        <w:jc w:val="left"/>
        <w:textAlignment w:val="auto"/>
      </w:pPr>
      <w:r>
        <w:t>L</w:t>
      </w:r>
      <w:r>
        <w:rPr>
          <w:vertAlign w:val="subscript"/>
        </w:rPr>
        <w:t xml:space="preserve">U,UL </w:t>
      </w:r>
      <w:r>
        <w:t xml:space="preserve">: The uplink from any UE directly under the IAB node (access-link </w:t>
      </w:r>
      <w:r w:rsidR="00C805D4">
        <w:t>RX</w:t>
      </w:r>
      <w:r>
        <w:t xml:space="preserve"> at the IAB node)</w:t>
      </w:r>
    </w:p>
    <w:p w14:paraId="720FD304" w14:textId="14577E15" w:rsidR="00185C33" w:rsidRDefault="006B2C55" w:rsidP="006B2C55">
      <w:pPr>
        <w:jc w:val="center"/>
      </w:pPr>
      <w:r>
        <w:rPr>
          <w:noProof/>
        </w:rPr>
        <w:drawing>
          <wp:inline distT="0" distB="0" distL="0" distR="0" wp14:anchorId="64F8FC00" wp14:editId="2A4DC0EE">
            <wp:extent cx="4125595" cy="155670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0857" cy="1558692"/>
                    </a:xfrm>
                    <a:prstGeom prst="rect">
                      <a:avLst/>
                    </a:prstGeom>
                    <a:noFill/>
                  </pic:spPr>
                </pic:pic>
              </a:graphicData>
            </a:graphic>
          </wp:inline>
        </w:drawing>
      </w:r>
    </w:p>
    <w:p w14:paraId="7B8CAB3D" w14:textId="1FC5AD18" w:rsidR="006B2C55" w:rsidRDefault="006B2C55" w:rsidP="006B2C55">
      <w:pPr>
        <w:pStyle w:val="Caption"/>
      </w:pPr>
      <w:bookmarkStart w:id="1" w:name="_Ref513623849"/>
      <w:r>
        <w:t xml:space="preserve">Figure </w:t>
      </w:r>
      <w:r>
        <w:fldChar w:fldCharType="begin"/>
      </w:r>
      <w:r>
        <w:instrText xml:space="preserve"> STYLEREF 1 \s </w:instrText>
      </w:r>
      <w:r>
        <w:fldChar w:fldCharType="separate"/>
      </w:r>
      <w:r w:rsidR="00DD50FC">
        <w:rPr>
          <w:noProof/>
        </w:rPr>
        <w:t>2</w:t>
      </w:r>
      <w:r>
        <w:fldChar w:fldCharType="end"/>
      </w:r>
      <w:r>
        <w:noBreakHyphen/>
      </w:r>
      <w:r>
        <w:fldChar w:fldCharType="begin"/>
      </w:r>
      <w:r>
        <w:instrText xml:space="preserve"> SEQ Figure \* ARABIC \s 1 </w:instrText>
      </w:r>
      <w:r>
        <w:fldChar w:fldCharType="separate"/>
      </w:r>
      <w:r w:rsidR="00DD50FC">
        <w:rPr>
          <w:noProof/>
        </w:rPr>
        <w:t>1</w:t>
      </w:r>
      <w:r>
        <w:fldChar w:fldCharType="end"/>
      </w:r>
      <w:bookmarkEnd w:id="1"/>
      <w:r>
        <w:t xml:space="preserve"> Links to/from an IAB node</w:t>
      </w:r>
    </w:p>
    <w:p w14:paraId="3FD27E45" w14:textId="4D4D2F83" w:rsidR="006B2C55" w:rsidRPr="006B2C55" w:rsidRDefault="006B2C55" w:rsidP="006B2C55">
      <w:r>
        <w:t>In case of outband backhauling, the access links L</w:t>
      </w:r>
      <w:r>
        <w:rPr>
          <w:vertAlign w:val="subscript"/>
        </w:rPr>
        <w:t>U,</w:t>
      </w:r>
      <w:r w:rsidR="00C805D4">
        <w:rPr>
          <w:vertAlign w:val="subscript"/>
        </w:rPr>
        <w:t>-</w:t>
      </w:r>
      <w:r>
        <w:t xml:space="preserve"> operate in different spectrum compared to the backhaul links L</w:t>
      </w:r>
      <w:r>
        <w:rPr>
          <w:vertAlign w:val="subscript"/>
        </w:rPr>
        <w:t>P,</w:t>
      </w:r>
      <w:r w:rsidR="00C805D4">
        <w:rPr>
          <w:vertAlign w:val="subscript"/>
        </w:rPr>
        <w:t>-</w:t>
      </w:r>
      <w:r w:rsidR="00C805D4">
        <w:t>, L</w:t>
      </w:r>
      <w:r w:rsidR="00C805D4">
        <w:rPr>
          <w:vertAlign w:val="subscript"/>
        </w:rPr>
        <w:t>C,-.</w:t>
      </w:r>
      <w:r>
        <w:t xml:space="preserve"> From a </w:t>
      </w:r>
      <w:r w:rsidR="00C805D4">
        <w:t>backhaul-system</w:t>
      </w:r>
      <w:r>
        <w:t xml:space="preserve"> point-of-view, one can then ignore the access links and only needs to consider the backhaul links.</w:t>
      </w:r>
      <w:r w:rsidR="00C805D4">
        <w:t xml:space="preserve"> </w:t>
      </w:r>
    </w:p>
    <w:p w14:paraId="4272F591" w14:textId="3377DD70" w:rsidR="006B2C55" w:rsidRDefault="006B2C55" w:rsidP="006B2C55">
      <w:pPr>
        <w:pStyle w:val="Heading2"/>
      </w:pPr>
      <w:r>
        <w:t xml:space="preserve"> “Downlink” vs “uplink”?</w:t>
      </w:r>
    </w:p>
    <w:p w14:paraId="3A6629E0" w14:textId="7FEC8F64" w:rsidR="00CD31A6" w:rsidRDefault="00BF04D7" w:rsidP="00BF04D7">
      <w:r>
        <w:t>In case of paired spectru</w:t>
      </w:r>
      <w:r w:rsidR="00CD31A6">
        <w:t>m</w:t>
      </w:r>
      <w:r>
        <w:t>, one needs to consider what spectrum to use for the different backhaul link</w:t>
      </w:r>
      <w:r w:rsidR="00C805D4">
        <w:t>s (L</w:t>
      </w:r>
      <w:r w:rsidR="00C805D4">
        <w:rPr>
          <w:vertAlign w:val="subscript"/>
        </w:rPr>
        <w:t>P,DL</w:t>
      </w:r>
      <w:r w:rsidR="00C805D4">
        <w:t>, L</w:t>
      </w:r>
      <w:r w:rsidR="00C805D4">
        <w:rPr>
          <w:vertAlign w:val="subscript"/>
        </w:rPr>
        <w:t>P,UL</w:t>
      </w:r>
      <w:r w:rsidR="00C805D4">
        <w:t>, L</w:t>
      </w:r>
      <w:r w:rsidR="00C805D4">
        <w:rPr>
          <w:vertAlign w:val="subscript"/>
        </w:rPr>
        <w:t>C,DL</w:t>
      </w:r>
      <w:r w:rsidR="00C805D4">
        <w:t>, and L</w:t>
      </w:r>
      <w:r w:rsidR="00C805D4">
        <w:rPr>
          <w:vertAlign w:val="subscript"/>
        </w:rPr>
        <w:t>C,UL</w:t>
      </w:r>
      <w:r w:rsidR="00C805D4">
        <w:t>)</w:t>
      </w:r>
    </w:p>
    <w:p w14:paraId="59898445" w14:textId="219861FB" w:rsidR="00BF04D7" w:rsidRDefault="00C805D4" w:rsidP="00BF04D7">
      <w:r>
        <w:t>Paired</w:t>
      </w:r>
      <w:r w:rsidR="00BF04D7">
        <w:t xml:space="preserve"> spectrum is typically expressed as consisting of </w:t>
      </w:r>
      <w:r w:rsidR="00CD31A6">
        <w:t xml:space="preserve">a </w:t>
      </w:r>
      <w:r w:rsidR="00BF04D7">
        <w:t xml:space="preserve">“downlink” </w:t>
      </w:r>
      <w:r>
        <w:t xml:space="preserve">spectrum </w:t>
      </w:r>
      <w:r w:rsidR="00CD31A6">
        <w:t xml:space="preserve">part and an </w:t>
      </w:r>
      <w:r w:rsidR="00BF04D7">
        <w:t>“uplink</w:t>
      </w:r>
      <w:r w:rsidR="00CD31A6">
        <w:t xml:space="preserve">” </w:t>
      </w:r>
      <w:r>
        <w:t xml:space="preserve">spectrum </w:t>
      </w:r>
      <w:r w:rsidR="00CD31A6">
        <w:t>part</w:t>
      </w:r>
      <w:r>
        <w:t>. However,</w:t>
      </w:r>
      <w:r w:rsidR="00BF04D7">
        <w:t xml:space="preserve"> from a</w:t>
      </w:r>
      <w:r>
        <w:t xml:space="preserve">n interference point-of-view, the relevant thing is the </w:t>
      </w:r>
      <w:r w:rsidR="00BF04D7">
        <w:t>characteristics of the transmissions</w:t>
      </w:r>
      <w:r w:rsidR="00CD31A6">
        <w:t xml:space="preserve"> taking place in the different spectrum parts</w:t>
      </w:r>
      <w:r w:rsidR="00BF04D7">
        <w:t xml:space="preserve">: </w:t>
      </w:r>
      <w:r>
        <w:t xml:space="preserve"> </w:t>
      </w:r>
    </w:p>
    <w:p w14:paraId="0934423B" w14:textId="4D9300B8" w:rsidR="00CD31A6" w:rsidRDefault="006B2C55" w:rsidP="00CD31A6">
      <w:pPr>
        <w:pStyle w:val="ListParagraph"/>
        <w:numPr>
          <w:ilvl w:val="0"/>
          <w:numId w:val="25"/>
        </w:numPr>
        <w:overflowPunct/>
        <w:autoSpaceDE/>
        <w:autoSpaceDN/>
        <w:adjustRightInd/>
        <w:spacing w:after="160" w:line="256" w:lineRule="auto"/>
        <w:jc w:val="left"/>
        <w:textAlignment w:val="auto"/>
      </w:pPr>
      <w:r>
        <w:t>“</w:t>
      </w:r>
      <w:r w:rsidR="00BF04D7">
        <w:t>Downlink</w:t>
      </w:r>
      <w:r w:rsidR="00C805D4">
        <w:t>”</w:t>
      </w:r>
      <w:r w:rsidR="00BF04D7">
        <w:t xml:space="preserve"> spectru</w:t>
      </w:r>
      <w:r w:rsidR="00C805D4">
        <w:t xml:space="preserve">m </w:t>
      </w:r>
      <w:r w:rsidR="00BF04D7">
        <w:t xml:space="preserve">used </w:t>
      </w:r>
      <w:r w:rsidR="00CD31A6">
        <w:t xml:space="preserve">for transmission </w:t>
      </w:r>
      <w:r w:rsidR="00BF04D7">
        <w:t>by more high-power, typically stationary base</w:t>
      </w:r>
      <w:r w:rsidR="00CD31A6">
        <w:t>-</w:t>
      </w:r>
      <w:r w:rsidR="00BF04D7">
        <w:t>station</w:t>
      </w:r>
      <w:r w:rsidR="00CD31A6">
        <w:t>s</w:t>
      </w:r>
    </w:p>
    <w:p w14:paraId="346D7B57" w14:textId="626993E6" w:rsidR="00BF04D7" w:rsidRDefault="006B2C55" w:rsidP="00CD31A6">
      <w:pPr>
        <w:pStyle w:val="ListParagraph"/>
        <w:numPr>
          <w:ilvl w:val="0"/>
          <w:numId w:val="25"/>
        </w:numPr>
        <w:overflowPunct/>
        <w:autoSpaceDE/>
        <w:autoSpaceDN/>
        <w:adjustRightInd/>
        <w:spacing w:after="160" w:line="256" w:lineRule="auto"/>
        <w:jc w:val="left"/>
        <w:textAlignment w:val="auto"/>
      </w:pPr>
      <w:r>
        <w:lastRenderedPageBreak/>
        <w:t>“</w:t>
      </w:r>
      <w:r w:rsidR="00BF04D7">
        <w:t>Uplink</w:t>
      </w:r>
      <w:r w:rsidR="00C805D4">
        <w:t>”</w:t>
      </w:r>
      <w:r w:rsidR="00BF04D7">
        <w:t xml:space="preserve"> spectrum</w:t>
      </w:r>
      <w:r w:rsidR="00C805D4">
        <w:t xml:space="preserve"> </w:t>
      </w:r>
      <w:r w:rsidR="00BF04D7">
        <w:t xml:space="preserve">used </w:t>
      </w:r>
      <w:r w:rsidR="00CD31A6">
        <w:t>for</w:t>
      </w:r>
      <w:r w:rsidR="00BF04D7">
        <w:t xml:space="preserve"> </w:t>
      </w:r>
      <w:r w:rsidR="00CD31A6">
        <w:t xml:space="preserve">transmission by </w:t>
      </w:r>
      <w:r w:rsidR="00BF04D7">
        <w:t xml:space="preserve">more low-power, typically mobile </w:t>
      </w:r>
      <w:r w:rsidR="00C805D4">
        <w:t>devices</w:t>
      </w:r>
    </w:p>
    <w:p w14:paraId="0D1E9B0C" w14:textId="25A5198F" w:rsidR="00BF04D7" w:rsidRDefault="00BF04D7" w:rsidP="00BF04D7">
      <w:r>
        <w:t xml:space="preserve">From this point-of-view, </w:t>
      </w:r>
      <w:r w:rsidR="00C805D4">
        <w:t xml:space="preserve">one may draw the conclusion </w:t>
      </w:r>
      <w:r>
        <w:t>t</w:t>
      </w:r>
      <w:r w:rsidR="006B2C55">
        <w:t xml:space="preserve">hat </w:t>
      </w:r>
      <w:r>
        <w:t xml:space="preserve">all backhaul transmissions should </w:t>
      </w:r>
      <w:r w:rsidR="006B2C55">
        <w:t xml:space="preserve">take place in </w:t>
      </w:r>
      <w:r w:rsidR="00CD31A6">
        <w:t xml:space="preserve">the </w:t>
      </w:r>
      <w:r w:rsidR="006B2C55">
        <w:t>“downlink</w:t>
      </w:r>
      <w:r w:rsidR="00CD31A6">
        <w:t>” part of paired</w:t>
      </w:r>
      <w:r w:rsidR="006B2C55">
        <w:t xml:space="preserve"> spectrum</w:t>
      </w:r>
      <w:r>
        <w:t>.</w:t>
      </w:r>
    </w:p>
    <w:p w14:paraId="46FFAF03" w14:textId="15F2CD26" w:rsidR="00C805D4" w:rsidRDefault="00EA5C6A" w:rsidP="006B2C55">
      <w:r>
        <w:t>It should be noted</w:t>
      </w:r>
      <w:r w:rsidR="006B2C55">
        <w:t xml:space="preserve"> that t</w:t>
      </w:r>
      <w:r w:rsidR="00BF04D7">
        <w:t xml:space="preserve">he above conclusion </w:t>
      </w:r>
      <w:r w:rsidR="00C805D4">
        <w:t>may be partly relevant</w:t>
      </w:r>
      <w:r w:rsidR="00BF04D7">
        <w:t xml:space="preserve"> also</w:t>
      </w:r>
      <w:r w:rsidR="00CD31A6">
        <w:t xml:space="preserve"> in </w:t>
      </w:r>
      <w:r w:rsidR="00C805D4">
        <w:t xml:space="preserve">the </w:t>
      </w:r>
      <w:r w:rsidR="00CD31A6">
        <w:t>case of</w:t>
      </w:r>
      <w:r w:rsidR="00BF04D7">
        <w:t xml:space="preserve"> </w:t>
      </w:r>
      <w:r w:rsidR="00C805D4">
        <w:t xml:space="preserve">operation in </w:t>
      </w:r>
      <w:r w:rsidR="00BF04D7">
        <w:t>unpaired spectrum</w:t>
      </w:r>
      <w:r w:rsidR="006B2C55">
        <w:t xml:space="preserve">. In case of </w:t>
      </w:r>
      <w:r w:rsidR="00CD31A6">
        <w:t xml:space="preserve">operation in unpaired spectrum </w:t>
      </w:r>
      <w:r w:rsidR="006B2C55">
        <w:t>there is often an assumption</w:t>
      </w:r>
      <w:r>
        <w:t xml:space="preserve"> of a fixed </w:t>
      </w:r>
      <w:r w:rsidR="00C805D4">
        <w:t xml:space="preserve">network-wide </w:t>
      </w:r>
      <w:r>
        <w:t xml:space="preserve">downlink/uplink configuration </w:t>
      </w:r>
      <w:r w:rsidR="00C805D4">
        <w:t xml:space="preserve">that may even extend over different operators in neighbour bands. In other words, there is, in this case, a set of “downlink” time resources and “uplink” time resources. However, as once again the relevant thing is the characteristics of the transmissions rather than the actual transmission direction, one may conclude that all backhaul transmissions should take place in the “downlink” time resources. </w:t>
      </w:r>
    </w:p>
    <w:p w14:paraId="0D87F45C" w14:textId="005766BA" w:rsidR="00BF04D7" w:rsidRDefault="00EA5C6A" w:rsidP="00EA5C6A">
      <w:pPr>
        <w:overflowPunct/>
        <w:autoSpaceDE/>
        <w:autoSpaceDN/>
        <w:adjustRightInd/>
        <w:spacing w:after="160" w:line="256" w:lineRule="auto"/>
        <w:jc w:val="left"/>
        <w:textAlignment w:val="auto"/>
      </w:pPr>
      <w:r>
        <w:t>However, t</w:t>
      </w:r>
      <w:r w:rsidR="00BF04D7">
        <w:t>he above conclusion</w:t>
      </w:r>
      <w:r w:rsidR="00CD31A6">
        <w:t>s</w:t>
      </w:r>
      <w:r w:rsidR="00BF04D7">
        <w:t xml:space="preserve"> may not </w:t>
      </w:r>
      <w:r>
        <w:t xml:space="preserve">always </w:t>
      </w:r>
      <w:r w:rsidR="00BF04D7">
        <w:t>be valid</w:t>
      </w:r>
      <w:r>
        <w:t xml:space="preserve">. </w:t>
      </w:r>
      <w:r w:rsidR="00C805D4">
        <w:t>Especially. i</w:t>
      </w:r>
      <w:r>
        <w:t xml:space="preserve">n case of truly low-power IAB nodes, with an output power similar to the UE output power, there may be more flexibility in terms of the time/frequency resources used for backhaul transmissions. </w:t>
      </w:r>
      <w:r w:rsidR="00BF04D7">
        <w:t xml:space="preserve">This is inline with </w:t>
      </w:r>
      <w:r w:rsidR="00CD31A6">
        <w:t>the</w:t>
      </w:r>
      <w:r w:rsidR="00BF04D7">
        <w:t xml:space="preserve"> assumption that</w:t>
      </w:r>
      <w:r>
        <w:t xml:space="preserve">, for example, dynamic TDD is more relevant for small-cell deployments with truly </w:t>
      </w:r>
      <w:r w:rsidR="00CD31A6">
        <w:t>l</w:t>
      </w:r>
      <w:r w:rsidR="00BF04D7">
        <w:t>ow-power base stations</w:t>
      </w:r>
      <w:r>
        <w:t>.</w:t>
      </w:r>
    </w:p>
    <w:p w14:paraId="6CBF8931" w14:textId="11E4F258" w:rsidR="00B2281D" w:rsidRDefault="00B2281D" w:rsidP="00B2281D">
      <w:pPr>
        <w:tabs>
          <w:tab w:val="left" w:pos="993"/>
        </w:tabs>
        <w:ind w:left="990" w:hanging="990"/>
      </w:pPr>
      <w:r w:rsidRPr="00C805D4">
        <w:rPr>
          <w:b/>
        </w:rPr>
        <w:t>Proposal:</w:t>
      </w:r>
      <w:r>
        <w:t xml:space="preserve"> </w:t>
      </w:r>
      <w:r w:rsidRPr="00C805D4">
        <w:rPr>
          <w:i/>
        </w:rPr>
        <w:tab/>
      </w:r>
      <w:r>
        <w:rPr>
          <w:i/>
        </w:rPr>
        <w:t>Discuss further the use of “downlink” and “uplink” time/frequency resources in the context of an IAB node</w:t>
      </w:r>
    </w:p>
    <w:p w14:paraId="33B620C0" w14:textId="77777777" w:rsidR="00BF04D7" w:rsidRDefault="00BF04D7" w:rsidP="00EA5C6A">
      <w:pPr>
        <w:pStyle w:val="Heading2"/>
      </w:pPr>
      <w:r>
        <w:t>Transmission timing</w:t>
      </w:r>
    </w:p>
    <w:p w14:paraId="6D13297C" w14:textId="3C504900" w:rsidR="00BF04D7" w:rsidRDefault="00BF04D7" w:rsidP="00BF04D7">
      <w:r>
        <w:t>One need to consider the transmission timing of the different link above</w:t>
      </w:r>
    </w:p>
    <w:p w14:paraId="7B2E7A6C" w14:textId="66C6EB48" w:rsidR="00EA5C6A" w:rsidRPr="00C805D4" w:rsidRDefault="00C805D4" w:rsidP="003B0FB8">
      <w:pPr>
        <w:pStyle w:val="BodyText"/>
        <w:rPr>
          <w:b/>
        </w:rPr>
      </w:pPr>
      <w:r>
        <w:rPr>
          <w:b/>
        </w:rPr>
        <w:t>Uplink backhaul transmissions</w:t>
      </w:r>
      <w:r w:rsidR="00EA5C6A" w:rsidRPr="00CD31A6">
        <w:rPr>
          <w:b/>
        </w:rPr>
        <w:t xml:space="preserve"> (L</w:t>
      </w:r>
      <w:r w:rsidR="00EA5C6A" w:rsidRPr="00CD31A6">
        <w:rPr>
          <w:b/>
          <w:vertAlign w:val="subscript"/>
        </w:rPr>
        <w:t>P.UL</w:t>
      </w:r>
      <w:r>
        <w:rPr>
          <w:b/>
        </w:rPr>
        <w:t>)</w:t>
      </w:r>
    </w:p>
    <w:p w14:paraId="27763731" w14:textId="478B8B37" w:rsidR="00C805D4" w:rsidRDefault="00EA5C6A" w:rsidP="00BF04D7">
      <w:r>
        <w:t xml:space="preserve"> </w:t>
      </w:r>
      <w:r w:rsidR="00C805D4">
        <w:t xml:space="preserve">It has been agreed that the starting point of the backhaul link should be Rel. 15 physical layer. </w:t>
      </w:r>
      <w:r w:rsidR="00CD31A6">
        <w:t>Furthermore, i</w:t>
      </w:r>
      <w:r w:rsidR="00BF04D7">
        <w:t>t should be possible to multiple</w:t>
      </w:r>
      <w:r w:rsidR="00C805D4">
        <w:t>x</w:t>
      </w:r>
      <w:r w:rsidR="00BF04D7">
        <w:t xml:space="preserve"> backhaul links </w:t>
      </w:r>
      <w:r w:rsidR="00C805D4">
        <w:t xml:space="preserve">from different child nodes </w:t>
      </w:r>
      <w:r w:rsidR="00BF04D7">
        <w:t>by means of FDM and SDM. Based on this it seems</w:t>
      </w:r>
      <w:r w:rsidR="00CD31A6">
        <w:t xml:space="preserve"> to be appropriate </w:t>
      </w:r>
      <w:r w:rsidR="00BF04D7">
        <w:t xml:space="preserve">that </w:t>
      </w:r>
      <w:r w:rsidR="00C805D4">
        <w:t xml:space="preserve">the </w:t>
      </w:r>
      <w:r w:rsidR="00BF04D7">
        <w:t xml:space="preserve">transmission timing </w:t>
      </w:r>
      <w:r w:rsidR="00CD31A6">
        <w:t>for</w:t>
      </w:r>
      <w:r w:rsidR="00BF04D7">
        <w:t xml:space="preserve"> the uplink backhaul link (L</w:t>
      </w:r>
      <w:r w:rsidR="00BF04D7">
        <w:rPr>
          <w:vertAlign w:val="subscript"/>
        </w:rPr>
        <w:t>P,UL</w:t>
      </w:r>
      <w:r w:rsidR="00C805D4">
        <w:t>)</w:t>
      </w:r>
      <w:r w:rsidR="00BF04D7">
        <w:t xml:space="preserve"> should be controlled b</w:t>
      </w:r>
      <w:r>
        <w:t>y</w:t>
      </w:r>
      <w:r w:rsidR="00BF04D7">
        <w:t xml:space="preserve"> the parent node in the same way as R</w:t>
      </w:r>
      <w:r w:rsidR="00C805D4">
        <w:t xml:space="preserve">el. </w:t>
      </w:r>
      <w:r w:rsidR="00BF04D7">
        <w:t>15 uplink transmission</w:t>
      </w:r>
      <w:r w:rsidR="00C805D4">
        <w:t xml:space="preserve">. This includes an initial time adjustment when the IAB node is initially connecting to the network and the possibility for continuous step-wise timing updates. </w:t>
      </w:r>
    </w:p>
    <w:p w14:paraId="490970C1" w14:textId="77777777" w:rsidR="00C805D4" w:rsidRDefault="00C805D4" w:rsidP="00C805D4">
      <w:pPr>
        <w:tabs>
          <w:tab w:val="left" w:pos="993"/>
        </w:tabs>
        <w:rPr>
          <w:b/>
        </w:rPr>
      </w:pPr>
    </w:p>
    <w:p w14:paraId="3FA9891D" w14:textId="68914D59" w:rsidR="00C805D4" w:rsidRDefault="00C805D4" w:rsidP="00C805D4">
      <w:pPr>
        <w:tabs>
          <w:tab w:val="left" w:pos="993"/>
        </w:tabs>
        <w:ind w:left="990" w:hanging="990"/>
      </w:pPr>
      <w:r w:rsidRPr="00C805D4">
        <w:rPr>
          <w:b/>
        </w:rPr>
        <w:t>Proposal:</w:t>
      </w:r>
      <w:r>
        <w:t xml:space="preserve"> </w:t>
      </w:r>
      <w:r w:rsidRPr="00C805D4">
        <w:rPr>
          <w:i/>
        </w:rPr>
        <w:tab/>
        <w:t xml:space="preserve">Transmission timing of </w:t>
      </w:r>
      <w:r>
        <w:rPr>
          <w:i/>
        </w:rPr>
        <w:t xml:space="preserve">uplink </w:t>
      </w:r>
      <w:r w:rsidRPr="00C805D4">
        <w:rPr>
          <w:i/>
        </w:rPr>
        <w:t>IAB transmissions (</w:t>
      </w:r>
      <w:r w:rsidR="00B2281D">
        <w:rPr>
          <w:i/>
        </w:rPr>
        <w:t xml:space="preserve">transmissions from an IAB node </w:t>
      </w:r>
      <w:r>
        <w:rPr>
          <w:i/>
        </w:rPr>
        <w:t xml:space="preserve">to </w:t>
      </w:r>
      <w:r w:rsidR="00B2281D">
        <w:rPr>
          <w:i/>
        </w:rPr>
        <w:t>its</w:t>
      </w:r>
      <w:r w:rsidRPr="00C805D4">
        <w:rPr>
          <w:i/>
        </w:rPr>
        <w:t xml:space="preserve"> parent</w:t>
      </w:r>
      <w:r>
        <w:rPr>
          <w:i/>
        </w:rPr>
        <w:t xml:space="preserve"> node</w:t>
      </w:r>
      <w:r w:rsidRPr="00C805D4">
        <w:rPr>
          <w:i/>
        </w:rPr>
        <w:t xml:space="preserve">) should be controlled by the parent node </w:t>
      </w:r>
      <w:r>
        <w:rPr>
          <w:i/>
        </w:rPr>
        <w:t xml:space="preserve">in the same way as </w:t>
      </w:r>
      <w:r w:rsidRPr="00C805D4">
        <w:rPr>
          <w:i/>
        </w:rPr>
        <w:t>R</w:t>
      </w:r>
      <w:r>
        <w:rPr>
          <w:i/>
        </w:rPr>
        <w:t xml:space="preserve">el. </w:t>
      </w:r>
      <w:r w:rsidRPr="00C805D4">
        <w:rPr>
          <w:i/>
        </w:rPr>
        <w:t>15 uplink transmission</w:t>
      </w:r>
      <w:r>
        <w:rPr>
          <w:i/>
        </w:rPr>
        <w:t>s</w:t>
      </w:r>
    </w:p>
    <w:p w14:paraId="736E7046" w14:textId="77777777" w:rsidR="00771700" w:rsidRDefault="00771700" w:rsidP="00771700">
      <w:pPr>
        <w:tabs>
          <w:tab w:val="left" w:pos="993"/>
        </w:tabs>
      </w:pPr>
    </w:p>
    <w:p w14:paraId="46C39AB8" w14:textId="6B87F3BB" w:rsidR="00EA5C6A" w:rsidRPr="00771700" w:rsidRDefault="00EA5C6A" w:rsidP="003B0FB8">
      <w:pPr>
        <w:pStyle w:val="BodyText"/>
        <w:rPr>
          <w:b/>
          <w:strike/>
        </w:rPr>
      </w:pPr>
      <w:r w:rsidRPr="00771700">
        <w:rPr>
          <w:b/>
        </w:rPr>
        <w:t>Downlink</w:t>
      </w:r>
      <w:r w:rsidR="00C805D4">
        <w:rPr>
          <w:b/>
        </w:rPr>
        <w:t xml:space="preserve"> backhaul transmissions </w:t>
      </w:r>
      <w:r w:rsidRPr="00771700">
        <w:rPr>
          <w:b/>
        </w:rPr>
        <w:t>(L</w:t>
      </w:r>
      <w:r w:rsidRPr="00771700">
        <w:rPr>
          <w:b/>
          <w:vertAlign w:val="subscript"/>
        </w:rPr>
        <w:t>C.DL</w:t>
      </w:r>
      <w:r w:rsidRPr="00771700">
        <w:rPr>
          <w:b/>
        </w:rPr>
        <w:t xml:space="preserve">) and downlink access link </w:t>
      </w:r>
      <w:r w:rsidR="00C805D4">
        <w:rPr>
          <w:b/>
        </w:rPr>
        <w:t xml:space="preserve">transmissions </w:t>
      </w:r>
      <w:r w:rsidRPr="00771700">
        <w:rPr>
          <w:b/>
        </w:rPr>
        <w:t>(L</w:t>
      </w:r>
      <w:r w:rsidRPr="00771700">
        <w:rPr>
          <w:b/>
          <w:vertAlign w:val="subscript"/>
        </w:rPr>
        <w:t>U,DL</w:t>
      </w:r>
      <w:r w:rsidRPr="00771700">
        <w:rPr>
          <w:b/>
        </w:rPr>
        <w:t>)</w:t>
      </w:r>
    </w:p>
    <w:p w14:paraId="31C2E59B" w14:textId="383C78AD" w:rsidR="00BF04D7" w:rsidRDefault="00BF04D7" w:rsidP="00BF04D7">
      <w:r>
        <w:t xml:space="preserve">The transmission timing of </w:t>
      </w:r>
      <w:r w:rsidR="00C805D4">
        <w:t>“</w:t>
      </w:r>
      <w:r>
        <w:t>downlink</w:t>
      </w:r>
      <w:r w:rsidR="00C805D4">
        <w:t>”</w:t>
      </w:r>
      <w:r>
        <w:t xml:space="preserve"> transmissions from a IAB node (to UEs under the IAB node as well as to any IAB child node under the IAB node) should be </w:t>
      </w:r>
      <w:r w:rsidR="00C805D4">
        <w:t xml:space="preserve">controlled </w:t>
      </w:r>
      <w:r>
        <w:t xml:space="preserve">by the IAB node itself. </w:t>
      </w:r>
      <w:r w:rsidR="00C805D4">
        <w:t>T</w:t>
      </w:r>
      <w:r w:rsidR="003B0FB8">
        <w:t xml:space="preserve">aking into account the possible use of FDM or SDM between these transmissions and the </w:t>
      </w:r>
      <w:r w:rsidR="00C805D4">
        <w:t>“</w:t>
      </w:r>
      <w:r w:rsidR="003B0FB8">
        <w:t>uplink</w:t>
      </w:r>
      <w:r w:rsidR="00C805D4">
        <w:t>”</w:t>
      </w:r>
      <w:r w:rsidR="003B0FB8">
        <w:t xml:space="preserve"> </w:t>
      </w:r>
      <w:r w:rsidR="00C805D4">
        <w:t>backhaul transmissions (L</w:t>
      </w:r>
      <w:r w:rsidR="00C805D4">
        <w:rPr>
          <w:vertAlign w:val="subscript"/>
        </w:rPr>
        <w:t>P,UL</w:t>
      </w:r>
      <w:r w:rsidR="00C805D4">
        <w:t xml:space="preserve">), a typical choice of timing would probably be to align “downlink” and “uplink” IAB transmissions.  </w:t>
      </w:r>
    </w:p>
    <w:p w14:paraId="30F876A8" w14:textId="77777777" w:rsidR="00C805D4" w:rsidRDefault="00C805D4" w:rsidP="00C805D4">
      <w:pPr>
        <w:tabs>
          <w:tab w:val="left" w:pos="993"/>
        </w:tabs>
        <w:ind w:left="990" w:hanging="990"/>
        <w:rPr>
          <w:b/>
        </w:rPr>
      </w:pPr>
    </w:p>
    <w:p w14:paraId="7C03C606" w14:textId="0B01E0D8" w:rsidR="00C805D4" w:rsidRDefault="00C805D4" w:rsidP="00C805D4">
      <w:pPr>
        <w:tabs>
          <w:tab w:val="left" w:pos="993"/>
        </w:tabs>
        <w:ind w:left="990" w:hanging="990"/>
        <w:rPr>
          <w:i/>
        </w:rPr>
      </w:pPr>
      <w:r w:rsidRPr="00C805D4">
        <w:rPr>
          <w:b/>
        </w:rPr>
        <w:t>Proposal:</w:t>
      </w:r>
      <w:r>
        <w:t xml:space="preserve"> </w:t>
      </w:r>
      <w:r w:rsidRPr="00C805D4">
        <w:rPr>
          <w:i/>
        </w:rPr>
        <w:tab/>
        <w:t>Transmission timing of</w:t>
      </w:r>
      <w:r>
        <w:rPr>
          <w:i/>
        </w:rPr>
        <w:t xml:space="preserve"> downlink</w:t>
      </w:r>
      <w:r w:rsidRPr="00C805D4">
        <w:rPr>
          <w:i/>
        </w:rPr>
        <w:t xml:space="preserve"> </w:t>
      </w:r>
      <w:r>
        <w:rPr>
          <w:i/>
        </w:rPr>
        <w:t xml:space="preserve">IAB </w:t>
      </w:r>
      <w:r w:rsidRPr="00C805D4">
        <w:rPr>
          <w:i/>
        </w:rPr>
        <w:t>transmissions (</w:t>
      </w:r>
      <w:r w:rsidR="00B2281D">
        <w:rPr>
          <w:i/>
        </w:rPr>
        <w:t xml:space="preserve">transmissions from an IAB node </w:t>
      </w:r>
      <w:r>
        <w:rPr>
          <w:i/>
        </w:rPr>
        <w:t xml:space="preserve">to </w:t>
      </w:r>
      <w:r w:rsidR="00B2281D">
        <w:rPr>
          <w:i/>
        </w:rPr>
        <w:t xml:space="preserve">its </w:t>
      </w:r>
      <w:r>
        <w:rPr>
          <w:i/>
        </w:rPr>
        <w:t>child IAB nodes and UEs directly under the IAB node</w:t>
      </w:r>
      <w:r w:rsidRPr="00C805D4">
        <w:rPr>
          <w:i/>
        </w:rPr>
        <w:t>) should b</w:t>
      </w:r>
      <w:r>
        <w:rPr>
          <w:i/>
        </w:rPr>
        <w:t xml:space="preserve">e </w:t>
      </w:r>
      <w:r w:rsidRPr="00C805D4">
        <w:rPr>
          <w:i/>
        </w:rPr>
        <w:t xml:space="preserve">controlled by the </w:t>
      </w:r>
      <w:r>
        <w:rPr>
          <w:i/>
        </w:rPr>
        <w:t>IAB</w:t>
      </w:r>
      <w:r w:rsidRPr="00C805D4">
        <w:rPr>
          <w:i/>
        </w:rPr>
        <w:t xml:space="preserve"> node </w:t>
      </w:r>
      <w:r>
        <w:rPr>
          <w:i/>
        </w:rPr>
        <w:t xml:space="preserve">itself </w:t>
      </w:r>
    </w:p>
    <w:p w14:paraId="42D5324D" w14:textId="77777777" w:rsidR="00C805D4" w:rsidRDefault="00C805D4" w:rsidP="00C805D4">
      <w:pPr>
        <w:tabs>
          <w:tab w:val="left" w:pos="1418"/>
        </w:tabs>
        <w:ind w:left="1418" w:hanging="1418"/>
        <w:rPr>
          <w:b/>
        </w:rPr>
      </w:pPr>
    </w:p>
    <w:p w14:paraId="5C5E3B78" w14:textId="0A142B7E" w:rsidR="00771700" w:rsidRPr="00CD31A6" w:rsidRDefault="00771700" w:rsidP="00C805D4">
      <w:pPr>
        <w:tabs>
          <w:tab w:val="left" w:pos="1418"/>
        </w:tabs>
        <w:ind w:left="1418" w:hanging="1418"/>
      </w:pPr>
      <w:r w:rsidRPr="00EA5C6A">
        <w:rPr>
          <w:b/>
        </w:rPr>
        <w:t xml:space="preserve">Observation: </w:t>
      </w:r>
      <w:r w:rsidR="00C805D4">
        <w:rPr>
          <w:b/>
        </w:rPr>
        <w:tab/>
      </w:r>
      <w:r w:rsidR="00C805D4" w:rsidRPr="00C805D4">
        <w:rPr>
          <w:i/>
        </w:rPr>
        <w:t>In a typical scenario, transmission timing of IAB downlink transmissions would be aligned with uplink backhaul transmissions from the</w:t>
      </w:r>
      <w:r w:rsidR="00C805D4">
        <w:rPr>
          <w:i/>
        </w:rPr>
        <w:t xml:space="preserve"> IAB node. </w:t>
      </w:r>
    </w:p>
    <w:p w14:paraId="1FF7FA1B" w14:textId="77777777" w:rsidR="00BF04D7" w:rsidRDefault="00BF04D7" w:rsidP="003B0FB8">
      <w:pPr>
        <w:pStyle w:val="Heading2"/>
      </w:pPr>
      <w:r>
        <w:t>Scheduling</w:t>
      </w:r>
    </w:p>
    <w:p w14:paraId="31954C78" w14:textId="401F91A5" w:rsidR="00C805D4" w:rsidRPr="00C805D4" w:rsidRDefault="00C805D4" w:rsidP="00BF04D7">
      <w:r w:rsidRPr="00C805D4">
        <w:t>One also needs to consider the scheduling principles for the different backhaul links</w:t>
      </w:r>
    </w:p>
    <w:p w14:paraId="1725CB46" w14:textId="77777777" w:rsidR="00C805D4" w:rsidRDefault="00C805D4" w:rsidP="00BF04D7">
      <w:pPr>
        <w:rPr>
          <w:b/>
        </w:rPr>
      </w:pPr>
      <w:r>
        <w:rPr>
          <w:b/>
        </w:rPr>
        <w:t>“Uplink” backhaul transmissions</w:t>
      </w:r>
      <w:r w:rsidRPr="00CD31A6">
        <w:rPr>
          <w:b/>
        </w:rPr>
        <w:t xml:space="preserve"> (L</w:t>
      </w:r>
      <w:r w:rsidRPr="00CD31A6">
        <w:rPr>
          <w:b/>
          <w:vertAlign w:val="subscript"/>
        </w:rPr>
        <w:t>P.UL</w:t>
      </w:r>
      <w:r>
        <w:rPr>
          <w:b/>
        </w:rPr>
        <w:t xml:space="preserve"> and L</w:t>
      </w:r>
      <w:r>
        <w:rPr>
          <w:b/>
          <w:vertAlign w:val="subscript"/>
        </w:rPr>
        <w:t>C,UL</w:t>
      </w:r>
      <w:r>
        <w:rPr>
          <w:b/>
        </w:rPr>
        <w:t>)</w:t>
      </w:r>
    </w:p>
    <w:p w14:paraId="074293F3" w14:textId="4735293A" w:rsidR="00BF04D7" w:rsidRDefault="00C805D4" w:rsidP="00BF04D7">
      <w:r>
        <w:t>Once again, it has been agreed that the starting point of the backhaul link should be Rel. 15 physical layer. Thus,</w:t>
      </w:r>
      <w:r w:rsidR="00BF04D7">
        <w:t xml:space="preserve"> the “uplink” backhaul links should be scheduled by scheduling grants provided by the parent node, similar to</w:t>
      </w:r>
      <w:r>
        <w:t xml:space="preserve"> </w:t>
      </w:r>
      <w:r w:rsidR="00BF04D7">
        <w:t>R</w:t>
      </w:r>
      <w:r>
        <w:t>el-</w:t>
      </w:r>
      <w:r w:rsidR="00BF04D7">
        <w:t xml:space="preserve">15 uplink transmissions. </w:t>
      </w:r>
      <w:r>
        <w:t>Rel-15 d</w:t>
      </w:r>
      <w:r w:rsidR="00BF04D7">
        <w:t xml:space="preserve">ynamic </w:t>
      </w:r>
      <w:r>
        <w:t xml:space="preserve">uplink </w:t>
      </w:r>
      <w:r w:rsidR="00BF04D7">
        <w:t xml:space="preserve">scheduling </w:t>
      </w:r>
      <w:r>
        <w:t>should be supported</w:t>
      </w:r>
      <w:r w:rsidR="00BF04D7">
        <w:t xml:space="preserve">. However, semi-static or semi-persistent scheduling should also </w:t>
      </w:r>
      <w:r w:rsidR="00B2281D">
        <w:t xml:space="preserve">be </w:t>
      </w:r>
      <w:r w:rsidR="00BF04D7">
        <w:t>supported as a complement</w:t>
      </w:r>
      <w:r>
        <w:t>.</w:t>
      </w:r>
    </w:p>
    <w:p w14:paraId="50FCA3ED" w14:textId="77777777" w:rsidR="00C805D4" w:rsidRDefault="00C805D4" w:rsidP="00C805D4">
      <w:pPr>
        <w:tabs>
          <w:tab w:val="left" w:pos="993"/>
        </w:tabs>
        <w:ind w:left="990" w:hanging="990"/>
        <w:rPr>
          <w:b/>
        </w:rPr>
      </w:pPr>
    </w:p>
    <w:p w14:paraId="5DCBE2F6" w14:textId="5BF6DE9B" w:rsidR="00C805D4" w:rsidRDefault="00C805D4" w:rsidP="00C805D4">
      <w:pPr>
        <w:tabs>
          <w:tab w:val="left" w:pos="993"/>
        </w:tabs>
        <w:ind w:left="990" w:hanging="990"/>
        <w:rPr>
          <w:i/>
        </w:rPr>
      </w:pPr>
      <w:r w:rsidRPr="00C805D4">
        <w:rPr>
          <w:b/>
        </w:rPr>
        <w:t>Proposal:</w:t>
      </w:r>
      <w:r>
        <w:t xml:space="preserve"> </w:t>
      </w:r>
      <w:r w:rsidRPr="00C805D4">
        <w:rPr>
          <w:i/>
        </w:rPr>
        <w:tab/>
      </w:r>
      <w:r>
        <w:rPr>
          <w:i/>
        </w:rPr>
        <w:t xml:space="preserve">Uplink IAB transmission </w:t>
      </w:r>
      <w:r w:rsidRPr="00C805D4">
        <w:rPr>
          <w:i/>
        </w:rPr>
        <w:t>(</w:t>
      </w:r>
      <w:r w:rsidR="00B2281D">
        <w:rPr>
          <w:i/>
        </w:rPr>
        <w:t xml:space="preserve">transmissions from an IAB node </w:t>
      </w:r>
      <w:r>
        <w:rPr>
          <w:i/>
        </w:rPr>
        <w:t xml:space="preserve">to </w:t>
      </w:r>
      <w:r w:rsidR="00B2281D">
        <w:rPr>
          <w:i/>
        </w:rPr>
        <w:t>its</w:t>
      </w:r>
      <w:r>
        <w:rPr>
          <w:i/>
        </w:rPr>
        <w:t xml:space="preserve"> parent node</w:t>
      </w:r>
      <w:r w:rsidRPr="00C805D4">
        <w:rPr>
          <w:i/>
        </w:rPr>
        <w:t xml:space="preserve">) </w:t>
      </w:r>
      <w:r>
        <w:rPr>
          <w:i/>
        </w:rPr>
        <w:t xml:space="preserve">should be scheduled by the parent node. Fully dynamic as well as semi-persistent/semi-static scheduling should be supported. </w:t>
      </w:r>
    </w:p>
    <w:p w14:paraId="5FAF66F3" w14:textId="77777777" w:rsidR="00C805D4" w:rsidRDefault="00C805D4" w:rsidP="00BF04D7"/>
    <w:p w14:paraId="08EB0E63" w14:textId="77777777" w:rsidR="00C805D4" w:rsidRPr="00771700" w:rsidRDefault="00C805D4" w:rsidP="00C805D4">
      <w:pPr>
        <w:pStyle w:val="BodyText"/>
        <w:rPr>
          <w:b/>
          <w:strike/>
        </w:rPr>
      </w:pPr>
      <w:r w:rsidRPr="00771700">
        <w:rPr>
          <w:b/>
        </w:rPr>
        <w:t xml:space="preserve">“Downlink” </w:t>
      </w:r>
      <w:r>
        <w:rPr>
          <w:b/>
        </w:rPr>
        <w:t xml:space="preserve">backhaul transmissions </w:t>
      </w:r>
      <w:r w:rsidRPr="00771700">
        <w:rPr>
          <w:b/>
        </w:rPr>
        <w:t>(L</w:t>
      </w:r>
      <w:r w:rsidRPr="00771700">
        <w:rPr>
          <w:b/>
          <w:vertAlign w:val="subscript"/>
        </w:rPr>
        <w:t>C.DL</w:t>
      </w:r>
      <w:r w:rsidRPr="00771700">
        <w:rPr>
          <w:b/>
        </w:rPr>
        <w:t xml:space="preserve">) and downlink access link </w:t>
      </w:r>
      <w:r>
        <w:rPr>
          <w:b/>
        </w:rPr>
        <w:t xml:space="preserve">transmissions </w:t>
      </w:r>
      <w:r w:rsidRPr="00771700">
        <w:rPr>
          <w:b/>
        </w:rPr>
        <w:t>(L</w:t>
      </w:r>
      <w:r w:rsidRPr="00771700">
        <w:rPr>
          <w:b/>
          <w:vertAlign w:val="subscript"/>
        </w:rPr>
        <w:t>U,DL</w:t>
      </w:r>
      <w:r w:rsidRPr="00771700">
        <w:rPr>
          <w:b/>
        </w:rPr>
        <w:t>)</w:t>
      </w:r>
    </w:p>
    <w:p w14:paraId="14A396DA" w14:textId="5CF54786" w:rsidR="00C805D4" w:rsidRDefault="00C805D4" w:rsidP="00BF04D7">
      <w:r>
        <w:t xml:space="preserve">“Downlink” scheduling at the IAB node should be under the control of the IAB node itself. However, the scheduling may have to be constrained by the parent node, for example to enable half-duplex IAB operation. </w:t>
      </w:r>
    </w:p>
    <w:p w14:paraId="0F76E460" w14:textId="2B352743" w:rsidR="00C805D4" w:rsidRDefault="00C805D4" w:rsidP="00C805D4">
      <w:pPr>
        <w:tabs>
          <w:tab w:val="left" w:pos="993"/>
        </w:tabs>
        <w:ind w:left="990" w:hanging="990"/>
        <w:rPr>
          <w:i/>
        </w:rPr>
      </w:pPr>
      <w:r w:rsidRPr="00C805D4">
        <w:rPr>
          <w:b/>
        </w:rPr>
        <w:t>Proposal:</w:t>
      </w:r>
      <w:r>
        <w:t xml:space="preserve"> </w:t>
      </w:r>
      <w:r w:rsidRPr="00C805D4">
        <w:rPr>
          <w:i/>
        </w:rPr>
        <w:tab/>
      </w:r>
      <w:r>
        <w:rPr>
          <w:i/>
        </w:rPr>
        <w:t xml:space="preserve">Downlink IAB transmissions </w:t>
      </w:r>
      <w:r w:rsidRPr="00C805D4">
        <w:rPr>
          <w:i/>
        </w:rPr>
        <w:t>(</w:t>
      </w:r>
      <w:r w:rsidR="00B2281D">
        <w:rPr>
          <w:i/>
        </w:rPr>
        <w:t xml:space="preserve">transmissions from an IAB node </w:t>
      </w:r>
      <w:r>
        <w:rPr>
          <w:i/>
        </w:rPr>
        <w:t xml:space="preserve">to </w:t>
      </w:r>
      <w:r w:rsidR="00B2281D">
        <w:rPr>
          <w:i/>
        </w:rPr>
        <w:t xml:space="preserve">its </w:t>
      </w:r>
      <w:r>
        <w:rPr>
          <w:i/>
        </w:rPr>
        <w:t>child IAB nodes and UEs directly under the IAB node</w:t>
      </w:r>
      <w:r w:rsidRPr="00C805D4">
        <w:rPr>
          <w:i/>
        </w:rPr>
        <w:t xml:space="preserve">) </w:t>
      </w:r>
      <w:r>
        <w:rPr>
          <w:i/>
        </w:rPr>
        <w:t xml:space="preserve">should be controlled by the IAB node itself, with possible restrictions imposed by the parent node. </w:t>
      </w:r>
    </w:p>
    <w:p w14:paraId="1F093964" w14:textId="59F0EE51" w:rsidR="00404853" w:rsidRDefault="00C805D4" w:rsidP="00C805D4">
      <w:pPr>
        <w:pStyle w:val="Heading1"/>
      </w:pPr>
      <w:r>
        <w:t>Proposals</w:t>
      </w:r>
    </w:p>
    <w:p w14:paraId="43ED06D6" w14:textId="77777777" w:rsidR="00B2281D" w:rsidRDefault="00B2281D" w:rsidP="00B2281D">
      <w:pPr>
        <w:tabs>
          <w:tab w:val="left" w:pos="993"/>
        </w:tabs>
        <w:ind w:left="990" w:hanging="990"/>
      </w:pPr>
      <w:r w:rsidRPr="00C805D4">
        <w:rPr>
          <w:b/>
        </w:rPr>
        <w:t>Proposal:</w:t>
      </w:r>
      <w:r>
        <w:t xml:space="preserve"> </w:t>
      </w:r>
      <w:r w:rsidRPr="00C805D4">
        <w:rPr>
          <w:i/>
        </w:rPr>
        <w:tab/>
      </w:r>
      <w:r>
        <w:rPr>
          <w:i/>
        </w:rPr>
        <w:t>Discuss further the use of “downlink” and “uplink” time/frequency resources in the context of an IAB node</w:t>
      </w:r>
    </w:p>
    <w:p w14:paraId="30A9EFF0" w14:textId="3339C127" w:rsidR="00C805D4" w:rsidRDefault="00C805D4" w:rsidP="00C805D4">
      <w:pPr>
        <w:tabs>
          <w:tab w:val="left" w:pos="993"/>
        </w:tabs>
        <w:ind w:left="990" w:hanging="990"/>
      </w:pPr>
      <w:r w:rsidRPr="00C805D4">
        <w:rPr>
          <w:b/>
        </w:rPr>
        <w:t>Proposal:</w:t>
      </w:r>
      <w:r>
        <w:t xml:space="preserve"> </w:t>
      </w:r>
      <w:r w:rsidRPr="00C805D4">
        <w:rPr>
          <w:i/>
        </w:rPr>
        <w:tab/>
        <w:t xml:space="preserve">Transmission timing of </w:t>
      </w:r>
      <w:r>
        <w:rPr>
          <w:i/>
        </w:rPr>
        <w:t xml:space="preserve">uplink </w:t>
      </w:r>
      <w:r w:rsidRPr="00C805D4">
        <w:rPr>
          <w:i/>
        </w:rPr>
        <w:t>IAB transmissions (</w:t>
      </w:r>
      <w:r w:rsidR="00B2281D">
        <w:rPr>
          <w:i/>
        </w:rPr>
        <w:t xml:space="preserve">transmissions from an IAB node </w:t>
      </w:r>
      <w:r>
        <w:rPr>
          <w:i/>
        </w:rPr>
        <w:t xml:space="preserve">to </w:t>
      </w:r>
      <w:r w:rsidR="00B2281D">
        <w:rPr>
          <w:i/>
        </w:rPr>
        <w:t xml:space="preserve">its </w:t>
      </w:r>
      <w:r w:rsidRPr="00C805D4">
        <w:rPr>
          <w:i/>
        </w:rPr>
        <w:t>parent</w:t>
      </w:r>
      <w:r>
        <w:rPr>
          <w:i/>
        </w:rPr>
        <w:t xml:space="preserve"> node</w:t>
      </w:r>
      <w:r w:rsidRPr="00C805D4">
        <w:rPr>
          <w:i/>
        </w:rPr>
        <w:t xml:space="preserve">) should be controlled by the parent node </w:t>
      </w:r>
      <w:r>
        <w:rPr>
          <w:i/>
        </w:rPr>
        <w:t xml:space="preserve">in the same way as </w:t>
      </w:r>
      <w:r w:rsidRPr="00C805D4">
        <w:rPr>
          <w:i/>
        </w:rPr>
        <w:t>R</w:t>
      </w:r>
      <w:r>
        <w:rPr>
          <w:i/>
        </w:rPr>
        <w:t xml:space="preserve">el. </w:t>
      </w:r>
      <w:r w:rsidRPr="00C805D4">
        <w:rPr>
          <w:i/>
        </w:rPr>
        <w:t>15 uplink transmission</w:t>
      </w:r>
      <w:r>
        <w:rPr>
          <w:i/>
        </w:rPr>
        <w:t>s</w:t>
      </w:r>
    </w:p>
    <w:p w14:paraId="4530DE7B" w14:textId="3F4D0E31" w:rsidR="00C805D4" w:rsidRDefault="00C805D4" w:rsidP="00C805D4">
      <w:pPr>
        <w:tabs>
          <w:tab w:val="left" w:pos="993"/>
        </w:tabs>
        <w:ind w:left="990" w:hanging="990"/>
        <w:rPr>
          <w:i/>
        </w:rPr>
      </w:pPr>
      <w:r w:rsidRPr="00C805D4">
        <w:rPr>
          <w:b/>
        </w:rPr>
        <w:t>Proposal:</w:t>
      </w:r>
      <w:r>
        <w:t xml:space="preserve"> </w:t>
      </w:r>
      <w:r w:rsidRPr="00C805D4">
        <w:rPr>
          <w:i/>
        </w:rPr>
        <w:tab/>
        <w:t>Transmission timing of</w:t>
      </w:r>
      <w:r>
        <w:rPr>
          <w:i/>
        </w:rPr>
        <w:t xml:space="preserve"> downlink</w:t>
      </w:r>
      <w:r w:rsidRPr="00C805D4">
        <w:rPr>
          <w:i/>
        </w:rPr>
        <w:t xml:space="preserve"> </w:t>
      </w:r>
      <w:r>
        <w:rPr>
          <w:i/>
        </w:rPr>
        <w:t xml:space="preserve">IAB </w:t>
      </w:r>
      <w:r w:rsidRPr="00C805D4">
        <w:rPr>
          <w:i/>
        </w:rPr>
        <w:t>transmissions (</w:t>
      </w:r>
      <w:r w:rsidR="00B2281D">
        <w:rPr>
          <w:i/>
        </w:rPr>
        <w:t xml:space="preserve">transmissions from an IAB node </w:t>
      </w:r>
      <w:r>
        <w:rPr>
          <w:i/>
        </w:rPr>
        <w:t xml:space="preserve">to </w:t>
      </w:r>
      <w:r w:rsidR="00B2281D">
        <w:rPr>
          <w:i/>
        </w:rPr>
        <w:t xml:space="preserve">its </w:t>
      </w:r>
      <w:r>
        <w:rPr>
          <w:i/>
        </w:rPr>
        <w:t>child IAB nodes and UEs directly under the IAB node</w:t>
      </w:r>
      <w:r w:rsidRPr="00C805D4">
        <w:rPr>
          <w:i/>
        </w:rPr>
        <w:t>) should b</w:t>
      </w:r>
      <w:r>
        <w:rPr>
          <w:i/>
        </w:rPr>
        <w:t xml:space="preserve">e </w:t>
      </w:r>
      <w:r w:rsidRPr="00C805D4">
        <w:rPr>
          <w:i/>
        </w:rPr>
        <w:t xml:space="preserve">controlled by the </w:t>
      </w:r>
      <w:r>
        <w:rPr>
          <w:i/>
        </w:rPr>
        <w:t>IAB</w:t>
      </w:r>
      <w:r w:rsidRPr="00C805D4">
        <w:rPr>
          <w:i/>
        </w:rPr>
        <w:t xml:space="preserve"> node </w:t>
      </w:r>
      <w:r>
        <w:rPr>
          <w:i/>
        </w:rPr>
        <w:t xml:space="preserve">itself </w:t>
      </w:r>
    </w:p>
    <w:p w14:paraId="23E0F941" w14:textId="0D634CCA" w:rsidR="00C805D4" w:rsidRDefault="00C805D4" w:rsidP="00C805D4">
      <w:pPr>
        <w:tabs>
          <w:tab w:val="left" w:pos="993"/>
        </w:tabs>
        <w:ind w:left="990" w:hanging="990"/>
        <w:rPr>
          <w:i/>
        </w:rPr>
      </w:pPr>
      <w:r w:rsidRPr="00C805D4">
        <w:rPr>
          <w:b/>
        </w:rPr>
        <w:t>Proposal:</w:t>
      </w:r>
      <w:r>
        <w:t xml:space="preserve"> </w:t>
      </w:r>
      <w:r w:rsidRPr="00C805D4">
        <w:rPr>
          <w:i/>
        </w:rPr>
        <w:tab/>
      </w:r>
      <w:r>
        <w:rPr>
          <w:i/>
        </w:rPr>
        <w:t xml:space="preserve">Uplink IAB transmission </w:t>
      </w:r>
      <w:r w:rsidRPr="00C805D4">
        <w:rPr>
          <w:i/>
        </w:rPr>
        <w:t>(</w:t>
      </w:r>
      <w:r w:rsidR="00B2281D">
        <w:rPr>
          <w:i/>
        </w:rPr>
        <w:t xml:space="preserve">transmissions from an IAB node </w:t>
      </w:r>
      <w:r>
        <w:rPr>
          <w:i/>
        </w:rPr>
        <w:t xml:space="preserve">to </w:t>
      </w:r>
      <w:r w:rsidR="00B2281D">
        <w:rPr>
          <w:i/>
        </w:rPr>
        <w:t>its</w:t>
      </w:r>
      <w:r>
        <w:rPr>
          <w:i/>
        </w:rPr>
        <w:t xml:space="preserve"> parent</w:t>
      </w:r>
      <w:r w:rsidR="00B2281D">
        <w:rPr>
          <w:i/>
        </w:rPr>
        <w:t xml:space="preserve"> </w:t>
      </w:r>
      <w:r>
        <w:rPr>
          <w:i/>
        </w:rPr>
        <w:t>node</w:t>
      </w:r>
      <w:r w:rsidRPr="00C805D4">
        <w:rPr>
          <w:i/>
        </w:rPr>
        <w:t xml:space="preserve">) </w:t>
      </w:r>
      <w:r>
        <w:rPr>
          <w:i/>
        </w:rPr>
        <w:t xml:space="preserve">should be scheduled by the parent node. Fully dynamic as well as semi-persistent/semi-static scheduling should be supported. </w:t>
      </w:r>
    </w:p>
    <w:p w14:paraId="3DEB841F" w14:textId="58CBD12A" w:rsidR="00C805D4" w:rsidRDefault="00C805D4" w:rsidP="00C805D4">
      <w:pPr>
        <w:tabs>
          <w:tab w:val="left" w:pos="993"/>
        </w:tabs>
        <w:ind w:left="990" w:hanging="990"/>
        <w:rPr>
          <w:i/>
        </w:rPr>
      </w:pPr>
      <w:r w:rsidRPr="00C805D4">
        <w:rPr>
          <w:b/>
        </w:rPr>
        <w:t>Proposal:</w:t>
      </w:r>
      <w:r>
        <w:t xml:space="preserve"> </w:t>
      </w:r>
      <w:r w:rsidRPr="00C805D4">
        <w:rPr>
          <w:i/>
        </w:rPr>
        <w:tab/>
      </w:r>
      <w:r>
        <w:rPr>
          <w:i/>
        </w:rPr>
        <w:t xml:space="preserve">Downlink IAB transmissions </w:t>
      </w:r>
      <w:r w:rsidRPr="00C805D4">
        <w:rPr>
          <w:i/>
        </w:rPr>
        <w:t>(</w:t>
      </w:r>
      <w:r w:rsidR="00B2281D">
        <w:rPr>
          <w:i/>
        </w:rPr>
        <w:t xml:space="preserve">transmissions from an IAB node </w:t>
      </w:r>
      <w:r>
        <w:rPr>
          <w:i/>
        </w:rPr>
        <w:t xml:space="preserve">to </w:t>
      </w:r>
      <w:r w:rsidR="00B2281D">
        <w:rPr>
          <w:i/>
        </w:rPr>
        <w:t xml:space="preserve">to its </w:t>
      </w:r>
      <w:r>
        <w:rPr>
          <w:i/>
        </w:rPr>
        <w:t>child IAB nodes and UEs directly under the IAB node</w:t>
      </w:r>
      <w:r w:rsidRPr="00C805D4">
        <w:rPr>
          <w:i/>
        </w:rPr>
        <w:t xml:space="preserve">) </w:t>
      </w:r>
      <w:r>
        <w:rPr>
          <w:i/>
        </w:rPr>
        <w:t xml:space="preserve">should be controlled by the IAB node itself, with possible restrictions imposed by the parent node. </w:t>
      </w:r>
    </w:p>
    <w:sectPr w:rsidR="00C805D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4BBA3" w14:textId="77777777" w:rsidR="00E40538" w:rsidRDefault="00E40538">
      <w:r>
        <w:separator/>
      </w:r>
    </w:p>
  </w:endnote>
  <w:endnote w:type="continuationSeparator" w:id="0">
    <w:p w14:paraId="1EFD88A6" w14:textId="77777777" w:rsidR="00E40538" w:rsidRDefault="00E4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00000287"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66212A1B" w:rsidR="00DD47CA" w:rsidRDefault="00DD47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05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053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BE5E9" w14:textId="77777777" w:rsidR="00E40538" w:rsidRDefault="00E40538">
      <w:r>
        <w:separator/>
      </w:r>
    </w:p>
  </w:footnote>
  <w:footnote w:type="continuationSeparator" w:id="0">
    <w:p w14:paraId="1817FD23" w14:textId="77777777" w:rsidR="00E40538" w:rsidRDefault="00E4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DD47CA" w:rsidRDefault="00DD47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972298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strike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17932"/>
    <w:multiLevelType w:val="hybridMultilevel"/>
    <w:tmpl w:val="8234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B0466"/>
    <w:multiLevelType w:val="hybridMultilevel"/>
    <w:tmpl w:val="B91C1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5F6100"/>
    <w:multiLevelType w:val="hybridMultilevel"/>
    <w:tmpl w:val="2E70E072"/>
    <w:lvl w:ilvl="0" w:tplc="A6ACC1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A7C57"/>
    <w:multiLevelType w:val="hybridMultilevel"/>
    <w:tmpl w:val="0A50F932"/>
    <w:lvl w:ilvl="0" w:tplc="F876777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B27BC1"/>
    <w:multiLevelType w:val="hybridMultilevel"/>
    <w:tmpl w:val="AEAEB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8E613D"/>
    <w:multiLevelType w:val="hybridMultilevel"/>
    <w:tmpl w:val="BB1CAD60"/>
    <w:lvl w:ilvl="0" w:tplc="A6ACC15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90132"/>
    <w:multiLevelType w:val="hybridMultilevel"/>
    <w:tmpl w:val="597090FA"/>
    <w:lvl w:ilvl="0" w:tplc="93189366">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797038"/>
    <w:multiLevelType w:val="hybridMultilevel"/>
    <w:tmpl w:val="C4AEBE9A"/>
    <w:lvl w:ilvl="0" w:tplc="32DA46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5"/>
  </w:num>
  <w:num w:numId="16">
    <w:abstractNumId w:val="7"/>
  </w:num>
  <w:num w:numId="17">
    <w:abstractNumId w:val="20"/>
  </w:num>
  <w:num w:numId="18">
    <w:abstractNumId w:val="28"/>
  </w:num>
  <w:num w:numId="19">
    <w:abstractNumId w:val="6"/>
  </w:num>
  <w:num w:numId="20">
    <w:abstractNumId w:val="5"/>
  </w:num>
  <w:num w:numId="21">
    <w:abstractNumId w:val="18"/>
  </w:num>
  <w:num w:numId="22">
    <w:abstractNumId w:val="22"/>
  </w:num>
  <w:num w:numId="23">
    <w:abstractNumId w:val="8"/>
  </w:num>
  <w:num w:numId="24">
    <w:abstractNumId w:val="24"/>
  </w:num>
  <w:num w:numId="25">
    <w:abstractNumId w:val="12"/>
  </w:num>
  <w:num w:numId="26">
    <w:abstractNumId w:val="23"/>
  </w:num>
  <w:num w:numId="27">
    <w:abstractNumId w:val="27"/>
  </w:num>
  <w:num w:numId="28">
    <w:abstractNumId w:val="26"/>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4D9"/>
    <w:rsid w:val="000039F4"/>
    <w:rsid w:val="00006446"/>
    <w:rsid w:val="00006896"/>
    <w:rsid w:val="00007CDC"/>
    <w:rsid w:val="00011B28"/>
    <w:rsid w:val="00013642"/>
    <w:rsid w:val="000145D6"/>
    <w:rsid w:val="00015D15"/>
    <w:rsid w:val="00017DCE"/>
    <w:rsid w:val="0002564D"/>
    <w:rsid w:val="00025ECA"/>
    <w:rsid w:val="000325B8"/>
    <w:rsid w:val="00034C15"/>
    <w:rsid w:val="00036BA1"/>
    <w:rsid w:val="000422E2"/>
    <w:rsid w:val="00042F22"/>
    <w:rsid w:val="000444EF"/>
    <w:rsid w:val="00052A07"/>
    <w:rsid w:val="000534E3"/>
    <w:rsid w:val="0005606A"/>
    <w:rsid w:val="00056D7B"/>
    <w:rsid w:val="00057117"/>
    <w:rsid w:val="00060391"/>
    <w:rsid w:val="000616E7"/>
    <w:rsid w:val="0006487E"/>
    <w:rsid w:val="00065E1A"/>
    <w:rsid w:val="00066DEE"/>
    <w:rsid w:val="000768B9"/>
    <w:rsid w:val="00077E5F"/>
    <w:rsid w:val="0008036A"/>
    <w:rsid w:val="00081AE6"/>
    <w:rsid w:val="000855EB"/>
    <w:rsid w:val="00085B52"/>
    <w:rsid w:val="000866F2"/>
    <w:rsid w:val="0009009F"/>
    <w:rsid w:val="00091557"/>
    <w:rsid w:val="000924C1"/>
    <w:rsid w:val="000924F0"/>
    <w:rsid w:val="00093474"/>
    <w:rsid w:val="0009510F"/>
    <w:rsid w:val="000A1B7B"/>
    <w:rsid w:val="000A3AE0"/>
    <w:rsid w:val="000A56F2"/>
    <w:rsid w:val="000B2719"/>
    <w:rsid w:val="000B3A8F"/>
    <w:rsid w:val="000B4AB9"/>
    <w:rsid w:val="000B58C3"/>
    <w:rsid w:val="000B61E9"/>
    <w:rsid w:val="000C165A"/>
    <w:rsid w:val="000C2E19"/>
    <w:rsid w:val="000D0D07"/>
    <w:rsid w:val="000D4797"/>
    <w:rsid w:val="000D5AB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6DB"/>
    <w:rsid w:val="00126B4A"/>
    <w:rsid w:val="00132FD0"/>
    <w:rsid w:val="001344C0"/>
    <w:rsid w:val="001346FA"/>
    <w:rsid w:val="00135252"/>
    <w:rsid w:val="00137AB5"/>
    <w:rsid w:val="00137F0B"/>
    <w:rsid w:val="00151E23"/>
    <w:rsid w:val="001526E0"/>
    <w:rsid w:val="00154EC7"/>
    <w:rsid w:val="001551B5"/>
    <w:rsid w:val="00157655"/>
    <w:rsid w:val="001639B5"/>
    <w:rsid w:val="001659C1"/>
    <w:rsid w:val="00173A8E"/>
    <w:rsid w:val="00177795"/>
    <w:rsid w:val="0018143F"/>
    <w:rsid w:val="00185C33"/>
    <w:rsid w:val="00190AC1"/>
    <w:rsid w:val="0019341A"/>
    <w:rsid w:val="00197DF9"/>
    <w:rsid w:val="001A1987"/>
    <w:rsid w:val="001A2564"/>
    <w:rsid w:val="001A2825"/>
    <w:rsid w:val="001A296D"/>
    <w:rsid w:val="001A6173"/>
    <w:rsid w:val="001A6CBA"/>
    <w:rsid w:val="001B0D97"/>
    <w:rsid w:val="001B5A5D"/>
    <w:rsid w:val="001C1CE5"/>
    <w:rsid w:val="001C3D2A"/>
    <w:rsid w:val="001C7876"/>
    <w:rsid w:val="001D3883"/>
    <w:rsid w:val="001D51BA"/>
    <w:rsid w:val="001D56BB"/>
    <w:rsid w:val="001D6342"/>
    <w:rsid w:val="001D6D53"/>
    <w:rsid w:val="001E58E2"/>
    <w:rsid w:val="001E7AED"/>
    <w:rsid w:val="001F3916"/>
    <w:rsid w:val="001F54C5"/>
    <w:rsid w:val="001F662C"/>
    <w:rsid w:val="001F7074"/>
    <w:rsid w:val="00200490"/>
    <w:rsid w:val="00201F3A"/>
    <w:rsid w:val="00203F96"/>
    <w:rsid w:val="002069B2"/>
    <w:rsid w:val="00207FA3"/>
    <w:rsid w:val="002111AB"/>
    <w:rsid w:val="00214DA8"/>
    <w:rsid w:val="00215423"/>
    <w:rsid w:val="002158FA"/>
    <w:rsid w:val="00220600"/>
    <w:rsid w:val="002224DB"/>
    <w:rsid w:val="00223FCB"/>
    <w:rsid w:val="002252C3"/>
    <w:rsid w:val="00225C54"/>
    <w:rsid w:val="00230765"/>
    <w:rsid w:val="002319E4"/>
    <w:rsid w:val="00235632"/>
    <w:rsid w:val="00235872"/>
    <w:rsid w:val="0023595C"/>
    <w:rsid w:val="00236867"/>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260"/>
    <w:rsid w:val="0029777D"/>
    <w:rsid w:val="002A055E"/>
    <w:rsid w:val="002A1D4E"/>
    <w:rsid w:val="002A2869"/>
    <w:rsid w:val="002A3881"/>
    <w:rsid w:val="002B24D6"/>
    <w:rsid w:val="002C11C2"/>
    <w:rsid w:val="002C41E6"/>
    <w:rsid w:val="002C5E68"/>
    <w:rsid w:val="002C6A87"/>
    <w:rsid w:val="002D071A"/>
    <w:rsid w:val="002D34B2"/>
    <w:rsid w:val="002D7637"/>
    <w:rsid w:val="002E17F2"/>
    <w:rsid w:val="002E3F65"/>
    <w:rsid w:val="002E5C05"/>
    <w:rsid w:val="002E7CAE"/>
    <w:rsid w:val="002F2771"/>
    <w:rsid w:val="002F37A9"/>
    <w:rsid w:val="002F406D"/>
    <w:rsid w:val="00301408"/>
    <w:rsid w:val="00301CE6"/>
    <w:rsid w:val="0030256B"/>
    <w:rsid w:val="0030501F"/>
    <w:rsid w:val="00307220"/>
    <w:rsid w:val="00307BA1"/>
    <w:rsid w:val="00311702"/>
    <w:rsid w:val="00311E82"/>
    <w:rsid w:val="00313FD6"/>
    <w:rsid w:val="003143BD"/>
    <w:rsid w:val="003203ED"/>
    <w:rsid w:val="00320DC4"/>
    <w:rsid w:val="003220D3"/>
    <w:rsid w:val="00322C9F"/>
    <w:rsid w:val="00324D23"/>
    <w:rsid w:val="00331751"/>
    <w:rsid w:val="00334579"/>
    <w:rsid w:val="00335858"/>
    <w:rsid w:val="00336BDA"/>
    <w:rsid w:val="00341F6D"/>
    <w:rsid w:val="00342BD7"/>
    <w:rsid w:val="00343A07"/>
    <w:rsid w:val="00345FE8"/>
    <w:rsid w:val="00346DB5"/>
    <w:rsid w:val="003477B1"/>
    <w:rsid w:val="0035491B"/>
    <w:rsid w:val="00357380"/>
    <w:rsid w:val="003602D9"/>
    <w:rsid w:val="003604CE"/>
    <w:rsid w:val="00370E47"/>
    <w:rsid w:val="003742AC"/>
    <w:rsid w:val="00377CE1"/>
    <w:rsid w:val="00382707"/>
    <w:rsid w:val="0038349F"/>
    <w:rsid w:val="00385BF0"/>
    <w:rsid w:val="003870D2"/>
    <w:rsid w:val="003939FF"/>
    <w:rsid w:val="003A2223"/>
    <w:rsid w:val="003A2A0F"/>
    <w:rsid w:val="003A45A1"/>
    <w:rsid w:val="003A5B0A"/>
    <w:rsid w:val="003A6BAC"/>
    <w:rsid w:val="003A7EF3"/>
    <w:rsid w:val="003B0FB8"/>
    <w:rsid w:val="003B159C"/>
    <w:rsid w:val="003B369F"/>
    <w:rsid w:val="003B36A3"/>
    <w:rsid w:val="003B460B"/>
    <w:rsid w:val="003B7851"/>
    <w:rsid w:val="003B7FE5"/>
    <w:rsid w:val="003C11C8"/>
    <w:rsid w:val="003C2702"/>
    <w:rsid w:val="003C50D4"/>
    <w:rsid w:val="003C7806"/>
    <w:rsid w:val="003D109F"/>
    <w:rsid w:val="003D2478"/>
    <w:rsid w:val="003D3C45"/>
    <w:rsid w:val="003D5B1F"/>
    <w:rsid w:val="003E15FA"/>
    <w:rsid w:val="003E35FB"/>
    <w:rsid w:val="003E481B"/>
    <w:rsid w:val="003E55E4"/>
    <w:rsid w:val="003E74E3"/>
    <w:rsid w:val="003F05C7"/>
    <w:rsid w:val="003F2CD4"/>
    <w:rsid w:val="003F31EE"/>
    <w:rsid w:val="003F6BBE"/>
    <w:rsid w:val="004000E8"/>
    <w:rsid w:val="00402E2B"/>
    <w:rsid w:val="00404853"/>
    <w:rsid w:val="0040512B"/>
    <w:rsid w:val="00405CA5"/>
    <w:rsid w:val="00407CD3"/>
    <w:rsid w:val="00410134"/>
    <w:rsid w:val="00410B72"/>
    <w:rsid w:val="00410F18"/>
    <w:rsid w:val="0041263E"/>
    <w:rsid w:val="0041320E"/>
    <w:rsid w:val="00413AAC"/>
    <w:rsid w:val="00420368"/>
    <w:rsid w:val="00421105"/>
    <w:rsid w:val="00421CBB"/>
    <w:rsid w:val="004242F4"/>
    <w:rsid w:val="00427248"/>
    <w:rsid w:val="00437447"/>
    <w:rsid w:val="00441A92"/>
    <w:rsid w:val="00444F56"/>
    <w:rsid w:val="00446488"/>
    <w:rsid w:val="0044722E"/>
    <w:rsid w:val="004517AA"/>
    <w:rsid w:val="00452CAC"/>
    <w:rsid w:val="00457565"/>
    <w:rsid w:val="00457B71"/>
    <w:rsid w:val="0046174F"/>
    <w:rsid w:val="004669E2"/>
    <w:rsid w:val="00470C31"/>
    <w:rsid w:val="004734D0"/>
    <w:rsid w:val="0047556B"/>
    <w:rsid w:val="00477768"/>
    <w:rsid w:val="00480FE8"/>
    <w:rsid w:val="00492BC5"/>
    <w:rsid w:val="004964F1"/>
    <w:rsid w:val="004A16BC"/>
    <w:rsid w:val="004A2B94"/>
    <w:rsid w:val="004B3FE6"/>
    <w:rsid w:val="004B7C0C"/>
    <w:rsid w:val="004C10B1"/>
    <w:rsid w:val="004C2DB9"/>
    <w:rsid w:val="004C3898"/>
    <w:rsid w:val="004D36B1"/>
    <w:rsid w:val="004D7EBD"/>
    <w:rsid w:val="004E2680"/>
    <w:rsid w:val="004E28F9"/>
    <w:rsid w:val="004E462E"/>
    <w:rsid w:val="004E56DC"/>
    <w:rsid w:val="004E76F4"/>
    <w:rsid w:val="004F0B4E"/>
    <w:rsid w:val="004F0B6C"/>
    <w:rsid w:val="004F2078"/>
    <w:rsid w:val="004F400E"/>
    <w:rsid w:val="004F4DA3"/>
    <w:rsid w:val="00502DF8"/>
    <w:rsid w:val="00506557"/>
    <w:rsid w:val="0050677A"/>
    <w:rsid w:val="005108D8"/>
    <w:rsid w:val="005116F9"/>
    <w:rsid w:val="005153A7"/>
    <w:rsid w:val="005219CF"/>
    <w:rsid w:val="00534B59"/>
    <w:rsid w:val="00536759"/>
    <w:rsid w:val="00537C62"/>
    <w:rsid w:val="00546970"/>
    <w:rsid w:val="005508F9"/>
    <w:rsid w:val="005509AD"/>
    <w:rsid w:val="00554E19"/>
    <w:rsid w:val="0056121F"/>
    <w:rsid w:val="0056730B"/>
    <w:rsid w:val="00572505"/>
    <w:rsid w:val="005803DE"/>
    <w:rsid w:val="00582809"/>
    <w:rsid w:val="00584864"/>
    <w:rsid w:val="0058782E"/>
    <w:rsid w:val="0058798C"/>
    <w:rsid w:val="005900FA"/>
    <w:rsid w:val="005935A4"/>
    <w:rsid w:val="005948C2"/>
    <w:rsid w:val="00594AF9"/>
    <w:rsid w:val="00595DCA"/>
    <w:rsid w:val="00596AD1"/>
    <w:rsid w:val="005975C9"/>
    <w:rsid w:val="0059779B"/>
    <w:rsid w:val="005A209A"/>
    <w:rsid w:val="005A662D"/>
    <w:rsid w:val="005B35D7"/>
    <w:rsid w:val="005B392A"/>
    <w:rsid w:val="005B3AA3"/>
    <w:rsid w:val="005B591A"/>
    <w:rsid w:val="005B6F83"/>
    <w:rsid w:val="005C74FB"/>
    <w:rsid w:val="005D08A5"/>
    <w:rsid w:val="005D1602"/>
    <w:rsid w:val="005E385F"/>
    <w:rsid w:val="005E5B81"/>
    <w:rsid w:val="005F2CB1"/>
    <w:rsid w:val="005F3025"/>
    <w:rsid w:val="005F618C"/>
    <w:rsid w:val="005F70BD"/>
    <w:rsid w:val="006000F2"/>
    <w:rsid w:val="0060283C"/>
    <w:rsid w:val="00604F14"/>
    <w:rsid w:val="00611B83"/>
    <w:rsid w:val="00613257"/>
    <w:rsid w:val="00613481"/>
    <w:rsid w:val="00620A71"/>
    <w:rsid w:val="00620D80"/>
    <w:rsid w:val="006234A6"/>
    <w:rsid w:val="00626BEE"/>
    <w:rsid w:val="00630001"/>
    <w:rsid w:val="006311B3"/>
    <w:rsid w:val="00631CA0"/>
    <w:rsid w:val="0063284C"/>
    <w:rsid w:val="00636398"/>
    <w:rsid w:val="006368D3"/>
    <w:rsid w:val="006377EC"/>
    <w:rsid w:val="0064151F"/>
    <w:rsid w:val="00641533"/>
    <w:rsid w:val="0064208D"/>
    <w:rsid w:val="00643475"/>
    <w:rsid w:val="0064396A"/>
    <w:rsid w:val="006457FA"/>
    <w:rsid w:val="0064624E"/>
    <w:rsid w:val="00650AB9"/>
    <w:rsid w:val="00655733"/>
    <w:rsid w:val="00655ACD"/>
    <w:rsid w:val="006566EE"/>
    <w:rsid w:val="00656A92"/>
    <w:rsid w:val="00656DDE"/>
    <w:rsid w:val="0066011D"/>
    <w:rsid w:val="006607C0"/>
    <w:rsid w:val="006613A6"/>
    <w:rsid w:val="006627A2"/>
    <w:rsid w:val="006634E6"/>
    <w:rsid w:val="006655EE"/>
    <w:rsid w:val="00665EE9"/>
    <w:rsid w:val="00667EE7"/>
    <w:rsid w:val="00670922"/>
    <w:rsid w:val="00670BE1"/>
    <w:rsid w:val="00671AB9"/>
    <w:rsid w:val="00671B0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4D"/>
    <w:rsid w:val="006A7AFF"/>
    <w:rsid w:val="006B056A"/>
    <w:rsid w:val="006B1816"/>
    <w:rsid w:val="006B2099"/>
    <w:rsid w:val="006B2C55"/>
    <w:rsid w:val="006B50CF"/>
    <w:rsid w:val="006C03B8"/>
    <w:rsid w:val="006C5EC9"/>
    <w:rsid w:val="006C6059"/>
    <w:rsid w:val="006C7522"/>
    <w:rsid w:val="006D433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B3D"/>
    <w:rsid w:val="007269C2"/>
    <w:rsid w:val="00726EA6"/>
    <w:rsid w:val="00727208"/>
    <w:rsid w:val="00727680"/>
    <w:rsid w:val="00727DF8"/>
    <w:rsid w:val="007348B1"/>
    <w:rsid w:val="0073589B"/>
    <w:rsid w:val="007362A6"/>
    <w:rsid w:val="00736D7D"/>
    <w:rsid w:val="00740E58"/>
    <w:rsid w:val="007445A0"/>
    <w:rsid w:val="0074524B"/>
    <w:rsid w:val="00747D8B"/>
    <w:rsid w:val="0075106C"/>
    <w:rsid w:val="00751228"/>
    <w:rsid w:val="00756BAF"/>
    <w:rsid w:val="007571E1"/>
    <w:rsid w:val="007604B2"/>
    <w:rsid w:val="00765281"/>
    <w:rsid w:val="00766BAD"/>
    <w:rsid w:val="00771700"/>
    <w:rsid w:val="007730BD"/>
    <w:rsid w:val="007755F2"/>
    <w:rsid w:val="00776971"/>
    <w:rsid w:val="007803B0"/>
    <w:rsid w:val="0078177E"/>
    <w:rsid w:val="0078304C"/>
    <w:rsid w:val="00783673"/>
    <w:rsid w:val="00785490"/>
    <w:rsid w:val="007925EA"/>
    <w:rsid w:val="00793CD8"/>
    <w:rsid w:val="00793E6C"/>
    <w:rsid w:val="007953CB"/>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B8"/>
    <w:rsid w:val="00803FAE"/>
    <w:rsid w:val="0080605F"/>
    <w:rsid w:val="00807786"/>
    <w:rsid w:val="00811FCB"/>
    <w:rsid w:val="008158D6"/>
    <w:rsid w:val="00817196"/>
    <w:rsid w:val="008235DB"/>
    <w:rsid w:val="00824AB4"/>
    <w:rsid w:val="00824F3D"/>
    <w:rsid w:val="00825C42"/>
    <w:rsid w:val="00825D25"/>
    <w:rsid w:val="00827D6F"/>
    <w:rsid w:val="008376AC"/>
    <w:rsid w:val="008444E8"/>
    <w:rsid w:val="00844E80"/>
    <w:rsid w:val="00846FE7"/>
    <w:rsid w:val="00850B38"/>
    <w:rsid w:val="00850EC5"/>
    <w:rsid w:val="008524BB"/>
    <w:rsid w:val="00854F97"/>
    <w:rsid w:val="00856911"/>
    <w:rsid w:val="008677FD"/>
    <w:rsid w:val="008706D4"/>
    <w:rsid w:val="00870F8A"/>
    <w:rsid w:val="008719A4"/>
    <w:rsid w:val="00871D23"/>
    <w:rsid w:val="00873DB0"/>
    <w:rsid w:val="00874312"/>
    <w:rsid w:val="0087437C"/>
    <w:rsid w:val="00875CD7"/>
    <w:rsid w:val="00876B4D"/>
    <w:rsid w:val="00877F18"/>
    <w:rsid w:val="008943F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369"/>
    <w:rsid w:val="008C2017"/>
    <w:rsid w:val="008C27B8"/>
    <w:rsid w:val="008C4958"/>
    <w:rsid w:val="008C4BAA"/>
    <w:rsid w:val="008C5F03"/>
    <w:rsid w:val="008C6AE8"/>
    <w:rsid w:val="008C73D2"/>
    <w:rsid w:val="008C7573"/>
    <w:rsid w:val="008D34F1"/>
    <w:rsid w:val="008D39D8"/>
    <w:rsid w:val="008D6D1A"/>
    <w:rsid w:val="008E065E"/>
    <w:rsid w:val="008E0927"/>
    <w:rsid w:val="008E1542"/>
    <w:rsid w:val="008E1909"/>
    <w:rsid w:val="008F1EAB"/>
    <w:rsid w:val="008F26BD"/>
    <w:rsid w:val="008F33DC"/>
    <w:rsid w:val="008F477F"/>
    <w:rsid w:val="008F4EA2"/>
    <w:rsid w:val="008F62E6"/>
    <w:rsid w:val="00902350"/>
    <w:rsid w:val="0090336B"/>
    <w:rsid w:val="009053AA"/>
    <w:rsid w:val="00906939"/>
    <w:rsid w:val="00910B7D"/>
    <w:rsid w:val="00911DFB"/>
    <w:rsid w:val="009139D9"/>
    <w:rsid w:val="00914AD8"/>
    <w:rsid w:val="00914DB8"/>
    <w:rsid w:val="00916079"/>
    <w:rsid w:val="00917CE9"/>
    <w:rsid w:val="00920BF2"/>
    <w:rsid w:val="00922010"/>
    <w:rsid w:val="00927E4C"/>
    <w:rsid w:val="00931BD9"/>
    <w:rsid w:val="009368F3"/>
    <w:rsid w:val="0093751B"/>
    <w:rsid w:val="00941636"/>
    <w:rsid w:val="00943742"/>
    <w:rsid w:val="00945C05"/>
    <w:rsid w:val="00946945"/>
    <w:rsid w:val="00947713"/>
    <w:rsid w:val="009509A9"/>
    <w:rsid w:val="00950DE7"/>
    <w:rsid w:val="00953920"/>
    <w:rsid w:val="00953D47"/>
    <w:rsid w:val="009567C1"/>
    <w:rsid w:val="0095681E"/>
    <w:rsid w:val="009572D4"/>
    <w:rsid w:val="00961921"/>
    <w:rsid w:val="0096430A"/>
    <w:rsid w:val="0096554B"/>
    <w:rsid w:val="0096584A"/>
    <w:rsid w:val="009658F2"/>
    <w:rsid w:val="00966786"/>
    <w:rsid w:val="00971F08"/>
    <w:rsid w:val="0097603D"/>
    <w:rsid w:val="00976949"/>
    <w:rsid w:val="00977A25"/>
    <w:rsid w:val="00980477"/>
    <w:rsid w:val="00985253"/>
    <w:rsid w:val="009853B3"/>
    <w:rsid w:val="00990630"/>
    <w:rsid w:val="00991761"/>
    <w:rsid w:val="00994DCA"/>
    <w:rsid w:val="009960EC"/>
    <w:rsid w:val="009970DD"/>
    <w:rsid w:val="009A0FBA"/>
    <w:rsid w:val="009A1601"/>
    <w:rsid w:val="009A1BA3"/>
    <w:rsid w:val="009A354A"/>
    <w:rsid w:val="009A462D"/>
    <w:rsid w:val="009A5CBA"/>
    <w:rsid w:val="009B0DBB"/>
    <w:rsid w:val="009B1F30"/>
    <w:rsid w:val="009B3AC2"/>
    <w:rsid w:val="009B4DF4"/>
    <w:rsid w:val="009B564E"/>
    <w:rsid w:val="009B7E87"/>
    <w:rsid w:val="009C403E"/>
    <w:rsid w:val="009D4FF0"/>
    <w:rsid w:val="009D703C"/>
    <w:rsid w:val="009D718F"/>
    <w:rsid w:val="009E00A9"/>
    <w:rsid w:val="009E068F"/>
    <w:rsid w:val="009E09F5"/>
    <w:rsid w:val="009E14E0"/>
    <w:rsid w:val="009E3487"/>
    <w:rsid w:val="009E35DB"/>
    <w:rsid w:val="009E47A3"/>
    <w:rsid w:val="009E7B00"/>
    <w:rsid w:val="009F08F3"/>
    <w:rsid w:val="009F306A"/>
    <w:rsid w:val="009F344F"/>
    <w:rsid w:val="009F44AD"/>
    <w:rsid w:val="00A02B75"/>
    <w:rsid w:val="00A048A8"/>
    <w:rsid w:val="00A04F49"/>
    <w:rsid w:val="00A13E42"/>
    <w:rsid w:val="00A13E54"/>
    <w:rsid w:val="00A17F63"/>
    <w:rsid w:val="00A2052C"/>
    <w:rsid w:val="00A2193B"/>
    <w:rsid w:val="00A2351A"/>
    <w:rsid w:val="00A264A9"/>
    <w:rsid w:val="00A27785"/>
    <w:rsid w:val="00A30187"/>
    <w:rsid w:val="00A3448A"/>
    <w:rsid w:val="00A36297"/>
    <w:rsid w:val="00A41E2B"/>
    <w:rsid w:val="00A45B74"/>
    <w:rsid w:val="00A50480"/>
    <w:rsid w:val="00A52E1D"/>
    <w:rsid w:val="00A61499"/>
    <w:rsid w:val="00A62A77"/>
    <w:rsid w:val="00A63483"/>
    <w:rsid w:val="00A657D7"/>
    <w:rsid w:val="00A660AC"/>
    <w:rsid w:val="00A66F55"/>
    <w:rsid w:val="00A67E6C"/>
    <w:rsid w:val="00A7129F"/>
    <w:rsid w:val="00A71B99"/>
    <w:rsid w:val="00A739D0"/>
    <w:rsid w:val="00A761D4"/>
    <w:rsid w:val="00A77EC4"/>
    <w:rsid w:val="00A92879"/>
    <w:rsid w:val="00A9442A"/>
    <w:rsid w:val="00AA016F"/>
    <w:rsid w:val="00AA1ED6"/>
    <w:rsid w:val="00AA51D6"/>
    <w:rsid w:val="00AA64F2"/>
    <w:rsid w:val="00AB0BC8"/>
    <w:rsid w:val="00AB11CA"/>
    <w:rsid w:val="00AB14D9"/>
    <w:rsid w:val="00AB3F50"/>
    <w:rsid w:val="00AB4AB8"/>
    <w:rsid w:val="00AB655E"/>
    <w:rsid w:val="00AB7883"/>
    <w:rsid w:val="00AC007F"/>
    <w:rsid w:val="00AC2ECD"/>
    <w:rsid w:val="00AC3119"/>
    <w:rsid w:val="00AC49FB"/>
    <w:rsid w:val="00AC5A10"/>
    <w:rsid w:val="00AD0AA3"/>
    <w:rsid w:val="00AD3F94"/>
    <w:rsid w:val="00AD4A5A"/>
    <w:rsid w:val="00AE1366"/>
    <w:rsid w:val="00AE27AC"/>
    <w:rsid w:val="00AE3743"/>
    <w:rsid w:val="00AE40E0"/>
    <w:rsid w:val="00AE4DBA"/>
    <w:rsid w:val="00AE4F07"/>
    <w:rsid w:val="00AF1C5D"/>
    <w:rsid w:val="00AF247C"/>
    <w:rsid w:val="00AF42D7"/>
    <w:rsid w:val="00AF7F08"/>
    <w:rsid w:val="00B006FE"/>
    <w:rsid w:val="00B007CB"/>
    <w:rsid w:val="00B0298C"/>
    <w:rsid w:val="00B02AA9"/>
    <w:rsid w:val="00B02FA3"/>
    <w:rsid w:val="00B05084"/>
    <w:rsid w:val="00B157F9"/>
    <w:rsid w:val="00B1695B"/>
    <w:rsid w:val="00B16FF4"/>
    <w:rsid w:val="00B17F93"/>
    <w:rsid w:val="00B20256"/>
    <w:rsid w:val="00B20321"/>
    <w:rsid w:val="00B20D09"/>
    <w:rsid w:val="00B2281D"/>
    <w:rsid w:val="00B22D34"/>
    <w:rsid w:val="00B2763F"/>
    <w:rsid w:val="00B27AAC"/>
    <w:rsid w:val="00B30929"/>
    <w:rsid w:val="00B372AA"/>
    <w:rsid w:val="00B40445"/>
    <w:rsid w:val="00B41888"/>
    <w:rsid w:val="00B45A52"/>
    <w:rsid w:val="00B46175"/>
    <w:rsid w:val="00B53999"/>
    <w:rsid w:val="00B60C2D"/>
    <w:rsid w:val="00B6188F"/>
    <w:rsid w:val="00B664C7"/>
    <w:rsid w:val="00B66A39"/>
    <w:rsid w:val="00B739F6"/>
    <w:rsid w:val="00B7644F"/>
    <w:rsid w:val="00B81A6C"/>
    <w:rsid w:val="00B85DE5"/>
    <w:rsid w:val="00B90F73"/>
    <w:rsid w:val="00B93B59"/>
    <w:rsid w:val="00B9406A"/>
    <w:rsid w:val="00BA2280"/>
    <w:rsid w:val="00BA2A08"/>
    <w:rsid w:val="00BA56D2"/>
    <w:rsid w:val="00BA76E0"/>
    <w:rsid w:val="00BB1C94"/>
    <w:rsid w:val="00BB2A25"/>
    <w:rsid w:val="00BB51E9"/>
    <w:rsid w:val="00BB6EF6"/>
    <w:rsid w:val="00BC0FDC"/>
    <w:rsid w:val="00BC1744"/>
    <w:rsid w:val="00BC3053"/>
    <w:rsid w:val="00BC4D2E"/>
    <w:rsid w:val="00BD227E"/>
    <w:rsid w:val="00BD48AC"/>
    <w:rsid w:val="00BD5F1A"/>
    <w:rsid w:val="00BD6737"/>
    <w:rsid w:val="00BE1234"/>
    <w:rsid w:val="00BE2405"/>
    <w:rsid w:val="00BE2FA6"/>
    <w:rsid w:val="00BE333F"/>
    <w:rsid w:val="00BE6191"/>
    <w:rsid w:val="00BE7406"/>
    <w:rsid w:val="00BE7603"/>
    <w:rsid w:val="00BF04D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4E7D"/>
    <w:rsid w:val="00C3719D"/>
    <w:rsid w:val="00C432CC"/>
    <w:rsid w:val="00C51C31"/>
    <w:rsid w:val="00C54995"/>
    <w:rsid w:val="00C54D41"/>
    <w:rsid w:val="00C56E87"/>
    <w:rsid w:val="00C60783"/>
    <w:rsid w:val="00C63B99"/>
    <w:rsid w:val="00C64672"/>
    <w:rsid w:val="00C70697"/>
    <w:rsid w:val="00C72EF4"/>
    <w:rsid w:val="00C75D2F"/>
    <w:rsid w:val="00C767BE"/>
    <w:rsid w:val="00C76E3C"/>
    <w:rsid w:val="00C805D4"/>
    <w:rsid w:val="00C81568"/>
    <w:rsid w:val="00C87498"/>
    <w:rsid w:val="00C9027A"/>
    <w:rsid w:val="00C9068E"/>
    <w:rsid w:val="00C93C4B"/>
    <w:rsid w:val="00C944AB"/>
    <w:rsid w:val="00C95B40"/>
    <w:rsid w:val="00CA1ED8"/>
    <w:rsid w:val="00CB1F63"/>
    <w:rsid w:val="00CB4865"/>
    <w:rsid w:val="00CB7170"/>
    <w:rsid w:val="00CC040E"/>
    <w:rsid w:val="00CC111F"/>
    <w:rsid w:val="00CC2011"/>
    <w:rsid w:val="00CC2AF0"/>
    <w:rsid w:val="00CC3EA0"/>
    <w:rsid w:val="00CC7B45"/>
    <w:rsid w:val="00CD1188"/>
    <w:rsid w:val="00CD2ED1"/>
    <w:rsid w:val="00CD31A6"/>
    <w:rsid w:val="00CD337B"/>
    <w:rsid w:val="00CE0424"/>
    <w:rsid w:val="00CE7561"/>
    <w:rsid w:val="00CF1354"/>
    <w:rsid w:val="00CF17C8"/>
    <w:rsid w:val="00CF237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A97"/>
    <w:rsid w:val="00D40B33"/>
    <w:rsid w:val="00D4318F"/>
    <w:rsid w:val="00D438BF"/>
    <w:rsid w:val="00D440F8"/>
    <w:rsid w:val="00D47284"/>
    <w:rsid w:val="00D50F97"/>
    <w:rsid w:val="00D546FF"/>
    <w:rsid w:val="00D55AD5"/>
    <w:rsid w:val="00D576CA"/>
    <w:rsid w:val="00D57D7A"/>
    <w:rsid w:val="00D61AF5"/>
    <w:rsid w:val="00D652B5"/>
    <w:rsid w:val="00D66155"/>
    <w:rsid w:val="00D708B0"/>
    <w:rsid w:val="00D77B1D"/>
    <w:rsid w:val="00D8021F"/>
    <w:rsid w:val="00D80383"/>
    <w:rsid w:val="00D823C6"/>
    <w:rsid w:val="00D84F20"/>
    <w:rsid w:val="00D85D01"/>
    <w:rsid w:val="00D86CA3"/>
    <w:rsid w:val="00D871CE"/>
    <w:rsid w:val="00D87E3D"/>
    <w:rsid w:val="00D9196D"/>
    <w:rsid w:val="00D92982"/>
    <w:rsid w:val="00DA305E"/>
    <w:rsid w:val="00DA5417"/>
    <w:rsid w:val="00DA56E8"/>
    <w:rsid w:val="00DB0A9F"/>
    <w:rsid w:val="00DB377D"/>
    <w:rsid w:val="00DC2D36"/>
    <w:rsid w:val="00DC53EF"/>
    <w:rsid w:val="00DD25A0"/>
    <w:rsid w:val="00DD47CA"/>
    <w:rsid w:val="00DD50FC"/>
    <w:rsid w:val="00DE1D3B"/>
    <w:rsid w:val="00DE23B3"/>
    <w:rsid w:val="00DE3076"/>
    <w:rsid w:val="00DE5608"/>
    <w:rsid w:val="00DE58D0"/>
    <w:rsid w:val="00DE654F"/>
    <w:rsid w:val="00DE699F"/>
    <w:rsid w:val="00DF0B6E"/>
    <w:rsid w:val="00DF15E0"/>
    <w:rsid w:val="00DF37A0"/>
    <w:rsid w:val="00E0774D"/>
    <w:rsid w:val="00E10C76"/>
    <w:rsid w:val="00E110E7"/>
    <w:rsid w:val="00E118FD"/>
    <w:rsid w:val="00E11B20"/>
    <w:rsid w:val="00E17CEB"/>
    <w:rsid w:val="00E17FA2"/>
    <w:rsid w:val="00E22330"/>
    <w:rsid w:val="00E2424E"/>
    <w:rsid w:val="00E30B5A"/>
    <w:rsid w:val="00E3123D"/>
    <w:rsid w:val="00E31461"/>
    <w:rsid w:val="00E31D43"/>
    <w:rsid w:val="00E32608"/>
    <w:rsid w:val="00E34188"/>
    <w:rsid w:val="00E34B6E"/>
    <w:rsid w:val="00E35559"/>
    <w:rsid w:val="00E3723A"/>
    <w:rsid w:val="00E37860"/>
    <w:rsid w:val="00E40538"/>
    <w:rsid w:val="00E431B2"/>
    <w:rsid w:val="00E43549"/>
    <w:rsid w:val="00E446F1"/>
    <w:rsid w:val="00E46886"/>
    <w:rsid w:val="00E47AEF"/>
    <w:rsid w:val="00E505AB"/>
    <w:rsid w:val="00E51D4C"/>
    <w:rsid w:val="00E53B75"/>
    <w:rsid w:val="00E54E3B"/>
    <w:rsid w:val="00E55E1E"/>
    <w:rsid w:val="00E57565"/>
    <w:rsid w:val="00E63838"/>
    <w:rsid w:val="00E64434"/>
    <w:rsid w:val="00E67C51"/>
    <w:rsid w:val="00E719D6"/>
    <w:rsid w:val="00E72EFC"/>
    <w:rsid w:val="00E758EC"/>
    <w:rsid w:val="00E8234C"/>
    <w:rsid w:val="00E83AA9"/>
    <w:rsid w:val="00E84600"/>
    <w:rsid w:val="00E85928"/>
    <w:rsid w:val="00E87822"/>
    <w:rsid w:val="00E90395"/>
    <w:rsid w:val="00E90E49"/>
    <w:rsid w:val="00E917F9"/>
    <w:rsid w:val="00E9291C"/>
    <w:rsid w:val="00E93FFE"/>
    <w:rsid w:val="00E94F8A"/>
    <w:rsid w:val="00EA0ABF"/>
    <w:rsid w:val="00EA0F21"/>
    <w:rsid w:val="00EA5C6A"/>
    <w:rsid w:val="00EA7A41"/>
    <w:rsid w:val="00EB077B"/>
    <w:rsid w:val="00EB4EA2"/>
    <w:rsid w:val="00EC27C6"/>
    <w:rsid w:val="00EC4207"/>
    <w:rsid w:val="00EC5653"/>
    <w:rsid w:val="00EC71CE"/>
    <w:rsid w:val="00ED1006"/>
    <w:rsid w:val="00ED7156"/>
    <w:rsid w:val="00ED7D98"/>
    <w:rsid w:val="00EF18FE"/>
    <w:rsid w:val="00EF5787"/>
    <w:rsid w:val="00EF60D0"/>
    <w:rsid w:val="00F0528D"/>
    <w:rsid w:val="00F06C67"/>
    <w:rsid w:val="00F06DFD"/>
    <w:rsid w:val="00F071D1"/>
    <w:rsid w:val="00F07533"/>
    <w:rsid w:val="00F10629"/>
    <w:rsid w:val="00F15803"/>
    <w:rsid w:val="00F15FA5"/>
    <w:rsid w:val="00F209B7"/>
    <w:rsid w:val="00F2376F"/>
    <w:rsid w:val="00F243D8"/>
    <w:rsid w:val="00F30828"/>
    <w:rsid w:val="00F313D6"/>
    <w:rsid w:val="00F336C4"/>
    <w:rsid w:val="00F35987"/>
    <w:rsid w:val="00F40F0C"/>
    <w:rsid w:val="00F4766C"/>
    <w:rsid w:val="00F4799F"/>
    <w:rsid w:val="00F507D1"/>
    <w:rsid w:val="00F519CE"/>
    <w:rsid w:val="00F51ADA"/>
    <w:rsid w:val="00F607C5"/>
    <w:rsid w:val="00F60DEA"/>
    <w:rsid w:val="00F6302A"/>
    <w:rsid w:val="00F64C2B"/>
    <w:rsid w:val="00F651BE"/>
    <w:rsid w:val="00F67F53"/>
    <w:rsid w:val="00F703BE"/>
    <w:rsid w:val="00F7091B"/>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1F"/>
    <w:rsid w:val="00F97838"/>
    <w:rsid w:val="00FA2BB3"/>
    <w:rsid w:val="00FB0E57"/>
    <w:rsid w:val="00FB4C80"/>
    <w:rsid w:val="00FB5EC9"/>
    <w:rsid w:val="00FB6A6A"/>
    <w:rsid w:val="00FC129F"/>
    <w:rsid w:val="00FC7429"/>
    <w:rsid w:val="00FD075D"/>
    <w:rsid w:val="00FD07F6"/>
    <w:rsid w:val="00FD1EC8"/>
    <w:rsid w:val="00FD47ED"/>
    <w:rsid w:val="00FD74DB"/>
    <w:rsid w:val="00FD7660"/>
    <w:rsid w:val="00FE0655"/>
    <w:rsid w:val="00FE2365"/>
    <w:rsid w:val="00FE4160"/>
    <w:rsid w:val="00FE4C7B"/>
    <w:rsid w:val="00FE653B"/>
    <w:rsid w:val="00FE7336"/>
    <w:rsid w:val="00FE787C"/>
    <w:rsid w:val="00FF22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83EF2F57-0383-4431-9F87-710174A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0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000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000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00F2"/>
    <w:pPr>
      <w:numPr>
        <w:ilvl w:val="2"/>
      </w:numPr>
      <w:spacing w:before="120"/>
      <w:outlineLvl w:val="2"/>
    </w:pPr>
    <w:rPr>
      <w:sz w:val="28"/>
      <w:szCs w:val="28"/>
    </w:rPr>
  </w:style>
  <w:style w:type="paragraph" w:styleId="Heading4">
    <w:name w:val="heading 4"/>
    <w:basedOn w:val="Heading3"/>
    <w:next w:val="Normal"/>
    <w:qFormat/>
    <w:rsid w:val="006000F2"/>
    <w:pPr>
      <w:numPr>
        <w:ilvl w:val="3"/>
      </w:numPr>
      <w:outlineLvl w:val="3"/>
    </w:pPr>
    <w:rPr>
      <w:sz w:val="24"/>
      <w:szCs w:val="24"/>
    </w:rPr>
  </w:style>
  <w:style w:type="paragraph" w:styleId="Heading5">
    <w:name w:val="heading 5"/>
    <w:basedOn w:val="Heading4"/>
    <w:next w:val="Normal"/>
    <w:qFormat/>
    <w:rsid w:val="006000F2"/>
    <w:pPr>
      <w:numPr>
        <w:ilvl w:val="4"/>
      </w:numPr>
      <w:outlineLvl w:val="4"/>
    </w:pPr>
    <w:rPr>
      <w:sz w:val="22"/>
      <w:szCs w:val="22"/>
    </w:rPr>
  </w:style>
  <w:style w:type="paragraph" w:styleId="Heading6">
    <w:name w:val="heading 6"/>
    <w:basedOn w:val="Normal"/>
    <w:next w:val="Normal"/>
    <w:qFormat/>
    <w:rsid w:val="006000F2"/>
    <w:pPr>
      <w:keepNext/>
      <w:keepLines/>
      <w:numPr>
        <w:ilvl w:val="5"/>
        <w:numId w:val="1"/>
      </w:numPr>
      <w:spacing w:before="120"/>
      <w:outlineLvl w:val="5"/>
    </w:pPr>
    <w:rPr>
      <w:rFonts w:cs="Arial"/>
    </w:rPr>
  </w:style>
  <w:style w:type="paragraph" w:styleId="Heading7">
    <w:name w:val="heading 7"/>
    <w:basedOn w:val="Normal"/>
    <w:next w:val="Normal"/>
    <w:qFormat/>
    <w:rsid w:val="006000F2"/>
    <w:pPr>
      <w:keepNext/>
      <w:keepLines/>
      <w:numPr>
        <w:ilvl w:val="6"/>
        <w:numId w:val="1"/>
      </w:numPr>
      <w:spacing w:before="120"/>
      <w:outlineLvl w:val="6"/>
    </w:pPr>
    <w:rPr>
      <w:rFonts w:cs="Arial"/>
    </w:rPr>
  </w:style>
  <w:style w:type="paragraph" w:styleId="Heading8">
    <w:name w:val="heading 8"/>
    <w:basedOn w:val="Heading7"/>
    <w:next w:val="Normal"/>
    <w:qFormat/>
    <w:rsid w:val="006000F2"/>
    <w:pPr>
      <w:numPr>
        <w:ilvl w:val="7"/>
      </w:numPr>
      <w:outlineLvl w:val="7"/>
    </w:pPr>
  </w:style>
  <w:style w:type="paragraph" w:styleId="Heading9">
    <w:name w:val="heading 9"/>
    <w:basedOn w:val="Heading8"/>
    <w:next w:val="Normal"/>
    <w:qFormat/>
    <w:rsid w:val="006000F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000F2"/>
    <w:pPr>
      <w:spacing w:before="180"/>
      <w:ind w:left="2693" w:hanging="2693"/>
    </w:pPr>
    <w:rPr>
      <w:b w:val="0"/>
      <w:bCs/>
    </w:rPr>
  </w:style>
  <w:style w:type="paragraph" w:styleId="TOC1">
    <w:name w:val="toc 1"/>
    <w:aliases w:val="Observation TOC2"/>
    <w:uiPriority w:val="39"/>
    <w:rsid w:val="006000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000F2"/>
    <w:pPr>
      <w:keepNext/>
      <w:keepLines/>
      <w:spacing w:before="180"/>
      <w:jc w:val="center"/>
    </w:pPr>
  </w:style>
  <w:style w:type="paragraph" w:styleId="Caption">
    <w:name w:val="caption"/>
    <w:basedOn w:val="Normal"/>
    <w:next w:val="Normal"/>
    <w:qFormat/>
    <w:rsid w:val="006000F2"/>
    <w:pPr>
      <w:spacing w:after="240"/>
      <w:jc w:val="center"/>
    </w:pPr>
    <w:rPr>
      <w:b/>
      <w:bCs/>
    </w:rPr>
  </w:style>
  <w:style w:type="paragraph" w:styleId="TOC5">
    <w:name w:val="toc 5"/>
    <w:aliases w:val="Observation TOC"/>
    <w:basedOn w:val="TOC4"/>
    <w:semiHidden/>
    <w:rsid w:val="006000F2"/>
    <w:pPr>
      <w:tabs>
        <w:tab w:val="right" w:pos="1701"/>
      </w:tabs>
      <w:ind w:left="1701" w:hanging="1701"/>
    </w:pPr>
  </w:style>
  <w:style w:type="paragraph" w:styleId="TOC4">
    <w:name w:val="toc 4"/>
    <w:basedOn w:val="TOC3"/>
    <w:semiHidden/>
    <w:rsid w:val="006000F2"/>
    <w:pPr>
      <w:ind w:left="1418" w:hanging="1418"/>
    </w:pPr>
  </w:style>
  <w:style w:type="paragraph" w:styleId="TOC3">
    <w:name w:val="toc 3"/>
    <w:basedOn w:val="TOC2"/>
    <w:semiHidden/>
    <w:rsid w:val="006000F2"/>
    <w:pPr>
      <w:ind w:left="1134" w:hanging="1134"/>
    </w:pPr>
  </w:style>
  <w:style w:type="paragraph" w:styleId="TOC2">
    <w:name w:val="toc 2"/>
    <w:basedOn w:val="TOC1"/>
    <w:semiHidden/>
    <w:rsid w:val="006000F2"/>
    <w:pPr>
      <w:keepNext w:val="0"/>
      <w:spacing w:before="0"/>
      <w:ind w:left="851" w:hanging="851"/>
    </w:pPr>
    <w:rPr>
      <w:szCs w:val="20"/>
    </w:rPr>
  </w:style>
  <w:style w:type="paragraph" w:styleId="Index2">
    <w:name w:val="index 2"/>
    <w:basedOn w:val="Index1"/>
    <w:semiHidden/>
    <w:rsid w:val="006000F2"/>
    <w:pPr>
      <w:ind w:left="284"/>
    </w:pPr>
  </w:style>
  <w:style w:type="paragraph" w:styleId="Index1">
    <w:name w:val="index 1"/>
    <w:basedOn w:val="Normal"/>
    <w:semiHidden/>
    <w:rsid w:val="006000F2"/>
    <w:pPr>
      <w:keepLines/>
      <w:spacing w:after="0"/>
    </w:pPr>
  </w:style>
  <w:style w:type="paragraph" w:styleId="DocumentMap">
    <w:name w:val="Document Map"/>
    <w:basedOn w:val="Normal"/>
    <w:semiHidden/>
    <w:rsid w:val="006000F2"/>
    <w:pPr>
      <w:shd w:val="clear" w:color="auto" w:fill="000080"/>
    </w:pPr>
    <w:rPr>
      <w:rFonts w:ascii="Tahoma" w:hAnsi="Tahoma" w:cs="Tahoma"/>
    </w:rPr>
  </w:style>
  <w:style w:type="paragraph" w:styleId="ListNumber2">
    <w:name w:val="List Number 2"/>
    <w:basedOn w:val="ListNumber"/>
    <w:rsid w:val="006000F2"/>
    <w:pPr>
      <w:ind w:left="851"/>
    </w:pPr>
  </w:style>
  <w:style w:type="paragraph" w:styleId="ListNumber">
    <w:name w:val="List Number"/>
    <w:basedOn w:val="List"/>
    <w:rsid w:val="006000F2"/>
  </w:style>
  <w:style w:type="paragraph" w:styleId="List">
    <w:name w:val="List"/>
    <w:basedOn w:val="Normal"/>
    <w:rsid w:val="006000F2"/>
    <w:pPr>
      <w:ind w:left="568" w:hanging="284"/>
    </w:pPr>
  </w:style>
  <w:style w:type="paragraph" w:styleId="Header">
    <w:name w:val="header"/>
    <w:rsid w:val="006000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00F2"/>
    <w:rPr>
      <w:b/>
      <w:bCs/>
      <w:position w:val="6"/>
      <w:sz w:val="16"/>
      <w:szCs w:val="16"/>
    </w:rPr>
  </w:style>
  <w:style w:type="paragraph" w:styleId="FootnoteText">
    <w:name w:val="footnote text"/>
    <w:basedOn w:val="Normal"/>
    <w:semiHidden/>
    <w:rsid w:val="006000F2"/>
    <w:pPr>
      <w:keepLines/>
      <w:spacing w:after="0"/>
      <w:ind w:left="454" w:hanging="454"/>
    </w:pPr>
    <w:rPr>
      <w:sz w:val="16"/>
      <w:szCs w:val="16"/>
    </w:rPr>
  </w:style>
  <w:style w:type="paragraph" w:customStyle="1" w:styleId="3GPPHeader">
    <w:name w:val="3GPP_Header"/>
    <w:basedOn w:val="Normal"/>
    <w:rsid w:val="006000F2"/>
    <w:pPr>
      <w:tabs>
        <w:tab w:val="left" w:pos="1701"/>
        <w:tab w:val="right" w:pos="9639"/>
      </w:tabs>
      <w:spacing w:after="240"/>
    </w:pPr>
    <w:rPr>
      <w:b/>
      <w:sz w:val="24"/>
    </w:rPr>
  </w:style>
  <w:style w:type="paragraph" w:styleId="TOC9">
    <w:name w:val="toc 9"/>
    <w:basedOn w:val="TOC8"/>
    <w:semiHidden/>
    <w:rsid w:val="006000F2"/>
    <w:pPr>
      <w:ind w:left="1418" w:hanging="1418"/>
    </w:pPr>
  </w:style>
  <w:style w:type="paragraph" w:styleId="TOC6">
    <w:name w:val="toc 6"/>
    <w:basedOn w:val="TOC5"/>
    <w:next w:val="Normal"/>
    <w:semiHidden/>
    <w:rsid w:val="006000F2"/>
    <w:pPr>
      <w:ind w:left="1985" w:hanging="1985"/>
    </w:pPr>
  </w:style>
  <w:style w:type="paragraph" w:styleId="TOC7">
    <w:name w:val="toc 7"/>
    <w:basedOn w:val="TOC6"/>
    <w:next w:val="Normal"/>
    <w:semiHidden/>
    <w:rsid w:val="006000F2"/>
    <w:pPr>
      <w:ind w:left="2268" w:hanging="2268"/>
    </w:pPr>
  </w:style>
  <w:style w:type="paragraph" w:styleId="ListBullet2">
    <w:name w:val="List Bullet 2"/>
    <w:basedOn w:val="ListBullet"/>
    <w:rsid w:val="006000F2"/>
    <w:pPr>
      <w:numPr>
        <w:numId w:val="6"/>
      </w:numPr>
    </w:pPr>
  </w:style>
  <w:style w:type="paragraph" w:styleId="ListBullet">
    <w:name w:val="List Bullet"/>
    <w:basedOn w:val="BodyText"/>
    <w:rsid w:val="006000F2"/>
    <w:pPr>
      <w:numPr>
        <w:numId w:val="5"/>
      </w:numPr>
    </w:pPr>
  </w:style>
  <w:style w:type="paragraph" w:styleId="ListBullet3">
    <w:name w:val="List Bullet 3"/>
    <w:basedOn w:val="ListBullet2"/>
    <w:rsid w:val="006000F2"/>
    <w:pPr>
      <w:numPr>
        <w:numId w:val="7"/>
      </w:numPr>
    </w:pPr>
  </w:style>
  <w:style w:type="paragraph" w:customStyle="1" w:styleId="EQ">
    <w:name w:val="EQ"/>
    <w:basedOn w:val="Normal"/>
    <w:next w:val="Normal"/>
    <w:rsid w:val="006000F2"/>
    <w:pPr>
      <w:keepLines/>
      <w:tabs>
        <w:tab w:val="center" w:pos="4536"/>
        <w:tab w:val="right" w:pos="9072"/>
      </w:tabs>
      <w:spacing w:after="180"/>
      <w:jc w:val="left"/>
    </w:pPr>
    <w:rPr>
      <w:noProof/>
      <w:lang w:eastAsia="en-US"/>
    </w:rPr>
  </w:style>
  <w:style w:type="paragraph" w:styleId="List2">
    <w:name w:val="List 2"/>
    <w:basedOn w:val="List"/>
    <w:rsid w:val="006000F2"/>
    <w:pPr>
      <w:ind w:left="851"/>
    </w:pPr>
  </w:style>
  <w:style w:type="paragraph" w:styleId="List3">
    <w:name w:val="List 3"/>
    <w:basedOn w:val="List2"/>
    <w:rsid w:val="006000F2"/>
    <w:pPr>
      <w:ind w:left="1135"/>
    </w:pPr>
  </w:style>
  <w:style w:type="paragraph" w:styleId="List4">
    <w:name w:val="List 4"/>
    <w:basedOn w:val="List3"/>
    <w:rsid w:val="006000F2"/>
    <w:pPr>
      <w:ind w:left="1418"/>
    </w:pPr>
  </w:style>
  <w:style w:type="paragraph" w:styleId="List5">
    <w:name w:val="List 5"/>
    <w:basedOn w:val="List4"/>
    <w:rsid w:val="006000F2"/>
    <w:pPr>
      <w:ind w:left="1702"/>
    </w:pPr>
  </w:style>
  <w:style w:type="paragraph" w:customStyle="1" w:styleId="EditorsNote">
    <w:name w:val="Editor's Note"/>
    <w:basedOn w:val="Normal"/>
    <w:rsid w:val="006000F2"/>
    <w:pPr>
      <w:keepLines/>
      <w:spacing w:after="180"/>
      <w:ind w:left="1135" w:hanging="851"/>
      <w:jc w:val="left"/>
    </w:pPr>
    <w:rPr>
      <w:color w:val="FF0000"/>
      <w:lang w:eastAsia="en-US"/>
    </w:rPr>
  </w:style>
  <w:style w:type="paragraph" w:styleId="ListBullet4">
    <w:name w:val="List Bullet 4"/>
    <w:basedOn w:val="ListBullet3"/>
    <w:rsid w:val="006000F2"/>
    <w:pPr>
      <w:numPr>
        <w:numId w:val="8"/>
      </w:numPr>
    </w:pPr>
  </w:style>
  <w:style w:type="paragraph" w:styleId="ListBullet5">
    <w:name w:val="List Bullet 5"/>
    <w:basedOn w:val="ListBullet4"/>
    <w:rsid w:val="006000F2"/>
    <w:pPr>
      <w:numPr>
        <w:numId w:val="4"/>
      </w:numPr>
    </w:pPr>
  </w:style>
  <w:style w:type="paragraph" w:styleId="Footer">
    <w:name w:val="footer"/>
    <w:basedOn w:val="Header"/>
    <w:semiHidden/>
    <w:rsid w:val="006000F2"/>
    <w:pPr>
      <w:jc w:val="center"/>
    </w:pPr>
    <w:rPr>
      <w:i/>
      <w:iCs/>
    </w:rPr>
  </w:style>
  <w:style w:type="paragraph" w:customStyle="1" w:styleId="Reference">
    <w:name w:val="Reference"/>
    <w:basedOn w:val="Normal"/>
    <w:link w:val="ReferenceChar"/>
    <w:qFormat/>
    <w:rsid w:val="006000F2"/>
    <w:pPr>
      <w:numPr>
        <w:numId w:val="2"/>
      </w:numPr>
    </w:pPr>
  </w:style>
  <w:style w:type="paragraph" w:styleId="BalloonText">
    <w:name w:val="Balloon Text"/>
    <w:basedOn w:val="Normal"/>
    <w:semiHidden/>
    <w:rsid w:val="006000F2"/>
    <w:rPr>
      <w:rFonts w:ascii="Tahoma" w:hAnsi="Tahoma" w:cs="Tahoma"/>
      <w:sz w:val="16"/>
      <w:szCs w:val="16"/>
    </w:rPr>
  </w:style>
  <w:style w:type="character" w:styleId="PageNumber">
    <w:name w:val="page number"/>
    <w:basedOn w:val="DefaultParagraphFont"/>
    <w:semiHidden/>
    <w:rsid w:val="006000F2"/>
  </w:style>
  <w:style w:type="paragraph" w:styleId="BodyText">
    <w:name w:val="Body Text"/>
    <w:basedOn w:val="Normal"/>
    <w:link w:val="BodyTextChar"/>
    <w:rsid w:val="006000F2"/>
  </w:style>
  <w:style w:type="character" w:styleId="Hyperlink">
    <w:name w:val="Hyperlink"/>
    <w:uiPriority w:val="99"/>
    <w:rsid w:val="006000F2"/>
    <w:rPr>
      <w:color w:val="0000FF"/>
      <w:u w:val="single"/>
      <w:lang w:val="en-GB"/>
    </w:rPr>
  </w:style>
  <w:style w:type="character" w:styleId="FollowedHyperlink">
    <w:name w:val="FollowedHyperlink"/>
    <w:semiHidden/>
    <w:rsid w:val="006000F2"/>
    <w:rPr>
      <w:color w:val="FF0000"/>
      <w:u w:val="single"/>
    </w:rPr>
  </w:style>
  <w:style w:type="character" w:styleId="CommentReference">
    <w:name w:val="annotation reference"/>
    <w:semiHidden/>
    <w:rsid w:val="006000F2"/>
    <w:rPr>
      <w:sz w:val="16"/>
      <w:szCs w:val="16"/>
    </w:rPr>
  </w:style>
  <w:style w:type="paragraph" w:styleId="CommentText">
    <w:name w:val="annotation text"/>
    <w:basedOn w:val="Normal"/>
    <w:semiHidden/>
    <w:rsid w:val="006000F2"/>
  </w:style>
  <w:style w:type="paragraph" w:styleId="CommentSubject">
    <w:name w:val="annotation subject"/>
    <w:basedOn w:val="CommentText"/>
    <w:next w:val="CommentText"/>
    <w:semiHidden/>
    <w:rsid w:val="006000F2"/>
    <w:rPr>
      <w:b/>
      <w:bCs/>
    </w:rPr>
  </w:style>
  <w:style w:type="character" w:customStyle="1" w:styleId="Heading1Char">
    <w:name w:val="Heading 1 Char"/>
    <w:link w:val="Heading1"/>
    <w:rsid w:val="006000F2"/>
    <w:rPr>
      <w:rFonts w:ascii="Arial" w:hAnsi="Arial" w:cs="Arial"/>
      <w:sz w:val="36"/>
      <w:szCs w:val="36"/>
      <w:lang w:val="en-GB" w:eastAsia="zh-CN"/>
    </w:rPr>
  </w:style>
  <w:style w:type="paragraph" w:customStyle="1" w:styleId="B1">
    <w:name w:val="B1"/>
    <w:basedOn w:val="List"/>
    <w:rsid w:val="006000F2"/>
    <w:pPr>
      <w:spacing w:after="180"/>
      <w:jc w:val="left"/>
    </w:pPr>
    <w:rPr>
      <w:lang w:eastAsia="en-US"/>
    </w:rPr>
  </w:style>
  <w:style w:type="paragraph" w:customStyle="1" w:styleId="B2">
    <w:name w:val="B2"/>
    <w:basedOn w:val="List2"/>
    <w:rsid w:val="006000F2"/>
    <w:pPr>
      <w:spacing w:after="180"/>
      <w:jc w:val="left"/>
    </w:pPr>
    <w:rPr>
      <w:lang w:eastAsia="en-US"/>
    </w:rPr>
  </w:style>
  <w:style w:type="paragraph" w:customStyle="1" w:styleId="B3">
    <w:name w:val="B3"/>
    <w:basedOn w:val="List3"/>
    <w:rsid w:val="006000F2"/>
    <w:pPr>
      <w:spacing w:after="180"/>
      <w:jc w:val="left"/>
    </w:pPr>
    <w:rPr>
      <w:lang w:eastAsia="en-US"/>
    </w:rPr>
  </w:style>
  <w:style w:type="paragraph" w:customStyle="1" w:styleId="B4">
    <w:name w:val="B4"/>
    <w:basedOn w:val="List4"/>
    <w:rsid w:val="006000F2"/>
    <w:pPr>
      <w:spacing w:after="180"/>
      <w:jc w:val="left"/>
    </w:pPr>
    <w:rPr>
      <w:lang w:eastAsia="en-US"/>
    </w:rPr>
  </w:style>
  <w:style w:type="paragraph" w:customStyle="1" w:styleId="Proposal">
    <w:name w:val="Proposal"/>
    <w:basedOn w:val="Normal"/>
    <w:rsid w:val="006000F2"/>
    <w:pPr>
      <w:numPr>
        <w:numId w:val="3"/>
      </w:numPr>
      <w:tabs>
        <w:tab w:val="clear" w:pos="1304"/>
        <w:tab w:val="left" w:pos="1701"/>
      </w:tabs>
      <w:ind w:left="1701" w:hanging="1701"/>
    </w:pPr>
    <w:rPr>
      <w:b/>
      <w:bCs/>
    </w:rPr>
  </w:style>
  <w:style w:type="character" w:customStyle="1" w:styleId="BodyTextChar">
    <w:name w:val="Body Text Char"/>
    <w:link w:val="BodyText"/>
    <w:rsid w:val="006000F2"/>
    <w:rPr>
      <w:rFonts w:ascii="Arial" w:hAnsi="Arial"/>
      <w:lang w:val="en-GB" w:eastAsia="zh-CN"/>
    </w:rPr>
  </w:style>
  <w:style w:type="paragraph" w:customStyle="1" w:styleId="B5">
    <w:name w:val="B5"/>
    <w:basedOn w:val="List5"/>
    <w:rsid w:val="006000F2"/>
    <w:pPr>
      <w:spacing w:after="180"/>
      <w:jc w:val="left"/>
    </w:pPr>
    <w:rPr>
      <w:lang w:eastAsia="en-US"/>
    </w:rPr>
  </w:style>
  <w:style w:type="paragraph" w:customStyle="1" w:styleId="EX">
    <w:name w:val="EX"/>
    <w:basedOn w:val="Normal"/>
    <w:rsid w:val="006000F2"/>
    <w:pPr>
      <w:keepLines/>
      <w:spacing w:after="180"/>
      <w:ind w:left="1702" w:hanging="1418"/>
      <w:jc w:val="left"/>
    </w:pPr>
    <w:rPr>
      <w:lang w:eastAsia="en-US"/>
    </w:rPr>
  </w:style>
  <w:style w:type="paragraph" w:customStyle="1" w:styleId="EW">
    <w:name w:val="EW"/>
    <w:basedOn w:val="EX"/>
    <w:rsid w:val="006000F2"/>
    <w:pPr>
      <w:spacing w:after="0"/>
    </w:pPr>
  </w:style>
  <w:style w:type="paragraph" w:customStyle="1" w:styleId="TAL">
    <w:name w:val="TAL"/>
    <w:basedOn w:val="Normal"/>
    <w:rsid w:val="006000F2"/>
    <w:pPr>
      <w:keepNext/>
      <w:keepLines/>
      <w:spacing w:after="0"/>
      <w:jc w:val="left"/>
    </w:pPr>
    <w:rPr>
      <w:sz w:val="18"/>
      <w:lang w:eastAsia="en-US"/>
    </w:rPr>
  </w:style>
  <w:style w:type="paragraph" w:customStyle="1" w:styleId="TAC">
    <w:name w:val="TAC"/>
    <w:basedOn w:val="TAL"/>
    <w:rsid w:val="006000F2"/>
    <w:pPr>
      <w:jc w:val="center"/>
    </w:pPr>
  </w:style>
  <w:style w:type="paragraph" w:customStyle="1" w:styleId="TAH">
    <w:name w:val="TAH"/>
    <w:basedOn w:val="TAC"/>
    <w:rsid w:val="006000F2"/>
    <w:rPr>
      <w:b/>
    </w:rPr>
  </w:style>
  <w:style w:type="paragraph" w:customStyle="1" w:styleId="TAN">
    <w:name w:val="TAN"/>
    <w:basedOn w:val="TAL"/>
    <w:rsid w:val="006000F2"/>
    <w:pPr>
      <w:ind w:left="851" w:hanging="851"/>
    </w:pPr>
  </w:style>
  <w:style w:type="paragraph" w:customStyle="1" w:styleId="TAR">
    <w:name w:val="TAR"/>
    <w:basedOn w:val="TAL"/>
    <w:rsid w:val="006000F2"/>
    <w:pPr>
      <w:jc w:val="right"/>
    </w:pPr>
  </w:style>
  <w:style w:type="paragraph" w:customStyle="1" w:styleId="TH">
    <w:name w:val="TH"/>
    <w:basedOn w:val="Normal"/>
    <w:rsid w:val="006000F2"/>
    <w:pPr>
      <w:keepNext/>
      <w:keepLines/>
      <w:spacing w:before="60" w:after="180"/>
      <w:jc w:val="center"/>
    </w:pPr>
    <w:rPr>
      <w:b/>
      <w:lang w:eastAsia="en-US"/>
    </w:rPr>
  </w:style>
  <w:style w:type="paragraph" w:customStyle="1" w:styleId="TF">
    <w:name w:val="TF"/>
    <w:basedOn w:val="TH"/>
    <w:rsid w:val="006000F2"/>
    <w:pPr>
      <w:keepNext w:val="0"/>
      <w:spacing w:before="0" w:after="240"/>
    </w:pPr>
  </w:style>
  <w:style w:type="paragraph" w:customStyle="1" w:styleId="TT">
    <w:name w:val="TT"/>
    <w:basedOn w:val="Heading1"/>
    <w:next w:val="Normal"/>
    <w:rsid w:val="006000F2"/>
    <w:pPr>
      <w:numPr>
        <w:numId w:val="0"/>
      </w:numPr>
      <w:ind w:left="1134" w:hanging="1134"/>
      <w:outlineLvl w:val="9"/>
    </w:pPr>
    <w:rPr>
      <w:rFonts w:cs="Times New Roman"/>
      <w:szCs w:val="20"/>
      <w:lang w:eastAsia="en-US"/>
    </w:rPr>
  </w:style>
  <w:style w:type="paragraph" w:customStyle="1" w:styleId="ZA">
    <w:name w:val="ZA"/>
    <w:rsid w:val="00600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0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00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00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00F2"/>
  </w:style>
  <w:style w:type="paragraph" w:customStyle="1" w:styleId="ZH">
    <w:name w:val="ZH"/>
    <w:rsid w:val="006000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00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00F2"/>
    <w:pPr>
      <w:framePr w:hRule="auto" w:wrap="notBeside" w:y="852"/>
    </w:pPr>
    <w:rPr>
      <w:i w:val="0"/>
      <w:sz w:val="40"/>
    </w:rPr>
  </w:style>
  <w:style w:type="paragraph" w:customStyle="1" w:styleId="ZU">
    <w:name w:val="ZU"/>
    <w:rsid w:val="00600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00F2"/>
    <w:pPr>
      <w:framePr w:wrap="notBeside" w:y="16161"/>
    </w:pPr>
  </w:style>
  <w:style w:type="paragraph" w:customStyle="1" w:styleId="FP">
    <w:name w:val="FP"/>
    <w:basedOn w:val="Normal"/>
    <w:rsid w:val="006000F2"/>
    <w:pPr>
      <w:spacing w:after="0"/>
      <w:jc w:val="left"/>
    </w:pPr>
    <w:rPr>
      <w:lang w:eastAsia="en-US"/>
    </w:rPr>
  </w:style>
  <w:style w:type="paragraph" w:customStyle="1" w:styleId="Observation">
    <w:name w:val="Observation"/>
    <w:basedOn w:val="Proposal"/>
    <w:qFormat/>
    <w:rsid w:val="006000F2"/>
    <w:pPr>
      <w:numPr>
        <w:numId w:val="13"/>
      </w:numPr>
      <w:ind w:left="1701" w:hanging="1701"/>
    </w:pPr>
  </w:style>
  <w:style w:type="paragraph" w:styleId="TableofFigures">
    <w:name w:val="table of figures"/>
    <w:basedOn w:val="Normal"/>
    <w:next w:val="Normal"/>
    <w:uiPriority w:val="99"/>
    <w:rsid w:val="006000F2"/>
    <w:pPr>
      <w:ind w:left="1418" w:hanging="1418"/>
      <w:jc w:val="left"/>
    </w:pPr>
    <w:rPr>
      <w:b/>
    </w:rPr>
  </w:style>
  <w:style w:type="paragraph" w:customStyle="1" w:styleId="Doc-text2">
    <w:name w:val="Doc-text2"/>
    <w:basedOn w:val="Normal"/>
    <w:link w:val="Doc-text2Char"/>
    <w:qFormat/>
    <w:rsid w:val="006000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000F2"/>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DE23B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Doc-titleChar">
    <w:name w:val="Doc-title Char"/>
    <w:link w:val="Doc-title"/>
    <w:locked/>
    <w:rsid w:val="00584864"/>
    <w:rPr>
      <w:rFonts w:ascii="Arial" w:eastAsia="MS Mincho" w:hAnsi="Arial" w:cs="Arial"/>
      <w:noProof/>
      <w:szCs w:val="24"/>
    </w:rPr>
  </w:style>
  <w:style w:type="paragraph" w:customStyle="1" w:styleId="Doc-title">
    <w:name w:val="Doc-title"/>
    <w:basedOn w:val="Normal"/>
    <w:next w:val="Doc-text2"/>
    <w:link w:val="Doc-titleChar"/>
    <w:qFormat/>
    <w:rsid w:val="00584864"/>
    <w:pPr>
      <w:overflowPunct/>
      <w:autoSpaceDE/>
      <w:autoSpaceDN/>
      <w:adjustRightInd/>
      <w:spacing w:before="60" w:after="0"/>
      <w:ind w:left="1259" w:hanging="1259"/>
      <w:jc w:val="left"/>
      <w:textAlignment w:val="auto"/>
    </w:pPr>
    <w:rPr>
      <w:rFonts w:eastAsia="MS Mincho" w:cs="Arial"/>
      <w:noProof/>
      <w:szCs w:val="24"/>
      <w:lang w:val="en-US" w:eastAsia="en-US"/>
    </w:rPr>
  </w:style>
  <w:style w:type="table" w:styleId="TableGrid">
    <w:name w:val="Table Grid"/>
    <w:basedOn w:val="TableNormal"/>
    <w:rsid w:val="0006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B7883"/>
    <w:rPr>
      <w:rFonts w:ascii="Arial" w:hAnsi="Arial"/>
      <w:lang w:val="en-GB" w:eastAsia="zh-CN"/>
    </w:rPr>
  </w:style>
  <w:style w:type="paragraph" w:customStyle="1" w:styleId="maintext">
    <w:name w:val="main text"/>
    <w:basedOn w:val="Normal"/>
    <w:link w:val="maintextChar"/>
    <w:qFormat/>
    <w:rsid w:val="004B3FE6"/>
    <w:pPr>
      <w:overflowPunct/>
      <w:autoSpaceDE/>
      <w:autoSpaceDN/>
      <w:adjustRightInd/>
      <w:spacing w:before="60" w:after="60" w:line="288" w:lineRule="auto"/>
      <w:ind w:firstLineChars="200" w:firstLine="200"/>
      <w:textAlignment w:val="auto"/>
    </w:pPr>
    <w:rPr>
      <w:rFonts w:ascii="Times New Roman" w:eastAsia="Malgun Gothic" w:hAnsi="Times New Roman"/>
      <w:lang w:eastAsia="ko-KR"/>
    </w:rPr>
  </w:style>
  <w:style w:type="character" w:customStyle="1" w:styleId="maintextChar">
    <w:name w:val="main text Char"/>
    <w:link w:val="maintext"/>
    <w:qFormat/>
    <w:rsid w:val="004B3FE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653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0376110">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8698621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738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5NUHHDQN7SK2-1476151046-15259</_dlc_DocId>
    <_dlc_DocIdUrl xmlns="f166a696-7b5b-4ccd-9f0c-ffde0cceec81">
      <Url>https://ericsson.sharepoint.com/sites/star/_layouts/15/DocIdRedir.aspx?ID=5NUHHDQN7SK2-1476151046-15259</Url>
      <Description>5NUHHDQN7SK2-1476151046-15259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FC4767A-770A-4512-93F8-6C731855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166</TotalTime>
  <Pages>3</Pages>
  <Words>1080</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Introduction</vt:lpstr>
      <vt:lpstr>Discussion</vt:lpstr>
      <vt:lpstr>    IAB links</vt:lpstr>
      <vt:lpstr>    “Downlink” vs “uplink”?</vt:lpstr>
      <vt:lpstr>    Transmission timing</vt:lpstr>
      <vt:lpstr>    Scheduling</vt:lpstr>
      <vt:lpstr>Proposals</vt:lpstr>
    </vt:vector>
  </TitlesOfParts>
  <Company>Ericsson</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dc:description/>
  <cp:lastModifiedBy>Erik Dahlman</cp:lastModifiedBy>
  <cp:revision>6</cp:revision>
  <cp:lastPrinted>2018-05-09T10:30:00Z</cp:lastPrinted>
  <dcterms:created xsi:type="dcterms:W3CDTF">2018-05-11T17:20:00Z</dcterms:created>
  <dcterms:modified xsi:type="dcterms:W3CDTF">2018-05-11T20:20:00Z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be1d3b10-542c-4bd9-95ae-a7b039638023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