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5211D8CC" w:rsidR="0040502E" w:rsidRPr="00EE76A9" w:rsidRDefault="006831BD" w:rsidP="0040502E">
      <w:pPr>
        <w:pStyle w:val="Header"/>
        <w:tabs>
          <w:tab w:val="right" w:pos="9639"/>
        </w:tabs>
        <w:rPr>
          <w:bCs/>
          <w:i/>
          <w:noProof w:val="0"/>
          <w:sz w:val="32"/>
          <w:lang w:val="en-GB"/>
        </w:rPr>
      </w:pPr>
      <w:bookmarkStart w:id="0" w:name="OLE_LINK5"/>
      <w:bookmarkStart w:id="1" w:name="OLE_LINK6"/>
      <w:bookmarkStart w:id="2" w:name="_GoBack"/>
      <w:bookmarkEnd w:id="2"/>
      <w:r w:rsidRPr="007B7496">
        <w:rPr>
          <w:bCs/>
          <w:noProof w:val="0"/>
          <w:sz w:val="24"/>
          <w:lang w:val="en-GB"/>
        </w:rPr>
        <w:t>3GPP T</w:t>
      </w:r>
      <w:bookmarkStart w:id="3" w:name="_Ref452454252"/>
      <w:bookmarkEnd w:id="3"/>
      <w:r w:rsidRPr="007B7496">
        <w:rPr>
          <w:bCs/>
          <w:noProof w:val="0"/>
          <w:sz w:val="24"/>
          <w:lang w:val="en-GB"/>
        </w:rPr>
        <w:t xml:space="preserve">SG-RAN </w:t>
      </w:r>
      <w:r w:rsidRPr="000A4D7C">
        <w:rPr>
          <w:noProof w:val="0"/>
          <w:sz w:val="24"/>
          <w:lang w:val="en-GB"/>
        </w:rPr>
        <w:t>WG</w:t>
      </w:r>
      <w:r w:rsidR="0011672A">
        <w:rPr>
          <w:noProof w:val="0"/>
          <w:sz w:val="24"/>
          <w:lang w:val="en-GB"/>
        </w:rPr>
        <w:t>1 meeting #93</w:t>
      </w:r>
      <w:r w:rsidR="0040502E" w:rsidRPr="007B7496">
        <w:rPr>
          <w:bCs/>
          <w:noProof w:val="0"/>
          <w:sz w:val="24"/>
          <w:lang w:val="en-GB"/>
        </w:rPr>
        <w:tab/>
      </w:r>
      <w:r w:rsidR="00FB337A" w:rsidRPr="00FB337A">
        <w:rPr>
          <w:bCs/>
          <w:noProof w:val="0"/>
          <w:sz w:val="24"/>
          <w:lang w:val="en-GB" w:eastAsia="ja-JP"/>
        </w:rPr>
        <w:t>R1-</w:t>
      </w:r>
      <w:r w:rsidR="004E7DA1" w:rsidRPr="00FB337A">
        <w:rPr>
          <w:bCs/>
          <w:noProof w:val="0"/>
          <w:sz w:val="24"/>
          <w:lang w:val="en-GB" w:eastAsia="ja-JP"/>
        </w:rPr>
        <w:t>18</w:t>
      </w:r>
      <w:r w:rsidR="0011672A">
        <w:rPr>
          <w:bCs/>
          <w:noProof w:val="0"/>
          <w:sz w:val="24"/>
          <w:lang w:val="en-GB" w:eastAsia="ja-JP"/>
        </w:rPr>
        <w:t>0</w:t>
      </w:r>
      <w:r w:rsidR="00B273F1">
        <w:rPr>
          <w:bCs/>
          <w:noProof w:val="0"/>
          <w:sz w:val="24"/>
          <w:lang w:val="en-GB" w:eastAsia="ja-JP"/>
        </w:rPr>
        <w:t>7170</w:t>
      </w:r>
    </w:p>
    <w:p w14:paraId="578787D6" w14:textId="11B6D9B0" w:rsidR="000D620A" w:rsidRPr="007B7496" w:rsidRDefault="0011672A" w:rsidP="000D620A">
      <w:pPr>
        <w:pStyle w:val="Header"/>
        <w:rPr>
          <w:bCs/>
          <w:noProof w:val="0"/>
          <w:sz w:val="24"/>
          <w:lang w:val="en-GB" w:eastAsia="ja-JP"/>
        </w:rPr>
      </w:pPr>
      <w:r>
        <w:rPr>
          <w:noProof w:val="0"/>
          <w:sz w:val="24"/>
          <w:lang w:val="en-GB"/>
        </w:rPr>
        <w:t>Busan</w:t>
      </w:r>
      <w:r w:rsidR="004E7DA1" w:rsidRPr="004E7DA1">
        <w:rPr>
          <w:noProof w:val="0"/>
          <w:sz w:val="24"/>
          <w:lang w:val="en-GB"/>
        </w:rPr>
        <w:t xml:space="preserve">, </w:t>
      </w:r>
      <w:r w:rsidR="00373D7B" w:rsidRPr="00373D7B">
        <w:rPr>
          <w:noProof w:val="0"/>
          <w:sz w:val="24"/>
          <w:lang w:val="en-GB"/>
        </w:rPr>
        <w:t>Republic of Korea</w:t>
      </w:r>
      <w:r>
        <w:rPr>
          <w:noProof w:val="0"/>
          <w:sz w:val="24"/>
          <w:lang w:val="en-GB"/>
        </w:rPr>
        <w:t>, May 21</w:t>
      </w:r>
      <w:r w:rsidRPr="0011672A">
        <w:rPr>
          <w:noProof w:val="0"/>
          <w:sz w:val="24"/>
          <w:vertAlign w:val="superscript"/>
          <w:lang w:val="en-GB"/>
        </w:rPr>
        <w:t>st</w:t>
      </w:r>
      <w:r>
        <w:rPr>
          <w:noProof w:val="0"/>
          <w:sz w:val="24"/>
          <w:lang w:val="en-GB"/>
        </w:rPr>
        <w:t xml:space="preserve"> – 25</w:t>
      </w:r>
      <w:r w:rsidRPr="0011672A">
        <w:rPr>
          <w:noProof w:val="0"/>
          <w:sz w:val="24"/>
          <w:vertAlign w:val="superscript"/>
          <w:lang w:val="en-GB"/>
        </w:rPr>
        <w:t>th</w:t>
      </w:r>
      <w:r w:rsidR="004E7DA1" w:rsidRPr="004E7DA1">
        <w:rPr>
          <w:noProof w:val="0"/>
          <w:sz w:val="24"/>
          <w:lang w:val="en-GB"/>
        </w:rPr>
        <w:t>, 2018</w:t>
      </w:r>
      <w:bookmarkEnd w:id="0"/>
      <w:bookmarkEnd w:id="1"/>
    </w:p>
    <w:p w14:paraId="10752044" w14:textId="77777777" w:rsidR="00EE60EC" w:rsidRPr="002E76E9" w:rsidRDefault="00EE60EC" w:rsidP="00EE60EC">
      <w:pPr>
        <w:pStyle w:val="CRCoverPage"/>
        <w:rPr>
          <w:rFonts w:cs="Arial"/>
          <w:b/>
          <w:bCs/>
          <w:sz w:val="24"/>
          <w:lang w:val="en-US" w:eastAsia="ja-JP"/>
        </w:rPr>
      </w:pPr>
      <w:r w:rsidRPr="002E76E9">
        <w:rPr>
          <w:rFonts w:cs="Arial"/>
          <w:b/>
          <w:bCs/>
          <w:sz w:val="24"/>
          <w:lang w:val="en-US"/>
        </w:rPr>
        <w:t>Agenda item:</w:t>
      </w:r>
      <w:r w:rsidRPr="002E76E9">
        <w:rPr>
          <w:rFonts w:cs="Arial"/>
          <w:b/>
          <w:bCs/>
          <w:sz w:val="24"/>
          <w:lang w:val="en-US"/>
        </w:rPr>
        <w:tab/>
      </w:r>
      <w:r w:rsidRPr="002E76E9">
        <w:rPr>
          <w:rFonts w:cs="Arial"/>
          <w:b/>
          <w:bCs/>
          <w:sz w:val="24"/>
          <w:lang w:val="en-US"/>
        </w:rPr>
        <w:tab/>
        <w:t>7.1.1</w:t>
      </w:r>
      <w:r>
        <w:rPr>
          <w:rFonts w:cs="Arial"/>
          <w:b/>
          <w:bCs/>
          <w:sz w:val="24"/>
          <w:lang w:val="en-US"/>
        </w:rPr>
        <w:t>.1</w:t>
      </w:r>
    </w:p>
    <w:p w14:paraId="7863829A" w14:textId="77777777" w:rsidR="00EE60EC" w:rsidRPr="002E76E9" w:rsidRDefault="00EE60EC" w:rsidP="00EE60EC">
      <w:pPr>
        <w:tabs>
          <w:tab w:val="left" w:pos="1985"/>
        </w:tabs>
        <w:ind w:left="1985" w:hanging="1985"/>
        <w:rPr>
          <w:rFonts w:ascii="Arial" w:hAnsi="Arial" w:cs="Arial"/>
          <w:b/>
          <w:bCs/>
          <w:sz w:val="24"/>
          <w:lang w:val="en-US"/>
        </w:rPr>
      </w:pPr>
      <w:r w:rsidRPr="002E76E9">
        <w:rPr>
          <w:rFonts w:ascii="Arial" w:hAnsi="Arial" w:cs="Arial"/>
          <w:b/>
          <w:bCs/>
          <w:sz w:val="24"/>
          <w:lang w:val="en-US"/>
        </w:rPr>
        <w:t>Source:</w:t>
      </w:r>
      <w:r w:rsidRPr="002E76E9">
        <w:rPr>
          <w:rFonts w:ascii="Arial" w:hAnsi="Arial" w:cs="Arial"/>
          <w:b/>
          <w:bCs/>
          <w:sz w:val="24"/>
          <w:lang w:val="en-US"/>
        </w:rPr>
        <w:tab/>
      </w:r>
      <w:bookmarkStart w:id="4" w:name="OLE_LINK1"/>
      <w:bookmarkStart w:id="5" w:name="OLE_LINK2"/>
      <w:r w:rsidRPr="002E76E9">
        <w:rPr>
          <w:rFonts w:ascii="Arial" w:hAnsi="Arial" w:cs="Arial"/>
          <w:b/>
          <w:bCs/>
          <w:sz w:val="24"/>
          <w:lang w:val="en-US"/>
        </w:rPr>
        <w:t>Nokia</w:t>
      </w:r>
      <w:bookmarkEnd w:id="4"/>
      <w:bookmarkEnd w:id="5"/>
      <w:r w:rsidRPr="002E76E9">
        <w:rPr>
          <w:rFonts w:ascii="Arial" w:hAnsi="Arial" w:cs="Arial"/>
          <w:b/>
          <w:bCs/>
          <w:sz w:val="24"/>
          <w:lang w:val="en-US"/>
        </w:rPr>
        <w:t>, Nokia Shanghai Bell</w:t>
      </w:r>
    </w:p>
    <w:p w14:paraId="1C964D1A" w14:textId="77777777" w:rsidR="00EE60EC" w:rsidRPr="006C67C3" w:rsidRDefault="00EE60EC" w:rsidP="00EE60EC">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Pr>
          <w:rFonts w:ascii="Arial" w:hAnsi="Arial" w:cs="Arial"/>
          <w:b/>
          <w:bCs/>
          <w:sz w:val="24"/>
        </w:rPr>
        <w:t xml:space="preserve">Open issues related to Synchronisation Signal </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04FBC7A" w14:textId="4DD99067" w:rsidR="00D8357B" w:rsidRPr="00B56354" w:rsidRDefault="00D8357B" w:rsidP="00BA34B9">
      <w:pPr>
        <w:spacing w:after="120"/>
        <w:jc w:val="both"/>
        <w:rPr>
          <w:rFonts w:cs="Times New Roman"/>
          <w:lang w:val="en-US"/>
        </w:rPr>
      </w:pPr>
      <w:r>
        <w:rPr>
          <w:rFonts w:ascii="Times New Roman" w:hAnsi="Times New Roman"/>
          <w:bCs/>
          <w:sz w:val="20"/>
          <w:szCs w:val="20"/>
          <w:lang w:val="en-US"/>
        </w:rPr>
        <w:t xml:space="preserve">In this contribution </w:t>
      </w:r>
      <w:r w:rsidR="00AB6356">
        <w:rPr>
          <w:rFonts w:ascii="Times New Roman" w:hAnsi="Times New Roman"/>
          <w:bCs/>
          <w:sz w:val="20"/>
          <w:szCs w:val="20"/>
          <w:lang w:val="en-US"/>
        </w:rPr>
        <w:t>we discuss the open items related to the synchronization signal</w:t>
      </w:r>
      <w:r w:rsidR="004E7DA1">
        <w:rPr>
          <w:rFonts w:ascii="Times New Roman" w:hAnsi="Times New Roman"/>
          <w:bCs/>
          <w:sz w:val="20"/>
          <w:szCs w:val="20"/>
          <w:lang w:val="en-US"/>
        </w:rPr>
        <w:t>.</w:t>
      </w:r>
    </w:p>
    <w:p w14:paraId="7C8BC337" w14:textId="366477B7" w:rsidR="00E56ADC" w:rsidRDefault="006831BD" w:rsidP="00E56ADC">
      <w:pPr>
        <w:pStyle w:val="Heading1"/>
      </w:pPr>
      <w:r>
        <w:t>2</w:t>
      </w:r>
      <w:r w:rsidR="00E56ADC">
        <w:tab/>
      </w:r>
      <w:r>
        <w:t>The power ratio of initial access signals</w:t>
      </w:r>
    </w:p>
    <w:p w14:paraId="6D7BF752" w14:textId="77777777" w:rsidR="00AB6356" w:rsidRDefault="00E56ADC" w:rsidP="00AB6356">
      <w:pPr>
        <w:spacing w:after="120"/>
        <w:jc w:val="both"/>
        <w:rPr>
          <w:rFonts w:ascii="Times New Roman" w:hAnsi="Times New Roman"/>
          <w:bCs/>
          <w:sz w:val="20"/>
          <w:szCs w:val="20"/>
          <w:lang w:val="en-US"/>
        </w:rPr>
      </w:pPr>
      <w:r>
        <w:rPr>
          <w:rFonts w:ascii="Times New Roman" w:hAnsi="Times New Roman" w:cs="Times New Roman"/>
          <w:sz w:val="20"/>
          <w:lang w:val="en-US"/>
        </w:rPr>
        <w:t>In</w:t>
      </w:r>
      <w:r w:rsidR="006831BD">
        <w:rPr>
          <w:rFonts w:ascii="Times New Roman" w:hAnsi="Times New Roman" w:cs="Times New Roman"/>
          <w:sz w:val="20"/>
          <w:lang w:val="en-US"/>
        </w:rPr>
        <w:t xml:space="preserve"> RAN1 NR AH#18-01 the mapping of PSS, SSS and PBCH was clarified introducing separate symbol determining the scaling factor for SSS and PBCH DRRS, as implemented in </w:t>
      </w:r>
      <w:r w:rsidR="006831BD">
        <w:rPr>
          <w:rFonts w:ascii="Times New Roman" w:hAnsi="Times New Roman" w:cs="Times New Roman"/>
          <w:sz w:val="20"/>
          <w:lang w:val="en-US"/>
        </w:rPr>
        <w:fldChar w:fldCharType="begin"/>
      </w:r>
      <w:r w:rsidR="006831BD">
        <w:rPr>
          <w:rFonts w:ascii="Times New Roman" w:hAnsi="Times New Roman" w:cs="Times New Roman"/>
          <w:sz w:val="20"/>
          <w:lang w:val="en-US"/>
        </w:rPr>
        <w:instrText xml:space="preserve"> REF _Ref506223522 \r \h </w:instrText>
      </w:r>
      <w:r w:rsidR="006831BD">
        <w:rPr>
          <w:rFonts w:ascii="Times New Roman" w:hAnsi="Times New Roman" w:cs="Times New Roman"/>
          <w:sz w:val="20"/>
          <w:lang w:val="en-US"/>
        </w:rPr>
      </w:r>
      <w:r w:rsidR="006831BD">
        <w:rPr>
          <w:rFonts w:ascii="Times New Roman" w:hAnsi="Times New Roman" w:cs="Times New Roman"/>
          <w:sz w:val="20"/>
          <w:lang w:val="en-US"/>
        </w:rPr>
        <w:fldChar w:fldCharType="separate"/>
      </w:r>
      <w:r w:rsidR="00491524">
        <w:rPr>
          <w:rFonts w:ascii="Times New Roman" w:hAnsi="Times New Roman" w:cs="Times New Roman"/>
          <w:sz w:val="20"/>
          <w:lang w:val="en-US"/>
        </w:rPr>
        <w:t>[4]</w:t>
      </w:r>
      <w:r w:rsidR="006831BD">
        <w:rPr>
          <w:rFonts w:ascii="Times New Roman" w:hAnsi="Times New Roman" w:cs="Times New Roman"/>
          <w:sz w:val="20"/>
          <w:lang w:val="en-US"/>
        </w:rPr>
        <w:fldChar w:fldCharType="end"/>
      </w:r>
      <w:r w:rsidR="006831BD">
        <w:rPr>
          <w:rFonts w:ascii="Times New Roman" w:hAnsi="Times New Roman" w:cs="Times New Roman"/>
          <w:sz w:val="20"/>
          <w:lang w:val="en-US"/>
        </w:rPr>
        <w:t xml:space="preserve">. It has also been agreed earlier that UE may assume that SSS, PBCH and PBCH DMRS have the same EPRE, as also clarified in </w:t>
      </w:r>
      <w:r w:rsidR="006831BD">
        <w:rPr>
          <w:rFonts w:ascii="Times New Roman" w:hAnsi="Times New Roman" w:cs="Times New Roman"/>
          <w:sz w:val="20"/>
          <w:lang w:val="en-US"/>
        </w:rPr>
        <w:fldChar w:fldCharType="begin"/>
      </w:r>
      <w:r w:rsidR="006831BD">
        <w:rPr>
          <w:rFonts w:ascii="Times New Roman" w:hAnsi="Times New Roman" w:cs="Times New Roman"/>
          <w:sz w:val="20"/>
          <w:lang w:val="en-US"/>
        </w:rPr>
        <w:instrText xml:space="preserve"> REF _Ref506223787 \r \h </w:instrText>
      </w:r>
      <w:r w:rsidR="006831BD">
        <w:rPr>
          <w:rFonts w:ascii="Times New Roman" w:hAnsi="Times New Roman" w:cs="Times New Roman"/>
          <w:sz w:val="20"/>
          <w:lang w:val="en-US"/>
        </w:rPr>
      </w:r>
      <w:r w:rsidR="006831BD">
        <w:rPr>
          <w:rFonts w:ascii="Times New Roman" w:hAnsi="Times New Roman" w:cs="Times New Roman"/>
          <w:sz w:val="20"/>
          <w:lang w:val="en-US"/>
        </w:rPr>
        <w:fldChar w:fldCharType="separate"/>
      </w:r>
      <w:r w:rsidR="00491524">
        <w:rPr>
          <w:rFonts w:ascii="Times New Roman" w:hAnsi="Times New Roman" w:cs="Times New Roman"/>
          <w:sz w:val="20"/>
          <w:lang w:val="en-US"/>
        </w:rPr>
        <w:t>[5]</w:t>
      </w:r>
      <w:r w:rsidR="006831BD">
        <w:rPr>
          <w:rFonts w:ascii="Times New Roman" w:hAnsi="Times New Roman" w:cs="Times New Roman"/>
          <w:sz w:val="20"/>
          <w:lang w:val="en-US"/>
        </w:rPr>
        <w:fldChar w:fldCharType="end"/>
      </w:r>
      <w:r w:rsidR="006831BD">
        <w:rPr>
          <w:rFonts w:ascii="Times New Roman" w:hAnsi="Times New Roman" w:cs="Times New Roman"/>
          <w:sz w:val="20"/>
          <w:lang w:val="en-US"/>
        </w:rPr>
        <w:t xml:space="preserve">. </w:t>
      </w:r>
      <w:r w:rsidR="00AB6356" w:rsidRPr="006C67C3">
        <w:rPr>
          <w:rFonts w:ascii="Times New Roman" w:hAnsi="Times New Roman"/>
          <w:bCs/>
          <w:sz w:val="20"/>
          <w:szCs w:val="20"/>
          <w:lang w:val="en-US"/>
        </w:rPr>
        <w:t>In RAN</w:t>
      </w:r>
      <w:r w:rsidR="00AB6356">
        <w:rPr>
          <w:rFonts w:ascii="Times New Roman" w:hAnsi="Times New Roman"/>
          <w:bCs/>
          <w:sz w:val="20"/>
          <w:szCs w:val="20"/>
          <w:lang w:val="en-US"/>
        </w:rPr>
        <w:t xml:space="preserve">1 meeting #92 possible power difference </w:t>
      </w:r>
      <w:r w:rsidR="00AB6356">
        <w:rPr>
          <w:rFonts w:ascii="Times New Roman" w:hAnsi="Times New Roman" w:cs="Times New Roman"/>
          <w:sz w:val="20"/>
          <w:lang w:val="en-US"/>
        </w:rPr>
        <w:t xml:space="preserve">between PSS and SSS/PBCH was discussed and following agreement was reached </w:t>
      </w:r>
      <w:r w:rsidR="00AB6356">
        <w:rPr>
          <w:rFonts w:ascii="Times New Roman" w:hAnsi="Times New Roman" w:cs="Times New Roman"/>
          <w:sz w:val="20"/>
          <w:lang w:val="en-US"/>
        </w:rPr>
        <w:fldChar w:fldCharType="begin"/>
      </w:r>
      <w:r w:rsidR="00AB6356">
        <w:rPr>
          <w:rFonts w:ascii="Times New Roman" w:hAnsi="Times New Roman" w:cs="Times New Roman"/>
          <w:sz w:val="20"/>
          <w:lang w:val="en-US"/>
        </w:rPr>
        <w:instrText xml:space="preserve"> REF _Ref510458273 \r \h </w:instrText>
      </w:r>
      <w:r w:rsidR="00AB6356">
        <w:rPr>
          <w:rFonts w:ascii="Times New Roman" w:hAnsi="Times New Roman" w:cs="Times New Roman"/>
          <w:sz w:val="20"/>
          <w:lang w:val="en-US"/>
        </w:rPr>
      </w:r>
      <w:r w:rsidR="00AB6356">
        <w:rPr>
          <w:rFonts w:ascii="Times New Roman" w:hAnsi="Times New Roman" w:cs="Times New Roman"/>
          <w:sz w:val="20"/>
          <w:lang w:val="en-US"/>
        </w:rPr>
        <w:fldChar w:fldCharType="separate"/>
      </w:r>
      <w:r w:rsidR="00AB6356">
        <w:rPr>
          <w:rFonts w:ascii="Times New Roman" w:hAnsi="Times New Roman" w:cs="Times New Roman"/>
          <w:sz w:val="20"/>
          <w:lang w:val="en-US"/>
        </w:rPr>
        <w:t>[3]</w:t>
      </w:r>
      <w:r w:rsidR="00AB6356">
        <w:rPr>
          <w:rFonts w:ascii="Times New Roman" w:hAnsi="Times New Roman" w:cs="Times New Roman"/>
          <w:sz w:val="20"/>
          <w:lang w:val="en-US"/>
        </w:rPr>
        <w:fldChar w:fldCharType="end"/>
      </w:r>
      <w:r w:rsidR="00AB6356">
        <w:rPr>
          <w:rFonts w:ascii="Times New Roman" w:hAnsi="Times New Roman" w:cs="Times New Roman"/>
          <w:sz w:val="20"/>
          <w:lang w:val="en-US"/>
        </w:rPr>
        <w:t>:</w:t>
      </w:r>
    </w:p>
    <w:tbl>
      <w:tblPr>
        <w:tblStyle w:val="TableGrid"/>
        <w:tblW w:w="0" w:type="auto"/>
        <w:tblLook w:val="04A0" w:firstRow="1" w:lastRow="0" w:firstColumn="1" w:lastColumn="0" w:noHBand="0" w:noVBand="1"/>
      </w:tblPr>
      <w:tblGrid>
        <w:gridCol w:w="9629"/>
      </w:tblGrid>
      <w:tr w:rsidR="00AB6356" w:rsidRPr="00884182" w14:paraId="0684C230" w14:textId="77777777" w:rsidTr="00247C5F">
        <w:tc>
          <w:tcPr>
            <w:tcW w:w="9629" w:type="dxa"/>
          </w:tcPr>
          <w:p w14:paraId="47CC01FE" w14:textId="77777777" w:rsidR="00AB6356" w:rsidRPr="00D8357B" w:rsidRDefault="00AB6356" w:rsidP="00247C5F">
            <w:pPr>
              <w:spacing w:after="0" w:line="240" w:lineRule="auto"/>
              <w:ind w:left="720" w:hanging="720"/>
              <w:rPr>
                <w:rFonts w:ascii="Times" w:eastAsia="Batang" w:hAnsi="Times" w:cs="Times New Roman"/>
                <w:b/>
                <w:sz w:val="20"/>
                <w:szCs w:val="20"/>
                <w:lang w:eastAsia="x-none"/>
              </w:rPr>
            </w:pPr>
            <w:r w:rsidRPr="00D8357B">
              <w:rPr>
                <w:rFonts w:ascii="Times" w:eastAsia="Batang" w:hAnsi="Times" w:cs="Times New Roman"/>
                <w:sz w:val="20"/>
                <w:szCs w:val="20"/>
                <w:highlight w:val="green"/>
                <w:lang w:eastAsia="x-none"/>
              </w:rPr>
              <w:t>Agreements</w:t>
            </w:r>
            <w:r w:rsidRPr="00D8357B">
              <w:rPr>
                <w:rFonts w:ascii="Times" w:eastAsia="Batang" w:hAnsi="Times" w:cs="Times New Roman"/>
                <w:b/>
                <w:sz w:val="20"/>
                <w:szCs w:val="20"/>
                <w:lang w:eastAsia="x-none"/>
              </w:rPr>
              <w:t>:</w:t>
            </w:r>
          </w:p>
          <w:p w14:paraId="78755B31" w14:textId="77777777" w:rsidR="00AB6356" w:rsidRPr="00D8357B" w:rsidRDefault="00AB6356" w:rsidP="00247C5F">
            <w:pPr>
              <w:numPr>
                <w:ilvl w:val="0"/>
                <w:numId w:val="45"/>
              </w:numPr>
              <w:spacing w:after="0" w:line="240" w:lineRule="auto"/>
              <w:contextualSpacing/>
              <w:rPr>
                <w:rFonts w:ascii="Times" w:eastAsia="MS Mincho" w:hAnsi="Times" w:cs="Times New Roman"/>
                <w:sz w:val="20"/>
                <w:szCs w:val="20"/>
                <w:lang w:eastAsia="x-none"/>
              </w:rPr>
            </w:pPr>
            <w:r w:rsidRPr="00D8357B">
              <w:rPr>
                <w:rFonts w:ascii="Times" w:eastAsia="MS Mincho" w:hAnsi="Times" w:cs="Times New Roman"/>
                <w:sz w:val="20"/>
                <w:szCs w:val="20"/>
                <w:lang w:eastAsia="x-none"/>
              </w:rPr>
              <w:t>The UE may assume that the ratio of PSS EPRE to SSS EPRE is either 0dB or 3dB for a given cell</w:t>
            </w:r>
          </w:p>
          <w:p w14:paraId="4938528C" w14:textId="77777777" w:rsidR="00AB6356" w:rsidRPr="00D8357B" w:rsidRDefault="00AB6356" w:rsidP="00247C5F">
            <w:pPr>
              <w:spacing w:after="0" w:line="240" w:lineRule="auto"/>
              <w:ind w:left="720" w:hanging="720"/>
              <w:rPr>
                <w:rFonts w:ascii="Times" w:eastAsia="Batang" w:hAnsi="Times" w:cs="Times New Roman"/>
                <w:b/>
                <w:sz w:val="20"/>
                <w:szCs w:val="20"/>
                <w:lang w:eastAsia="x-none"/>
              </w:rPr>
            </w:pPr>
          </w:p>
          <w:p w14:paraId="10C3A67F" w14:textId="77777777" w:rsidR="00AB6356" w:rsidRPr="00D8357B" w:rsidRDefault="00AB6356" w:rsidP="00247C5F">
            <w:pPr>
              <w:spacing w:after="0" w:line="240" w:lineRule="auto"/>
              <w:ind w:left="720" w:hanging="720"/>
              <w:rPr>
                <w:rFonts w:ascii="Times" w:eastAsia="Batang" w:hAnsi="Times" w:cs="Times New Roman"/>
                <w:sz w:val="20"/>
                <w:szCs w:val="20"/>
                <w:lang w:eastAsia="x-none"/>
              </w:rPr>
            </w:pPr>
            <w:r w:rsidRPr="00D8357B">
              <w:rPr>
                <w:rFonts w:ascii="Times" w:eastAsia="Batang" w:hAnsi="Times" w:cs="Times New Roman"/>
                <w:sz w:val="20"/>
                <w:szCs w:val="20"/>
                <w:lang w:eastAsia="x-none"/>
              </w:rPr>
              <w:t>Discuss further till next meeting regarding power offset between SS/PBCH block and PDCCH</w:t>
            </w:r>
          </w:p>
          <w:p w14:paraId="3CD6FD40" w14:textId="77777777" w:rsidR="00AB6356" w:rsidRPr="00D8357B" w:rsidRDefault="00AB6356" w:rsidP="00247C5F">
            <w:pPr>
              <w:numPr>
                <w:ilvl w:val="0"/>
                <w:numId w:val="46"/>
              </w:numPr>
              <w:spacing w:after="0" w:line="240" w:lineRule="auto"/>
              <w:rPr>
                <w:rFonts w:ascii="Times" w:eastAsia="Batang" w:hAnsi="Times" w:cs="Times New Roman"/>
                <w:sz w:val="20"/>
                <w:szCs w:val="20"/>
                <w:lang w:eastAsia="x-none"/>
              </w:rPr>
            </w:pPr>
            <w:r w:rsidRPr="00D8357B">
              <w:rPr>
                <w:rFonts w:ascii="Times" w:eastAsia="Batang" w:hAnsi="Times" w:cs="Times New Roman"/>
                <w:sz w:val="20"/>
                <w:szCs w:val="20"/>
                <w:lang w:eastAsia="x-none"/>
              </w:rPr>
              <w:t>No RRC signalling is necessary</w:t>
            </w:r>
          </w:p>
          <w:p w14:paraId="1EBE530C" w14:textId="77777777" w:rsidR="00AB6356" w:rsidRPr="00884182" w:rsidRDefault="00AB6356" w:rsidP="00247C5F">
            <w:pPr>
              <w:overflowPunct w:val="0"/>
              <w:autoSpaceDE w:val="0"/>
              <w:autoSpaceDN w:val="0"/>
              <w:adjustRightInd w:val="0"/>
              <w:spacing w:before="240" w:after="120" w:line="240" w:lineRule="auto"/>
              <w:jc w:val="both"/>
              <w:rPr>
                <w:rFonts w:eastAsia="MS Mincho" w:cs="Times New Roman"/>
                <w:sz w:val="20"/>
                <w:szCs w:val="20"/>
                <w:lang w:eastAsia="ja-JP"/>
              </w:rPr>
            </w:pPr>
          </w:p>
        </w:tc>
      </w:tr>
    </w:tbl>
    <w:p w14:paraId="2E1A6236" w14:textId="77777777" w:rsidR="00AB6356" w:rsidRDefault="00AB6356" w:rsidP="00AB6356">
      <w:pPr>
        <w:spacing w:after="120"/>
        <w:jc w:val="both"/>
        <w:rPr>
          <w:rFonts w:ascii="Times New Roman" w:hAnsi="Times New Roman"/>
          <w:bCs/>
          <w:sz w:val="20"/>
          <w:szCs w:val="20"/>
          <w:lang w:val="en-US"/>
        </w:rPr>
      </w:pPr>
      <w:r>
        <w:rPr>
          <w:rFonts w:ascii="Times New Roman" w:hAnsi="Times New Roman"/>
          <w:bCs/>
          <w:sz w:val="20"/>
          <w:szCs w:val="20"/>
          <w:lang w:val="en-US"/>
        </w:rPr>
        <w:t>the discussion was continued in RAN1#92bis and following agreement was reached:</w:t>
      </w:r>
    </w:p>
    <w:tbl>
      <w:tblPr>
        <w:tblStyle w:val="TableGrid"/>
        <w:tblW w:w="0" w:type="auto"/>
        <w:tblLook w:val="04A0" w:firstRow="1" w:lastRow="0" w:firstColumn="1" w:lastColumn="0" w:noHBand="0" w:noVBand="1"/>
      </w:tblPr>
      <w:tblGrid>
        <w:gridCol w:w="9629"/>
      </w:tblGrid>
      <w:tr w:rsidR="00AB6356" w:rsidRPr="00884182" w14:paraId="08A773E6" w14:textId="77777777" w:rsidTr="00247C5F">
        <w:tc>
          <w:tcPr>
            <w:tcW w:w="9629" w:type="dxa"/>
          </w:tcPr>
          <w:p w14:paraId="453682FD" w14:textId="77777777" w:rsidR="00AB6356" w:rsidRPr="00CE6FA6" w:rsidRDefault="00AB6356" w:rsidP="00247C5F">
            <w:pPr>
              <w:spacing w:after="0" w:line="240" w:lineRule="auto"/>
              <w:ind w:left="720" w:hanging="720"/>
              <w:rPr>
                <w:rFonts w:ascii="Times" w:eastAsia="Batang" w:hAnsi="Times" w:cs="Times New Roman"/>
                <w:sz w:val="20"/>
                <w:szCs w:val="20"/>
              </w:rPr>
            </w:pPr>
            <w:r w:rsidRPr="00CE6FA6">
              <w:rPr>
                <w:rFonts w:ascii="Times" w:eastAsia="Batang" w:hAnsi="Times" w:cs="Times New Roman"/>
                <w:sz w:val="20"/>
                <w:szCs w:val="20"/>
                <w:highlight w:val="green"/>
              </w:rPr>
              <w:t>Agreements</w:t>
            </w:r>
            <w:r w:rsidRPr="00CE6FA6">
              <w:rPr>
                <w:rFonts w:ascii="Times" w:eastAsia="Batang" w:hAnsi="Times" w:cs="Times New Roman"/>
                <w:sz w:val="20"/>
                <w:szCs w:val="20"/>
              </w:rPr>
              <w:t>:</w:t>
            </w:r>
          </w:p>
          <w:p w14:paraId="574C07CA" w14:textId="77777777" w:rsidR="00AB6356" w:rsidRPr="00CE6FA6" w:rsidRDefault="00AB6356" w:rsidP="00247C5F">
            <w:pPr>
              <w:numPr>
                <w:ilvl w:val="0"/>
                <w:numId w:val="47"/>
              </w:numPr>
              <w:overflowPunct w:val="0"/>
              <w:autoSpaceDE w:val="0"/>
              <w:autoSpaceDN w:val="0"/>
              <w:adjustRightInd w:val="0"/>
              <w:spacing w:after="120" w:line="240" w:lineRule="auto"/>
              <w:contextualSpacing/>
              <w:jc w:val="both"/>
              <w:textAlignment w:val="baseline"/>
              <w:rPr>
                <w:rFonts w:ascii="Times" w:eastAsia="Batang" w:hAnsi="Times" w:cs="Times New Roman"/>
                <w:sz w:val="20"/>
                <w:szCs w:val="20"/>
                <w:lang w:eastAsia="x-none"/>
              </w:rPr>
            </w:pPr>
            <w:r w:rsidRPr="00CE6FA6">
              <w:rPr>
                <w:rFonts w:ascii="Times" w:eastAsia="Batang" w:hAnsi="Times" w:cs="Times New Roman"/>
                <w:sz w:val="20"/>
                <w:szCs w:val="20"/>
                <w:lang w:eastAsia="x-none"/>
              </w:rPr>
              <w:t>In initial cell selection and idle mode, the UE may assume that the EPRE offset between PDCCH DMRS and SSS in the QCL’ed SSB is in the range [X, Y]dB when PDDCH with CRC scrambled by SI-RNTI, P-RNTI and RA-RNTI</w:t>
            </w:r>
          </w:p>
          <w:p w14:paraId="1AD3AF18" w14:textId="77777777" w:rsidR="00AB6356" w:rsidRPr="00CE6FA6" w:rsidRDefault="00AB6356" w:rsidP="00247C5F">
            <w:pPr>
              <w:numPr>
                <w:ilvl w:val="1"/>
                <w:numId w:val="47"/>
              </w:numPr>
              <w:overflowPunct w:val="0"/>
              <w:autoSpaceDE w:val="0"/>
              <w:autoSpaceDN w:val="0"/>
              <w:adjustRightInd w:val="0"/>
              <w:spacing w:after="120" w:line="240" w:lineRule="auto"/>
              <w:contextualSpacing/>
              <w:jc w:val="both"/>
              <w:textAlignment w:val="baseline"/>
              <w:rPr>
                <w:rFonts w:ascii="Times" w:eastAsia="Batang" w:hAnsi="Times" w:cs="Times New Roman"/>
                <w:sz w:val="20"/>
                <w:szCs w:val="20"/>
                <w:lang w:eastAsia="x-none"/>
              </w:rPr>
            </w:pPr>
            <w:r w:rsidRPr="00CE6FA6">
              <w:rPr>
                <w:rFonts w:ascii="Times" w:eastAsia="Batang" w:hAnsi="Times" w:cs="Times New Roman"/>
                <w:sz w:val="20"/>
                <w:szCs w:val="20"/>
                <w:lang w:eastAsia="x-none"/>
              </w:rPr>
              <w:t>FFS: value of X and Y and dependence on numerology</w:t>
            </w:r>
          </w:p>
          <w:p w14:paraId="45F0F5F9" w14:textId="77777777" w:rsidR="00AB6356" w:rsidRPr="00CE6FA6" w:rsidRDefault="00AB6356" w:rsidP="00247C5F">
            <w:pPr>
              <w:numPr>
                <w:ilvl w:val="2"/>
                <w:numId w:val="47"/>
              </w:numPr>
              <w:overflowPunct w:val="0"/>
              <w:autoSpaceDE w:val="0"/>
              <w:autoSpaceDN w:val="0"/>
              <w:adjustRightInd w:val="0"/>
              <w:spacing w:after="120" w:line="240" w:lineRule="auto"/>
              <w:contextualSpacing/>
              <w:jc w:val="both"/>
              <w:textAlignment w:val="baseline"/>
              <w:rPr>
                <w:rFonts w:ascii="Times" w:eastAsia="Batang" w:hAnsi="Times" w:cs="Times New Roman"/>
                <w:sz w:val="20"/>
                <w:szCs w:val="20"/>
                <w:lang w:eastAsia="x-none"/>
              </w:rPr>
            </w:pPr>
            <w:r w:rsidRPr="00CE6FA6">
              <w:rPr>
                <w:rFonts w:ascii="Times" w:eastAsia="Batang" w:hAnsi="Times" w:cs="Times New Roman"/>
                <w:sz w:val="20"/>
                <w:szCs w:val="20"/>
                <w:lang w:eastAsia="x-none"/>
              </w:rPr>
              <w:t>|X| &amp; Y are no more than 12</w:t>
            </w:r>
          </w:p>
          <w:p w14:paraId="48192B85" w14:textId="77777777" w:rsidR="00AB6356" w:rsidRPr="00884182" w:rsidRDefault="00AB6356" w:rsidP="00247C5F">
            <w:pPr>
              <w:overflowPunct w:val="0"/>
              <w:autoSpaceDE w:val="0"/>
              <w:autoSpaceDN w:val="0"/>
              <w:adjustRightInd w:val="0"/>
              <w:spacing w:before="240" w:after="120" w:line="240" w:lineRule="auto"/>
              <w:jc w:val="both"/>
              <w:rPr>
                <w:rFonts w:eastAsia="MS Mincho" w:cs="Times New Roman"/>
                <w:sz w:val="20"/>
                <w:szCs w:val="20"/>
                <w:lang w:eastAsia="ja-JP"/>
              </w:rPr>
            </w:pPr>
          </w:p>
        </w:tc>
      </w:tr>
    </w:tbl>
    <w:p w14:paraId="4636121A" w14:textId="75E6EB78" w:rsidR="00937F60" w:rsidRDefault="00937F60" w:rsidP="006831BD">
      <w:pPr>
        <w:rPr>
          <w:rFonts w:ascii="Times New Roman" w:hAnsi="Times New Roman" w:cs="Times New Roman"/>
          <w:sz w:val="20"/>
          <w:lang w:val="en-US"/>
        </w:rPr>
      </w:pPr>
    </w:p>
    <w:p w14:paraId="58D59D0F" w14:textId="755D4194" w:rsidR="000D3E79" w:rsidRDefault="00937F60" w:rsidP="00BA34B9">
      <w:pPr>
        <w:rPr>
          <w:rFonts w:ascii="Times New Roman" w:hAnsi="Times New Roman" w:cs="Times New Roman"/>
          <w:sz w:val="20"/>
          <w:lang w:val="en-US"/>
        </w:rPr>
      </w:pPr>
      <w:r>
        <w:rPr>
          <w:rFonts w:ascii="Times New Roman" w:hAnsi="Times New Roman" w:cs="Times New Roman"/>
          <w:sz w:val="20"/>
          <w:lang w:val="en-US"/>
        </w:rPr>
        <w:t xml:space="preserve">As already discussed during RAN1 NR AH#18-01 </w:t>
      </w:r>
      <w:r w:rsidR="00EF3AB1">
        <w:rPr>
          <w:rFonts w:ascii="Times New Roman" w:hAnsi="Times New Roman" w:cs="Times New Roman"/>
          <w:sz w:val="20"/>
          <w:lang w:val="en-US"/>
        </w:rPr>
        <w:t xml:space="preserve">and revisited in the last meeting, </w:t>
      </w:r>
      <w:r>
        <w:rPr>
          <w:rFonts w:ascii="Times New Roman" w:hAnsi="Times New Roman" w:cs="Times New Roman"/>
          <w:sz w:val="20"/>
          <w:lang w:val="en-US"/>
        </w:rPr>
        <w:t xml:space="preserve">the fixing the power difference with user specific PDCCH and SS/BPBCH block to a certain range may offer limited benefit from receiver perspective as these signals do not necessarily share any QCL assumptions, i.e. may be sent to different beams, and hence the power difference observed at the receiver may change depending on the spatial filtering applied. </w:t>
      </w:r>
      <w:r w:rsidR="000D3E79">
        <w:rPr>
          <w:rFonts w:ascii="Times New Roman" w:hAnsi="Times New Roman" w:cs="Times New Roman"/>
          <w:sz w:val="20"/>
          <w:lang w:val="en-US"/>
        </w:rPr>
        <w:t xml:space="preserve">Therefore it would not seem feasible nor necessary determine fixed power difference between SS/PBCH block and generic PDCCH. </w:t>
      </w:r>
    </w:p>
    <w:p w14:paraId="46E24BEC" w14:textId="3F660B67" w:rsidR="000D3E79" w:rsidRDefault="000D3E79" w:rsidP="00BA34B9">
      <w:pPr>
        <w:rPr>
          <w:rFonts w:ascii="Times New Roman" w:hAnsi="Times New Roman" w:cs="Times New Roman"/>
          <w:sz w:val="20"/>
          <w:lang w:val="en-US"/>
        </w:rPr>
      </w:pPr>
      <w:r w:rsidRPr="000D3E79">
        <w:rPr>
          <w:rFonts w:ascii="Times New Roman" w:hAnsi="Times New Roman" w:cs="Times New Roman"/>
          <w:b/>
          <w:sz w:val="20"/>
          <w:lang w:val="en-US"/>
        </w:rPr>
        <w:t>Observation</w:t>
      </w:r>
      <w:r>
        <w:rPr>
          <w:rFonts w:ascii="Times New Roman" w:hAnsi="Times New Roman" w:cs="Times New Roman"/>
          <w:sz w:val="20"/>
          <w:lang w:val="en-US"/>
        </w:rPr>
        <w:t>: It would not seem necessary to determine fixed power difference between SS/PBCH block and generic PDCCH.</w:t>
      </w:r>
    </w:p>
    <w:p w14:paraId="7B2B89BB" w14:textId="67602088" w:rsidR="00EF3AB1" w:rsidRDefault="00EF3AB1" w:rsidP="00EF3AB1">
      <w:pPr>
        <w:rPr>
          <w:rFonts w:ascii="Times New Roman" w:hAnsi="Times New Roman" w:cs="Times New Roman"/>
          <w:sz w:val="20"/>
          <w:lang w:val="en-US"/>
        </w:rPr>
      </w:pPr>
      <w:r>
        <w:rPr>
          <w:rFonts w:ascii="Times New Roman" w:hAnsi="Times New Roman" w:cs="Times New Roman"/>
          <w:sz w:val="20"/>
          <w:lang w:val="en-US"/>
        </w:rPr>
        <w:t>Like raised in last meetings discussions, UE’s would in principle required to support scenarios where there could be signals intended for different users multiplexed in frequency domain (e.g. at PRB granularity) or even the case that PDSCH is multiplexed with SSB, while sent based on different (source) reference signals. Hence following the currently supported offsets between different signals, we can estimate how large power difference there could in principle be between the received signals. For the power control, ratio between SSB and (NZP) CSI-RS can be indicated by ‘</w:t>
      </w:r>
      <w:r w:rsidRPr="00B25312">
        <w:rPr>
          <w:rFonts w:ascii="Times New Roman" w:hAnsi="Times New Roman" w:cs="Times New Roman"/>
          <w:i/>
          <w:sz w:val="20"/>
          <w:lang w:val="en-US"/>
        </w:rPr>
        <w:t>powerControlOffsetSS</w:t>
      </w:r>
      <w:r>
        <w:rPr>
          <w:rFonts w:ascii="Times New Roman" w:hAnsi="Times New Roman" w:cs="Times New Roman"/>
          <w:sz w:val="20"/>
          <w:lang w:val="en-US"/>
        </w:rPr>
        <w:t>’, and it supports values {-3,0,3,6}dB. Correspondingly, the power offset range between (NZP) CSI-RS and PDSCH/PDCCH DMRS is {-8…15}</w:t>
      </w:r>
      <w:r w:rsidR="00B11692">
        <w:rPr>
          <w:rFonts w:ascii="Times New Roman" w:hAnsi="Times New Roman" w:cs="Times New Roman"/>
          <w:sz w:val="20"/>
          <w:lang w:val="en-US"/>
        </w:rPr>
        <w:t>dB</w:t>
      </w:r>
      <w:r>
        <w:rPr>
          <w:rFonts w:ascii="Times New Roman" w:hAnsi="Times New Roman" w:cs="Times New Roman"/>
          <w:sz w:val="20"/>
          <w:lang w:val="en-US"/>
        </w:rPr>
        <w:t>. Hence, considering case where SSB is (FD) multiplexed with PDSCH, the power offset could range between -9dB to 21dB. Thus, it would seem that UE should be, be able to handle situations with rather large offsets</w:t>
      </w:r>
      <w:r w:rsidR="00A63A16">
        <w:rPr>
          <w:rFonts w:ascii="Times New Roman" w:hAnsi="Times New Roman" w:cs="Times New Roman"/>
          <w:sz w:val="20"/>
          <w:lang w:val="en-US"/>
        </w:rPr>
        <w:t xml:space="preserve"> between channels</w:t>
      </w:r>
      <w:r>
        <w:rPr>
          <w:rFonts w:ascii="Times New Roman" w:hAnsi="Times New Roman" w:cs="Times New Roman"/>
          <w:sz w:val="20"/>
          <w:lang w:val="en-US"/>
        </w:rPr>
        <w:t xml:space="preserve">.   </w:t>
      </w:r>
    </w:p>
    <w:p w14:paraId="48D053CC" w14:textId="77777777" w:rsidR="00EF3AB1" w:rsidRDefault="00EF3AB1" w:rsidP="00BA34B9">
      <w:pPr>
        <w:rPr>
          <w:rFonts w:ascii="Times New Roman" w:hAnsi="Times New Roman" w:cs="Times New Roman"/>
          <w:sz w:val="20"/>
          <w:lang w:val="en-US"/>
        </w:rPr>
      </w:pPr>
    </w:p>
    <w:p w14:paraId="6DE9761A" w14:textId="0D9C2564" w:rsidR="00093B7D" w:rsidRDefault="00EF3AB1" w:rsidP="00BA34B9">
      <w:pPr>
        <w:rPr>
          <w:rFonts w:ascii="Times New Roman" w:hAnsi="Times New Roman" w:cs="Times New Roman"/>
          <w:sz w:val="20"/>
          <w:lang w:val="en-US"/>
        </w:rPr>
      </w:pPr>
      <w:r>
        <w:rPr>
          <w:rFonts w:ascii="Times New Roman" w:hAnsi="Times New Roman" w:cs="Times New Roman"/>
          <w:sz w:val="20"/>
          <w:lang w:val="en-US"/>
        </w:rPr>
        <w:t xml:space="preserve"> In order to determine required range for the EPRE between PDCCH and (QCL’ed) SSS different factors need to be considered</w:t>
      </w:r>
      <w:r w:rsidR="00937F60">
        <w:rPr>
          <w:rFonts w:ascii="Times New Roman" w:hAnsi="Times New Roman" w:cs="Times New Roman"/>
          <w:sz w:val="20"/>
          <w:lang w:val="en-US"/>
        </w:rPr>
        <w:t xml:space="preserve">. </w:t>
      </w:r>
      <w:r>
        <w:rPr>
          <w:rFonts w:ascii="Times New Roman" w:hAnsi="Times New Roman" w:cs="Times New Roman"/>
          <w:sz w:val="20"/>
          <w:lang w:val="en-US"/>
        </w:rPr>
        <w:t>Like raised in RAN1#92bis, t</w:t>
      </w:r>
      <w:r w:rsidR="00937F60">
        <w:rPr>
          <w:rFonts w:ascii="Times New Roman" w:hAnsi="Times New Roman" w:cs="Times New Roman"/>
          <w:sz w:val="20"/>
          <w:lang w:val="en-US"/>
        </w:rPr>
        <w:t xml:space="preserve">he RSMI </w:t>
      </w:r>
      <w:r w:rsidR="00C634C4">
        <w:rPr>
          <w:rFonts w:ascii="Times New Roman" w:hAnsi="Times New Roman" w:cs="Times New Roman"/>
          <w:sz w:val="20"/>
          <w:lang w:val="en-US"/>
        </w:rPr>
        <w:t xml:space="preserve">CORESET </w:t>
      </w:r>
      <w:r w:rsidR="00937F60">
        <w:rPr>
          <w:rFonts w:ascii="Times New Roman" w:hAnsi="Times New Roman" w:cs="Times New Roman"/>
          <w:sz w:val="20"/>
          <w:lang w:val="en-US"/>
        </w:rPr>
        <w:t>configuration</w:t>
      </w:r>
      <w:r w:rsidR="00C634C4">
        <w:rPr>
          <w:rFonts w:ascii="Times New Roman" w:hAnsi="Times New Roman" w:cs="Times New Roman"/>
          <w:sz w:val="20"/>
          <w:lang w:val="en-US"/>
        </w:rPr>
        <w:t xml:space="preserve"> and sub-carrier spacing </w:t>
      </w:r>
      <w:r w:rsidR="00937F60">
        <w:rPr>
          <w:rFonts w:ascii="Times New Roman" w:hAnsi="Times New Roman" w:cs="Times New Roman"/>
          <w:sz w:val="20"/>
          <w:lang w:val="en-US"/>
        </w:rPr>
        <w:t xml:space="preserve">(provided in PBCH) sets </w:t>
      </w:r>
      <w:r w:rsidR="00C634C4">
        <w:rPr>
          <w:rFonts w:ascii="Times New Roman" w:hAnsi="Times New Roman" w:cs="Times New Roman"/>
          <w:sz w:val="20"/>
          <w:lang w:val="en-US"/>
        </w:rPr>
        <w:t xml:space="preserve">gives </w:t>
      </w:r>
      <w:r w:rsidR="00937F60">
        <w:rPr>
          <w:rFonts w:ascii="Times New Roman" w:hAnsi="Times New Roman" w:cs="Times New Roman"/>
          <w:sz w:val="20"/>
          <w:lang w:val="en-US"/>
        </w:rPr>
        <w:t>the bandwidth of the CORESET (</w:t>
      </w:r>
      <w:r w:rsidR="00EF4533" w:rsidRPr="00B916EC">
        <w:rPr>
          <w:position w:val="-10"/>
        </w:rPr>
        <w:object w:dxaOrig="880" w:dyaOrig="340" w14:anchorId="67363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7.3pt" o:ole="">
            <v:imagedata r:id="rId8" o:title=""/>
          </v:shape>
          <o:OLEObject Type="Embed" ProgID="Equation.3" ShapeID="_x0000_i1025" DrawAspect="Content" ObjectID="_1587576081" r:id="rId9"/>
        </w:object>
      </w:r>
      <w:r w:rsidR="00937F60">
        <w:rPr>
          <w:rFonts w:ascii="Times New Roman" w:hAnsi="Times New Roman" w:cs="Times New Roman"/>
          <w:sz w:val="20"/>
          <w:lang w:val="en-US"/>
        </w:rPr>
        <w:t>={24,48,96} PRB</w:t>
      </w:r>
      <w:r w:rsidR="00542121">
        <w:rPr>
          <w:rFonts w:ascii="Times New Roman" w:hAnsi="Times New Roman" w:cs="Times New Roman"/>
          <w:sz w:val="20"/>
          <w:lang w:val="en-US"/>
        </w:rPr>
        <w:t>)</w:t>
      </w:r>
      <w:r w:rsidR="00C634C4">
        <w:rPr>
          <w:rFonts w:ascii="Times New Roman" w:hAnsi="Times New Roman" w:cs="Times New Roman"/>
          <w:sz w:val="20"/>
          <w:lang w:val="en-US"/>
        </w:rPr>
        <w:t>. As</w:t>
      </w:r>
      <w:r w:rsidR="00F510BD">
        <w:rPr>
          <w:rFonts w:ascii="Times New Roman" w:hAnsi="Times New Roman" w:cs="Times New Roman"/>
          <w:sz w:val="20"/>
          <w:lang w:val="en-US"/>
        </w:rPr>
        <w:t xml:space="preserve"> t</w:t>
      </w:r>
      <w:r w:rsidR="00937F60">
        <w:rPr>
          <w:rFonts w:ascii="Times New Roman" w:hAnsi="Times New Roman" w:cs="Times New Roman"/>
          <w:sz w:val="20"/>
          <w:lang w:val="en-US"/>
        </w:rPr>
        <w:t>hese parameters are known</w:t>
      </w:r>
      <w:r w:rsidR="00F510BD">
        <w:rPr>
          <w:rFonts w:ascii="Times New Roman" w:hAnsi="Times New Roman" w:cs="Times New Roman"/>
          <w:sz w:val="20"/>
          <w:lang w:val="en-US"/>
        </w:rPr>
        <w:t xml:space="preserve">, they could be accounted </w:t>
      </w:r>
      <w:r w:rsidR="00C634C4">
        <w:rPr>
          <w:rFonts w:ascii="Times New Roman" w:hAnsi="Times New Roman" w:cs="Times New Roman"/>
          <w:sz w:val="20"/>
          <w:lang w:val="en-US"/>
        </w:rPr>
        <w:t xml:space="preserve">when determining the </w:t>
      </w:r>
      <w:r w:rsidR="00EF4533">
        <w:rPr>
          <w:rFonts w:ascii="Times New Roman" w:hAnsi="Times New Roman" w:cs="Times New Roman"/>
          <w:sz w:val="20"/>
          <w:lang w:val="en-US"/>
        </w:rPr>
        <w:t xml:space="preserve">possible </w:t>
      </w:r>
      <w:r w:rsidR="00C634C4">
        <w:rPr>
          <w:rFonts w:ascii="Times New Roman" w:hAnsi="Times New Roman" w:cs="Times New Roman"/>
          <w:sz w:val="20"/>
          <w:lang w:val="en-US"/>
        </w:rPr>
        <w:t xml:space="preserve">power difference </w:t>
      </w:r>
      <w:r w:rsidR="00EF4533">
        <w:rPr>
          <w:rFonts w:ascii="Times New Roman" w:hAnsi="Times New Roman" w:cs="Times New Roman"/>
          <w:sz w:val="20"/>
          <w:lang w:val="en-US"/>
        </w:rPr>
        <w:t xml:space="preserve">range </w:t>
      </w:r>
      <w:r w:rsidR="00C634C4">
        <w:rPr>
          <w:rFonts w:ascii="Times New Roman" w:hAnsi="Times New Roman" w:cs="Times New Roman"/>
          <w:sz w:val="20"/>
          <w:lang w:val="en-US"/>
        </w:rPr>
        <w:t>between SS/PBCH and the RMSI PDCCH</w:t>
      </w:r>
      <w:r w:rsidR="000D3E79">
        <w:rPr>
          <w:rFonts w:ascii="Times New Roman" w:hAnsi="Times New Roman" w:cs="Times New Roman"/>
          <w:sz w:val="20"/>
          <w:lang w:val="en-US"/>
        </w:rPr>
        <w:t>.</w:t>
      </w:r>
      <w:r w:rsidR="00EF4533">
        <w:rPr>
          <w:rFonts w:ascii="Times New Roman" w:hAnsi="Times New Roman" w:cs="Times New Roman"/>
          <w:sz w:val="20"/>
          <w:lang w:val="en-US"/>
        </w:rPr>
        <w:t xml:space="preserve"> </w:t>
      </w:r>
      <w:r w:rsidR="00093B7D">
        <w:rPr>
          <w:rFonts w:ascii="Times New Roman" w:hAnsi="Times New Roman" w:cs="Times New Roman"/>
          <w:sz w:val="20"/>
          <w:lang w:val="en-US"/>
        </w:rPr>
        <w:t>Assuming that fixed total power (e.g. at FR2) is used for the SS/PBCH block</w:t>
      </w:r>
      <w:r>
        <w:rPr>
          <w:rFonts w:ascii="Times New Roman" w:hAnsi="Times New Roman" w:cs="Times New Roman"/>
          <w:sz w:val="20"/>
          <w:lang w:val="en-US"/>
        </w:rPr>
        <w:t>, the power offset between the PDCCH DMRS</w:t>
      </w:r>
      <w:r w:rsidR="00093B7D">
        <w:rPr>
          <w:rFonts w:ascii="Times New Roman" w:hAnsi="Times New Roman" w:cs="Times New Roman"/>
          <w:sz w:val="20"/>
          <w:lang w:val="en-US"/>
        </w:rPr>
        <w:t xml:space="preserve"> and</w:t>
      </w:r>
      <w:r>
        <w:rPr>
          <w:rFonts w:ascii="Times New Roman" w:hAnsi="Times New Roman" w:cs="Times New Roman"/>
          <w:sz w:val="20"/>
          <w:lang w:val="en-US"/>
        </w:rPr>
        <w:t xml:space="preserve"> QCL’ed SSS</w:t>
      </w:r>
      <w:r w:rsidR="00093B7D">
        <w:rPr>
          <w:rFonts w:ascii="Times New Roman" w:hAnsi="Times New Roman" w:cs="Times New Roman"/>
          <w:sz w:val="20"/>
          <w:lang w:val="en-US"/>
        </w:rPr>
        <w:t xml:space="preserve"> would range </w:t>
      </w:r>
      <w:r w:rsidR="00C86F9C">
        <w:rPr>
          <w:rFonts w:ascii="Times New Roman" w:hAnsi="Times New Roman" w:cs="Times New Roman"/>
          <w:sz w:val="20"/>
          <w:lang w:val="en-US"/>
        </w:rPr>
        <w:t xml:space="preserve">approximately </w:t>
      </w:r>
      <w:r w:rsidR="00093B7D">
        <w:rPr>
          <w:rFonts w:ascii="Times New Roman" w:hAnsi="Times New Roman" w:cs="Times New Roman"/>
          <w:sz w:val="20"/>
          <w:lang w:val="en-US"/>
        </w:rPr>
        <w:t>from ~</w:t>
      </w:r>
      <w:r>
        <w:rPr>
          <w:rFonts w:ascii="Times New Roman" w:hAnsi="Times New Roman" w:cs="Times New Roman"/>
          <w:sz w:val="20"/>
          <w:lang w:val="en-US"/>
        </w:rPr>
        <w:t>+7.1dB to +</w:t>
      </w:r>
      <w:r w:rsidR="00093B7D">
        <w:rPr>
          <w:rFonts w:ascii="Times New Roman" w:hAnsi="Times New Roman" w:cs="Times New Roman"/>
          <w:sz w:val="20"/>
          <w:lang w:val="en-US"/>
        </w:rPr>
        <w:t xml:space="preserve">1.1dB </w:t>
      </w:r>
      <w:r w:rsidR="00D620DA">
        <w:rPr>
          <w:rFonts w:ascii="Times New Roman" w:hAnsi="Times New Roman" w:cs="Times New Roman"/>
          <w:sz w:val="20"/>
          <w:lang w:val="en-US"/>
        </w:rPr>
        <w:t xml:space="preserve">assuming </w:t>
      </w:r>
      <w:r w:rsidR="00093B7D">
        <w:rPr>
          <w:rFonts w:ascii="Times New Roman" w:hAnsi="Times New Roman" w:cs="Times New Roman"/>
          <w:sz w:val="20"/>
          <w:lang w:val="en-US"/>
        </w:rPr>
        <w:t>same subcarrier spacing</w:t>
      </w:r>
      <w:r w:rsidR="00C86F9C">
        <w:rPr>
          <w:rFonts w:ascii="Times New Roman" w:hAnsi="Times New Roman" w:cs="Times New Roman"/>
          <w:sz w:val="20"/>
          <w:lang w:val="en-US"/>
        </w:rPr>
        <w:t>. Of course</w:t>
      </w:r>
      <w:r w:rsidR="00D620DA">
        <w:rPr>
          <w:rFonts w:ascii="Times New Roman" w:hAnsi="Times New Roman" w:cs="Times New Roman"/>
          <w:sz w:val="20"/>
          <w:lang w:val="en-US"/>
        </w:rPr>
        <w:t>,</w:t>
      </w:r>
      <w:r w:rsidR="00C86F9C">
        <w:rPr>
          <w:rFonts w:ascii="Times New Roman" w:hAnsi="Times New Roman" w:cs="Times New Roman"/>
          <w:sz w:val="20"/>
          <w:lang w:val="en-US"/>
        </w:rPr>
        <w:t xml:space="preserve"> if the EPRE is </w:t>
      </w:r>
      <w:r w:rsidR="00107123">
        <w:rPr>
          <w:rFonts w:ascii="Times New Roman" w:hAnsi="Times New Roman" w:cs="Times New Roman"/>
          <w:sz w:val="20"/>
          <w:lang w:val="en-US"/>
        </w:rPr>
        <w:t xml:space="preserve">targeted to be </w:t>
      </w:r>
      <w:r w:rsidR="00C86F9C">
        <w:rPr>
          <w:rFonts w:ascii="Times New Roman" w:hAnsi="Times New Roman" w:cs="Times New Roman"/>
          <w:sz w:val="20"/>
          <w:lang w:val="en-US"/>
        </w:rPr>
        <w:t xml:space="preserve">kept </w:t>
      </w:r>
      <w:r w:rsidR="00107123">
        <w:rPr>
          <w:rFonts w:ascii="Times New Roman" w:hAnsi="Times New Roman" w:cs="Times New Roman"/>
          <w:sz w:val="20"/>
          <w:lang w:val="en-US"/>
        </w:rPr>
        <w:t xml:space="preserve">approximately on same level </w:t>
      </w:r>
      <w:r w:rsidR="00C86F9C">
        <w:rPr>
          <w:rFonts w:ascii="Times New Roman" w:hAnsi="Times New Roman" w:cs="Times New Roman"/>
          <w:sz w:val="20"/>
          <w:lang w:val="en-US"/>
        </w:rPr>
        <w:t>constant the baseline difference would be 0dB. Hence, as UE would not be able to know whether fixed total power or fixed EPRE is applie</w:t>
      </w:r>
      <w:r w:rsidR="00B11692">
        <w:rPr>
          <w:rFonts w:ascii="Times New Roman" w:hAnsi="Times New Roman" w:cs="Times New Roman"/>
          <w:sz w:val="20"/>
          <w:lang w:val="en-US"/>
        </w:rPr>
        <w:t>d.</w:t>
      </w:r>
      <w:r w:rsidR="00D620DA">
        <w:rPr>
          <w:rFonts w:ascii="Times New Roman" w:hAnsi="Times New Roman" w:cs="Times New Roman"/>
          <w:sz w:val="20"/>
          <w:lang w:val="en-US"/>
        </w:rPr>
        <w:t xml:space="preserve"> </w:t>
      </w:r>
    </w:p>
    <w:p w14:paraId="28FFC61E" w14:textId="1A21C917" w:rsidR="000D3E79" w:rsidRDefault="000D3E79" w:rsidP="00BA34B9">
      <w:pPr>
        <w:rPr>
          <w:rFonts w:ascii="Times New Roman" w:hAnsi="Times New Roman" w:cs="Times New Roman"/>
          <w:sz w:val="20"/>
          <w:lang w:val="en-US"/>
        </w:rPr>
      </w:pPr>
      <w:r>
        <w:rPr>
          <w:rFonts w:ascii="Times New Roman" w:hAnsi="Times New Roman" w:cs="Times New Roman"/>
          <w:sz w:val="20"/>
          <w:lang w:val="en-US"/>
        </w:rPr>
        <w:t>Additional aspect affecting the EPRE difference</w:t>
      </w:r>
      <w:r w:rsidR="00EF4533">
        <w:rPr>
          <w:rFonts w:ascii="Times New Roman" w:hAnsi="Times New Roman" w:cs="Times New Roman"/>
          <w:sz w:val="20"/>
          <w:lang w:val="en-US"/>
        </w:rPr>
        <w:t xml:space="preserve"> range</w:t>
      </w:r>
      <w:r>
        <w:rPr>
          <w:rFonts w:ascii="Times New Roman" w:hAnsi="Times New Roman" w:cs="Times New Roman"/>
          <w:sz w:val="20"/>
          <w:lang w:val="en-US"/>
        </w:rPr>
        <w:t>, is the used aggregation level (AL). It has been agreed that AL 4, 8 and 16 are supported for the Type0-PDCCH. Thus assuming sufficient number of RBs and symbols being allocated for the CORESET, it would be possible to multiplex several use</w:t>
      </w:r>
      <w:r w:rsidR="00F510BD">
        <w:rPr>
          <w:rFonts w:ascii="Times New Roman" w:hAnsi="Times New Roman" w:cs="Times New Roman"/>
          <w:sz w:val="20"/>
          <w:lang w:val="en-US"/>
        </w:rPr>
        <w:t xml:space="preserve">rs to same space </w:t>
      </w:r>
      <w:r w:rsidR="00C634C4">
        <w:rPr>
          <w:rFonts w:ascii="Times New Roman" w:hAnsi="Times New Roman" w:cs="Times New Roman"/>
          <w:sz w:val="20"/>
          <w:lang w:val="en-US"/>
        </w:rPr>
        <w:t xml:space="preserve">e.g. </w:t>
      </w:r>
      <w:r w:rsidR="00F510BD">
        <w:rPr>
          <w:rFonts w:ascii="Times New Roman" w:hAnsi="Times New Roman" w:cs="Times New Roman"/>
          <w:sz w:val="20"/>
          <w:lang w:val="en-US"/>
        </w:rPr>
        <w:t>with CSS AL=4. The applied AL will depend on the needed capacity and coverage. The loss of coverage due to lower AL</w:t>
      </w:r>
      <w:r w:rsidR="00C634C4">
        <w:rPr>
          <w:rFonts w:ascii="Times New Roman" w:hAnsi="Times New Roman" w:cs="Times New Roman"/>
          <w:sz w:val="20"/>
          <w:lang w:val="en-US"/>
        </w:rPr>
        <w:t xml:space="preserve"> (than the maximum) could</w:t>
      </w:r>
      <w:r w:rsidR="00F510BD">
        <w:rPr>
          <w:rFonts w:ascii="Times New Roman" w:hAnsi="Times New Roman" w:cs="Times New Roman"/>
          <w:sz w:val="20"/>
          <w:lang w:val="en-US"/>
        </w:rPr>
        <w:t xml:space="preserve"> be compensated, to an extent, by applying power boosting to the RE’s used for the Type0-PDCCH</w:t>
      </w:r>
      <w:r w:rsidR="00C634C4">
        <w:rPr>
          <w:rFonts w:ascii="Times New Roman" w:hAnsi="Times New Roman" w:cs="Times New Roman"/>
          <w:sz w:val="20"/>
          <w:lang w:val="en-US"/>
        </w:rPr>
        <w:t>, and correspondingly reducing the power allocated e.g. to other users in the CORESET</w:t>
      </w:r>
      <w:r w:rsidR="00F510BD">
        <w:rPr>
          <w:rFonts w:ascii="Times New Roman" w:hAnsi="Times New Roman" w:cs="Times New Roman"/>
          <w:sz w:val="20"/>
          <w:lang w:val="en-US"/>
        </w:rPr>
        <w:t>.</w:t>
      </w:r>
      <w:r w:rsidR="00C634C4">
        <w:rPr>
          <w:rFonts w:ascii="Times New Roman" w:hAnsi="Times New Roman" w:cs="Times New Roman"/>
          <w:sz w:val="20"/>
          <w:lang w:val="en-US"/>
        </w:rPr>
        <w:t xml:space="preserve"> </w:t>
      </w:r>
      <w:r w:rsidR="006153E0">
        <w:rPr>
          <w:rFonts w:ascii="Times New Roman" w:hAnsi="Times New Roman" w:cs="Times New Roman"/>
          <w:sz w:val="20"/>
          <w:lang w:val="en-US"/>
        </w:rPr>
        <w:t xml:space="preserve">This is of course case dependent but it would not seem impossible to consider power split </w:t>
      </w:r>
      <w:r w:rsidR="00640C67">
        <w:rPr>
          <w:rFonts w:ascii="Times New Roman" w:hAnsi="Times New Roman" w:cs="Times New Roman"/>
          <w:sz w:val="20"/>
          <w:lang w:val="en-US"/>
        </w:rPr>
        <w:t xml:space="preserve">e.g. </w:t>
      </w:r>
      <w:r w:rsidR="006153E0">
        <w:rPr>
          <w:rFonts w:ascii="Times New Roman" w:hAnsi="Times New Roman" w:cs="Times New Roman"/>
          <w:sz w:val="20"/>
          <w:lang w:val="en-US"/>
        </w:rPr>
        <w:t xml:space="preserve">up to 3dB. </w:t>
      </w:r>
      <w:r w:rsidR="009A0809">
        <w:rPr>
          <w:rFonts w:ascii="Times New Roman" w:hAnsi="Times New Roman" w:cs="Times New Roman"/>
          <w:sz w:val="20"/>
          <w:lang w:val="en-US"/>
        </w:rPr>
        <w:t xml:space="preserve">So </w:t>
      </w:r>
      <w:r w:rsidR="00C634C4">
        <w:rPr>
          <w:rFonts w:ascii="Times New Roman" w:hAnsi="Times New Roman" w:cs="Times New Roman"/>
          <w:sz w:val="20"/>
          <w:lang w:val="en-US"/>
        </w:rPr>
        <w:t xml:space="preserve">it would appear that the possible power difference between </w:t>
      </w:r>
      <w:r w:rsidR="00EF3AB1">
        <w:rPr>
          <w:rFonts w:ascii="Times New Roman" w:hAnsi="Times New Roman" w:cs="Times New Roman"/>
          <w:sz w:val="20"/>
          <w:lang w:val="en-US"/>
        </w:rPr>
        <w:t xml:space="preserve">RMSI PDCCH DMRS and </w:t>
      </w:r>
      <w:r w:rsidR="00C634C4">
        <w:rPr>
          <w:rFonts w:ascii="Times New Roman" w:hAnsi="Times New Roman" w:cs="Times New Roman"/>
          <w:sz w:val="20"/>
          <w:lang w:val="en-US"/>
        </w:rPr>
        <w:t>SS</w:t>
      </w:r>
      <w:r w:rsidR="00EF3AB1">
        <w:rPr>
          <w:rFonts w:ascii="Times New Roman" w:hAnsi="Times New Roman" w:cs="Times New Roman"/>
          <w:sz w:val="20"/>
          <w:lang w:val="en-US"/>
        </w:rPr>
        <w:t xml:space="preserve">S </w:t>
      </w:r>
      <w:r w:rsidR="00C634C4">
        <w:rPr>
          <w:rFonts w:ascii="Times New Roman" w:hAnsi="Times New Roman" w:cs="Times New Roman"/>
          <w:sz w:val="20"/>
          <w:lang w:val="en-US"/>
        </w:rPr>
        <w:t>would depend on the applied AL and user multiplexing</w:t>
      </w:r>
      <w:r w:rsidR="009A0809">
        <w:rPr>
          <w:rFonts w:ascii="Times New Roman" w:hAnsi="Times New Roman" w:cs="Times New Roman"/>
          <w:sz w:val="20"/>
          <w:lang w:val="en-US"/>
        </w:rPr>
        <w:t xml:space="preserve">, and </w:t>
      </w:r>
      <w:r w:rsidR="00FB337A">
        <w:rPr>
          <w:rFonts w:ascii="Times New Roman" w:hAnsi="Times New Roman" w:cs="Times New Roman"/>
          <w:sz w:val="20"/>
          <w:lang w:val="en-US"/>
        </w:rPr>
        <w:t xml:space="preserve">it would appear that some </w:t>
      </w:r>
      <w:r w:rsidR="00EF3AB1">
        <w:rPr>
          <w:rFonts w:ascii="Times New Roman" w:hAnsi="Times New Roman" w:cs="Times New Roman"/>
          <w:sz w:val="20"/>
          <w:lang w:val="en-US"/>
        </w:rPr>
        <w:t xml:space="preserve">additional </w:t>
      </w:r>
      <w:r w:rsidR="00FB337A">
        <w:rPr>
          <w:rFonts w:ascii="Times New Roman" w:hAnsi="Times New Roman" w:cs="Times New Roman"/>
          <w:sz w:val="20"/>
          <w:lang w:val="en-US"/>
        </w:rPr>
        <w:t xml:space="preserve">range for power difference would need to be allowed. </w:t>
      </w:r>
    </w:p>
    <w:p w14:paraId="3D0907A5" w14:textId="537C5B8D" w:rsidR="000D3E79" w:rsidRDefault="00FB337A" w:rsidP="00BA34B9">
      <w:pPr>
        <w:rPr>
          <w:rFonts w:ascii="Times New Roman" w:hAnsi="Times New Roman" w:cs="Times New Roman"/>
          <w:sz w:val="20"/>
          <w:lang w:val="en-US"/>
        </w:rPr>
      </w:pPr>
      <w:r>
        <w:rPr>
          <w:rFonts w:ascii="Times New Roman" w:eastAsia="SimSun" w:hAnsi="Times New Roman" w:cs="Times New Roman"/>
          <w:b/>
          <w:sz w:val="20"/>
          <w:szCs w:val="20"/>
          <w:lang w:val="en-US" w:eastAsia="zh-CN"/>
        </w:rPr>
        <w:t xml:space="preserve">Observation: </w:t>
      </w:r>
      <w:r>
        <w:rPr>
          <w:rFonts w:ascii="Times New Roman" w:eastAsia="SimSun" w:hAnsi="Times New Roman" w:cs="Times New Roman"/>
          <w:sz w:val="20"/>
          <w:szCs w:val="20"/>
          <w:lang w:val="en-US" w:eastAsia="zh-CN"/>
        </w:rPr>
        <w:t xml:space="preserve">The expected power difference between </w:t>
      </w:r>
      <w:r>
        <w:rPr>
          <w:rFonts w:ascii="Times New Roman" w:hAnsi="Times New Roman" w:cs="Times New Roman"/>
          <w:sz w:val="20"/>
          <w:lang w:val="en-US"/>
        </w:rPr>
        <w:t xml:space="preserve">SS/PBCH block and RMSI PDCCH </w:t>
      </w:r>
      <w:r w:rsidR="009A0809">
        <w:rPr>
          <w:rFonts w:ascii="Times New Roman" w:hAnsi="Times New Roman" w:cs="Times New Roman"/>
          <w:sz w:val="20"/>
          <w:lang w:val="en-US"/>
        </w:rPr>
        <w:t xml:space="preserve">would need to account </w:t>
      </w:r>
      <w:r>
        <w:rPr>
          <w:rFonts w:ascii="Times New Roman" w:hAnsi="Times New Roman" w:cs="Times New Roman"/>
          <w:sz w:val="20"/>
          <w:lang w:val="en-US"/>
        </w:rPr>
        <w:t xml:space="preserve">the RMSI CORESET configuration, with </w:t>
      </w:r>
      <w:r w:rsidR="009A0809">
        <w:rPr>
          <w:rFonts w:ascii="Times New Roman" w:hAnsi="Times New Roman" w:cs="Times New Roman"/>
          <w:sz w:val="20"/>
          <w:lang w:val="en-US"/>
        </w:rPr>
        <w:t xml:space="preserve">an </w:t>
      </w:r>
      <w:r w:rsidR="00640C67">
        <w:rPr>
          <w:rFonts w:ascii="Times New Roman" w:hAnsi="Times New Roman" w:cs="Times New Roman"/>
          <w:sz w:val="20"/>
          <w:lang w:val="en-US"/>
        </w:rPr>
        <w:t xml:space="preserve">additional </w:t>
      </w:r>
      <w:r>
        <w:rPr>
          <w:rFonts w:ascii="Times New Roman" w:hAnsi="Times New Roman" w:cs="Times New Roman"/>
          <w:sz w:val="20"/>
          <w:lang w:val="en-US"/>
        </w:rPr>
        <w:t xml:space="preserve">range </w:t>
      </w:r>
      <w:r w:rsidR="009A0809">
        <w:rPr>
          <w:rFonts w:ascii="Times New Roman" w:hAnsi="Times New Roman" w:cs="Times New Roman"/>
          <w:sz w:val="20"/>
          <w:lang w:val="en-US"/>
        </w:rPr>
        <w:t>to enable user multiplexing</w:t>
      </w:r>
      <w:r>
        <w:rPr>
          <w:rFonts w:ascii="Times New Roman" w:hAnsi="Times New Roman" w:cs="Times New Roman"/>
          <w:sz w:val="20"/>
          <w:lang w:val="en-US"/>
        </w:rPr>
        <w:t xml:space="preserve">. </w:t>
      </w:r>
    </w:p>
    <w:p w14:paraId="7BC2350A" w14:textId="795D5D79" w:rsidR="00FF201C" w:rsidRDefault="00FF201C" w:rsidP="00BA34B9">
      <w:pPr>
        <w:rPr>
          <w:rFonts w:ascii="Times New Roman" w:hAnsi="Times New Roman" w:cs="Times New Roman"/>
          <w:sz w:val="20"/>
          <w:lang w:val="en-US"/>
        </w:rPr>
      </w:pPr>
      <w:r>
        <w:rPr>
          <w:rFonts w:ascii="Times New Roman" w:hAnsi="Times New Roman" w:cs="Times New Roman"/>
          <w:sz w:val="20"/>
          <w:lang w:val="en-US"/>
        </w:rPr>
        <w:t xml:space="preserve">Accounting the different configuration and deployment options supported by specification, as discussed above, it seems evident that sufficiently large power difference range needs to be supported. Noting also the agreement in </w:t>
      </w:r>
      <w:r w:rsidR="00E3564E">
        <w:rPr>
          <w:rFonts w:ascii="Times New Roman" w:hAnsi="Times New Roman" w:cs="Times New Roman"/>
          <w:sz w:val="20"/>
          <w:lang w:val="en-US"/>
        </w:rPr>
        <w:t xml:space="preserve">RAN1#92bis, that only QPSK modulation is supported for broadcast PDSCH (and PDCCH </w:t>
      </w:r>
      <w:r w:rsidR="00A63A16">
        <w:rPr>
          <w:rFonts w:ascii="Times New Roman" w:hAnsi="Times New Roman" w:cs="Times New Roman"/>
          <w:sz w:val="20"/>
          <w:lang w:val="en-US"/>
        </w:rPr>
        <w:t>uses QPSK), it would</w:t>
      </w:r>
      <w:r w:rsidR="00E3564E">
        <w:rPr>
          <w:rFonts w:ascii="Times New Roman" w:hAnsi="Times New Roman" w:cs="Times New Roman"/>
          <w:sz w:val="20"/>
          <w:lang w:val="en-US"/>
        </w:rPr>
        <w:t xml:space="preserve"> seem </w:t>
      </w:r>
      <w:r w:rsidR="00EE13F3">
        <w:rPr>
          <w:rFonts w:ascii="Times New Roman" w:hAnsi="Times New Roman" w:cs="Times New Roman"/>
          <w:sz w:val="20"/>
          <w:lang w:val="en-US"/>
        </w:rPr>
        <w:t xml:space="preserve">that possible clipping in received signal could be tolerated. Furthermore, assuming that the received signal power (at UE receiver) would include not only the power contribution from serving cell, but also from neighbor cells, it would seem that UE AGC would need to </w:t>
      </w:r>
      <w:r w:rsidR="006C770B">
        <w:rPr>
          <w:rFonts w:ascii="Times New Roman" w:hAnsi="Times New Roman" w:cs="Times New Roman"/>
          <w:sz w:val="20"/>
          <w:lang w:val="en-US"/>
        </w:rPr>
        <w:t>be designed</w:t>
      </w:r>
      <w:r w:rsidR="00EE13F3">
        <w:rPr>
          <w:rFonts w:ascii="Times New Roman" w:hAnsi="Times New Roman" w:cs="Times New Roman"/>
          <w:sz w:val="20"/>
          <w:lang w:val="en-US"/>
        </w:rPr>
        <w:t xml:space="preserve"> </w:t>
      </w:r>
      <w:r w:rsidR="006C770B">
        <w:rPr>
          <w:rFonts w:ascii="Times New Roman" w:hAnsi="Times New Roman" w:cs="Times New Roman"/>
          <w:sz w:val="20"/>
          <w:lang w:val="en-US"/>
        </w:rPr>
        <w:t>to cope with varying scenarios. Hence, it would not seem necessary apply overly stringent requirements for the possible power difference between broadcast PDCCH and QCL’ed SSS.</w:t>
      </w:r>
    </w:p>
    <w:p w14:paraId="4828B265" w14:textId="42C2AB68" w:rsidR="00A77773" w:rsidRDefault="00C61854" w:rsidP="00670306">
      <w:pPr>
        <w:rPr>
          <w:rFonts w:ascii="Times New Roman" w:hAnsi="Times New Roman" w:cs="Times New Roman"/>
          <w:sz w:val="20"/>
          <w:lang w:val="en-US"/>
        </w:rPr>
      </w:pPr>
      <w:r w:rsidRPr="00C3239F">
        <w:rPr>
          <w:rFonts w:ascii="Times New Roman" w:hAnsi="Times New Roman" w:cs="Times New Roman"/>
          <w:b/>
          <w:sz w:val="20"/>
          <w:lang w:val="en-US"/>
        </w:rPr>
        <w:t>Proposal:</w:t>
      </w:r>
      <w:r w:rsidR="009A0809">
        <w:rPr>
          <w:rFonts w:ascii="Times New Roman" w:hAnsi="Times New Roman" w:cs="Times New Roman"/>
          <w:sz w:val="20"/>
          <w:lang w:val="en-US"/>
        </w:rPr>
        <w:t xml:space="preserve"> The </w:t>
      </w:r>
      <w:r w:rsidR="009A0809" w:rsidRPr="009A0809">
        <w:rPr>
          <w:rFonts w:ascii="Times New Roman" w:hAnsi="Times New Roman" w:cs="Times New Roman"/>
          <w:sz w:val="20"/>
          <w:lang w:val="en-US"/>
        </w:rPr>
        <w:t>EPRE offset between PDCCH DMRS and SSS in the QCL’ed</w:t>
      </w:r>
      <w:r w:rsidR="009A0809">
        <w:rPr>
          <w:rFonts w:ascii="Times New Roman" w:hAnsi="Times New Roman" w:cs="Times New Roman"/>
          <w:sz w:val="20"/>
          <w:lang w:val="en-US"/>
        </w:rPr>
        <w:t xml:space="preserve"> SSB is in the range ]-6, 12[</w:t>
      </w:r>
      <w:r w:rsidR="009A0809" w:rsidRPr="009A0809">
        <w:rPr>
          <w:rFonts w:ascii="Times New Roman" w:hAnsi="Times New Roman" w:cs="Times New Roman"/>
          <w:sz w:val="20"/>
          <w:lang w:val="en-US"/>
        </w:rPr>
        <w:t>dB when PDDCH with CRC scrambled by SI-RNTI, P-RNTI and RA-RNTI</w:t>
      </w:r>
      <w:r w:rsidR="009A0809">
        <w:rPr>
          <w:rFonts w:ascii="Times New Roman" w:hAnsi="Times New Roman" w:cs="Times New Roman"/>
          <w:sz w:val="20"/>
          <w:lang w:val="en-US"/>
        </w:rPr>
        <w:t>. For other PDCCH’es (i.e. that are not QCL’ed or scrambled by different RNTI), there is no range specified.</w:t>
      </w:r>
    </w:p>
    <w:p w14:paraId="45F67C90" w14:textId="65D8C18B" w:rsidR="00D1500E" w:rsidRDefault="00D1500E" w:rsidP="00D1500E">
      <w:pPr>
        <w:pStyle w:val="Heading1"/>
      </w:pPr>
      <w:r>
        <w:t>3</w:t>
      </w:r>
      <w:r>
        <w:tab/>
        <w:t>On placement of SSB to synchronisation raster</w:t>
      </w:r>
    </w:p>
    <w:p w14:paraId="46310436" w14:textId="1BEEB0D2" w:rsidR="00670306" w:rsidRDefault="00D1500E" w:rsidP="00BA34B9">
      <w:pPr>
        <w:rPr>
          <w:rFonts w:ascii="Times New Roman" w:hAnsi="Times New Roman" w:cs="Times New Roman"/>
          <w:sz w:val="20"/>
          <w:lang w:val="en-US"/>
        </w:rPr>
      </w:pPr>
      <w:r>
        <w:rPr>
          <w:rFonts w:ascii="Times New Roman" w:hAnsi="Times New Roman" w:cs="Times New Roman"/>
          <w:sz w:val="20"/>
          <w:lang w:val="en-US"/>
        </w:rPr>
        <w:t>In RAN1#</w:t>
      </w:r>
      <w:r w:rsidR="00AB6356">
        <w:rPr>
          <w:rFonts w:ascii="Times New Roman" w:hAnsi="Times New Roman" w:cs="Times New Roman"/>
          <w:sz w:val="20"/>
          <w:lang w:val="en-US"/>
        </w:rPr>
        <w:t xml:space="preserve">92 </w:t>
      </w:r>
      <w:r>
        <w:rPr>
          <w:rFonts w:ascii="Times New Roman" w:hAnsi="Times New Roman" w:cs="Times New Roman"/>
          <w:sz w:val="20"/>
          <w:lang w:val="en-US"/>
        </w:rPr>
        <w:t>(Athens)</w:t>
      </w:r>
      <w:r w:rsidR="00AB6356">
        <w:rPr>
          <w:rFonts w:ascii="Times New Roman" w:hAnsi="Times New Roman" w:cs="Times New Roman"/>
          <w:sz w:val="20"/>
          <w:lang w:val="en-US"/>
        </w:rPr>
        <w:t xml:space="preserve"> </w:t>
      </w:r>
      <w:r w:rsidR="0090063D">
        <w:rPr>
          <w:rFonts w:ascii="Times New Roman" w:hAnsi="Times New Roman" w:cs="Times New Roman"/>
          <w:sz w:val="20"/>
          <w:lang w:val="en-US"/>
        </w:rPr>
        <w:t>following agreement was made:</w:t>
      </w:r>
    </w:p>
    <w:tbl>
      <w:tblPr>
        <w:tblStyle w:val="TableGrid"/>
        <w:tblW w:w="0" w:type="auto"/>
        <w:tblLook w:val="04A0" w:firstRow="1" w:lastRow="0" w:firstColumn="1" w:lastColumn="0" w:noHBand="0" w:noVBand="1"/>
      </w:tblPr>
      <w:tblGrid>
        <w:gridCol w:w="9629"/>
      </w:tblGrid>
      <w:tr w:rsidR="00AB6356" w:rsidRPr="00884182" w14:paraId="4FA24A2F" w14:textId="77777777" w:rsidTr="00247C5F">
        <w:tc>
          <w:tcPr>
            <w:tcW w:w="9629" w:type="dxa"/>
          </w:tcPr>
          <w:p w14:paraId="3AFF5084" w14:textId="77777777" w:rsidR="00ED4D87" w:rsidRPr="00ED4D87" w:rsidRDefault="00ED4D87" w:rsidP="00ED4D87">
            <w:pPr>
              <w:spacing w:after="0" w:line="240" w:lineRule="auto"/>
              <w:ind w:left="720" w:hanging="720"/>
              <w:rPr>
                <w:rFonts w:ascii="Times" w:eastAsia="Batang" w:hAnsi="Times" w:cs="Times New Roman"/>
                <w:sz w:val="20"/>
                <w:szCs w:val="20"/>
                <w:lang w:eastAsia="x-none"/>
              </w:rPr>
            </w:pPr>
            <w:bookmarkStart w:id="6" w:name="_Hlk513728444"/>
            <w:r w:rsidRPr="00ED4D87">
              <w:rPr>
                <w:rFonts w:ascii="Times" w:eastAsia="Batang" w:hAnsi="Times" w:cs="Times New Roman"/>
                <w:sz w:val="20"/>
                <w:szCs w:val="20"/>
                <w:highlight w:val="green"/>
                <w:lang w:eastAsia="x-none"/>
              </w:rPr>
              <w:t>Agreements</w:t>
            </w:r>
            <w:r w:rsidRPr="00ED4D87">
              <w:rPr>
                <w:rFonts w:ascii="Times" w:eastAsia="Batang" w:hAnsi="Times" w:cs="Times New Roman"/>
                <w:sz w:val="20"/>
                <w:szCs w:val="20"/>
                <w:lang w:eastAsia="x-none"/>
              </w:rPr>
              <w:t>:</w:t>
            </w:r>
          </w:p>
          <w:p w14:paraId="6FC0A906" w14:textId="77777777" w:rsidR="00ED4D87" w:rsidRPr="00ED4D87" w:rsidRDefault="00ED4D87" w:rsidP="00ED4D87">
            <w:pPr>
              <w:numPr>
                <w:ilvl w:val="0"/>
                <w:numId w:val="49"/>
              </w:numPr>
              <w:spacing w:after="0" w:line="240" w:lineRule="auto"/>
              <w:rPr>
                <w:rFonts w:ascii="Times New Roman" w:eastAsia="Times New Roman" w:hAnsi="Times New Roman" w:cs="Times New Roman"/>
                <w:sz w:val="20"/>
                <w:szCs w:val="20"/>
                <w:lang w:eastAsia="ko-KR"/>
              </w:rPr>
            </w:pPr>
            <w:r w:rsidRPr="00ED4D87">
              <w:rPr>
                <w:rFonts w:ascii="Times New Roman" w:eastAsia="Times New Roman" w:hAnsi="Times New Roman" w:cs="Times New Roman"/>
                <w:sz w:val="20"/>
                <w:szCs w:val="20"/>
                <w:lang w:eastAsia="ko-KR"/>
              </w:rPr>
              <w:t>For reception of cell defining SSB from the target PCell, frequency offset is not required. NR only supports cell defining SSBs of PCell that are always on the synchronization signal raster.</w:t>
            </w:r>
          </w:p>
          <w:p w14:paraId="4D21398C" w14:textId="77777777" w:rsidR="00ED4D87" w:rsidRPr="00ED4D87" w:rsidRDefault="00ED4D87" w:rsidP="00ED4D87">
            <w:pPr>
              <w:numPr>
                <w:ilvl w:val="0"/>
                <w:numId w:val="49"/>
              </w:numPr>
              <w:spacing w:after="0" w:line="240" w:lineRule="auto"/>
              <w:rPr>
                <w:rFonts w:ascii="Times New Roman" w:eastAsia="Times New Roman" w:hAnsi="Times New Roman" w:cs="Times New Roman"/>
                <w:sz w:val="20"/>
                <w:szCs w:val="20"/>
                <w:lang w:eastAsia="ko-KR"/>
              </w:rPr>
            </w:pPr>
            <w:r w:rsidRPr="00ED4D87">
              <w:rPr>
                <w:rFonts w:ascii="Times New Roman" w:eastAsia="Times New Roman" w:hAnsi="Times New Roman" w:cs="Times New Roman"/>
                <w:sz w:val="20"/>
                <w:szCs w:val="20"/>
                <w:lang w:eastAsia="ko-KR"/>
              </w:rPr>
              <w:t>For reception of SSB for the target SCell, frequency offset signaling will be required for SSB not on the synchronization signal raster.</w:t>
            </w:r>
          </w:p>
          <w:p w14:paraId="74613104" w14:textId="3EFC5BC5" w:rsidR="00AB6356" w:rsidRPr="00C3239F" w:rsidRDefault="00ED4D87" w:rsidP="00C3239F">
            <w:pPr>
              <w:numPr>
                <w:ilvl w:val="0"/>
                <w:numId w:val="49"/>
              </w:numPr>
              <w:spacing w:after="0" w:line="240" w:lineRule="auto"/>
              <w:rPr>
                <w:rFonts w:ascii="Times New Roman" w:eastAsia="Times New Roman" w:hAnsi="Times New Roman" w:cs="Times New Roman"/>
                <w:sz w:val="20"/>
                <w:szCs w:val="20"/>
                <w:lang w:eastAsia="ko-KR"/>
              </w:rPr>
            </w:pPr>
            <w:r w:rsidRPr="00ED4D87">
              <w:rPr>
                <w:rFonts w:ascii="Times New Roman" w:eastAsia="Times New Roman" w:hAnsi="Times New Roman" w:cs="Times New Roman"/>
                <w:sz w:val="20"/>
                <w:szCs w:val="20"/>
                <w:lang w:eastAsia="ko-KR"/>
              </w:rPr>
              <w:t>FFS the case of PScel</w:t>
            </w:r>
            <w:r w:rsidR="00DF051C">
              <w:rPr>
                <w:rFonts w:ascii="Times New Roman" w:eastAsia="Times New Roman" w:hAnsi="Times New Roman" w:cs="Times New Roman"/>
                <w:sz w:val="20"/>
                <w:szCs w:val="20"/>
                <w:lang w:eastAsia="ko-KR"/>
              </w:rPr>
              <w:t>l</w:t>
            </w:r>
          </w:p>
        </w:tc>
      </w:tr>
    </w:tbl>
    <w:bookmarkEnd w:id="6"/>
    <w:p w14:paraId="4CA5D33F" w14:textId="343B2ED5" w:rsidR="00AB6356" w:rsidRDefault="00DF051C" w:rsidP="00BA34B9">
      <w:pPr>
        <w:rPr>
          <w:rFonts w:ascii="Times New Roman" w:hAnsi="Times New Roman" w:cs="Times New Roman"/>
          <w:sz w:val="20"/>
          <w:lang w:val="en-US"/>
        </w:rPr>
      </w:pPr>
      <w:r>
        <w:rPr>
          <w:rFonts w:ascii="Times New Roman" w:hAnsi="Times New Roman" w:cs="Times New Roman"/>
          <w:sz w:val="20"/>
          <w:lang w:val="en-US"/>
        </w:rPr>
        <w:t>Consequently,</w:t>
      </w:r>
      <w:r w:rsidR="0090063D">
        <w:rPr>
          <w:rFonts w:ascii="Times New Roman" w:hAnsi="Times New Roman" w:cs="Times New Roman"/>
          <w:sz w:val="20"/>
          <w:lang w:val="en-US"/>
        </w:rPr>
        <w:t xml:space="preserve"> in RAN1#92bis, the FFS for PSCell was closed:</w:t>
      </w:r>
    </w:p>
    <w:tbl>
      <w:tblPr>
        <w:tblStyle w:val="TableGrid"/>
        <w:tblW w:w="0" w:type="auto"/>
        <w:tblLook w:val="04A0" w:firstRow="1" w:lastRow="0" w:firstColumn="1" w:lastColumn="0" w:noHBand="0" w:noVBand="1"/>
      </w:tblPr>
      <w:tblGrid>
        <w:gridCol w:w="9629"/>
      </w:tblGrid>
      <w:tr w:rsidR="0090063D" w:rsidRPr="00884182" w14:paraId="00CC864F" w14:textId="77777777" w:rsidTr="00247C5F">
        <w:tc>
          <w:tcPr>
            <w:tcW w:w="9629" w:type="dxa"/>
          </w:tcPr>
          <w:p w14:paraId="59B28838" w14:textId="77777777" w:rsidR="00DF051C" w:rsidRPr="00DF051C" w:rsidRDefault="00DF051C" w:rsidP="00DF051C">
            <w:pPr>
              <w:spacing w:after="0" w:line="240" w:lineRule="auto"/>
              <w:ind w:left="720" w:hanging="720"/>
              <w:rPr>
                <w:rFonts w:ascii="Times" w:eastAsia="Batang" w:hAnsi="Times" w:cs="Times New Roman"/>
                <w:sz w:val="20"/>
                <w:szCs w:val="20"/>
                <w:lang w:eastAsia="x-none"/>
              </w:rPr>
            </w:pPr>
            <w:r w:rsidRPr="00DF051C">
              <w:rPr>
                <w:rFonts w:ascii="Times" w:eastAsia="Batang" w:hAnsi="Times" w:cs="Times New Roman"/>
                <w:sz w:val="20"/>
                <w:szCs w:val="20"/>
                <w:highlight w:val="green"/>
                <w:lang w:eastAsia="x-none"/>
              </w:rPr>
              <w:t>Agreements</w:t>
            </w:r>
            <w:r w:rsidRPr="00DF051C">
              <w:rPr>
                <w:rFonts w:ascii="Times" w:eastAsia="Batang" w:hAnsi="Times" w:cs="Times New Roman"/>
                <w:sz w:val="20"/>
                <w:szCs w:val="20"/>
                <w:lang w:eastAsia="x-none"/>
              </w:rPr>
              <w:t>:</w:t>
            </w:r>
          </w:p>
          <w:p w14:paraId="3120BD69" w14:textId="77777777" w:rsidR="00DF051C" w:rsidRPr="00DF051C" w:rsidRDefault="00DF051C" w:rsidP="00DF051C">
            <w:pPr>
              <w:numPr>
                <w:ilvl w:val="0"/>
                <w:numId w:val="50"/>
              </w:numPr>
              <w:spacing w:after="0" w:line="240" w:lineRule="auto"/>
              <w:rPr>
                <w:rFonts w:ascii="Times New Roman" w:eastAsia="Times New Roman" w:hAnsi="Times New Roman" w:cs="Times New Roman"/>
                <w:sz w:val="20"/>
                <w:szCs w:val="20"/>
                <w:lang w:eastAsia="ko-KR"/>
              </w:rPr>
            </w:pPr>
            <w:r w:rsidRPr="00DF051C">
              <w:rPr>
                <w:rFonts w:ascii="Times New Roman" w:eastAsia="Times New Roman" w:hAnsi="Times New Roman" w:cs="Times New Roman"/>
                <w:sz w:val="20"/>
                <w:szCs w:val="20"/>
                <w:lang w:eastAsia="ko-KR"/>
              </w:rPr>
              <w:t>For reception of SSB for the target PSCell, frequency indication will be required for SSB not on the synchronization signal raster.</w:t>
            </w:r>
          </w:p>
          <w:p w14:paraId="70D39A1F" w14:textId="0BDA6204" w:rsidR="0090063D" w:rsidRPr="00C3239F" w:rsidRDefault="00DF051C" w:rsidP="00C3239F">
            <w:pPr>
              <w:numPr>
                <w:ilvl w:val="0"/>
                <w:numId w:val="50"/>
              </w:numPr>
              <w:spacing w:after="0" w:line="240" w:lineRule="auto"/>
              <w:rPr>
                <w:rFonts w:ascii="Times New Roman" w:eastAsia="Times New Roman" w:hAnsi="Times New Roman" w:cs="Times New Roman"/>
                <w:sz w:val="20"/>
                <w:szCs w:val="20"/>
                <w:lang w:eastAsia="ko-KR"/>
              </w:rPr>
            </w:pPr>
            <w:r w:rsidRPr="00DF051C">
              <w:rPr>
                <w:rFonts w:ascii="Times New Roman" w:eastAsia="Times New Roman" w:hAnsi="Times New Roman" w:cs="Times New Roman"/>
                <w:sz w:val="20"/>
                <w:szCs w:val="20"/>
                <w:lang w:eastAsia="ko-KR"/>
              </w:rPr>
              <w:t>Send LS to RAN2 (</w:t>
            </w:r>
            <w:hyperlink r:id="rId10" w:history="1">
              <w:r w:rsidRPr="00DF051C">
                <w:rPr>
                  <w:rFonts w:ascii="Times New Roman" w:eastAsia="Times New Roman" w:hAnsi="Times New Roman" w:cs="Times New Roman"/>
                  <w:b/>
                  <w:color w:val="0000FF"/>
                  <w:sz w:val="20"/>
                  <w:szCs w:val="20"/>
                  <w:u w:val="single"/>
                  <w:lang w:eastAsia="ko-KR"/>
                </w:rPr>
                <w:t>R1-1805651</w:t>
              </w:r>
            </w:hyperlink>
            <w:r w:rsidRPr="00DF051C">
              <w:rPr>
                <w:rFonts w:ascii="Times New Roman" w:eastAsia="Times New Roman" w:hAnsi="Times New Roman" w:cs="Times New Roman"/>
                <w:b/>
                <w:sz w:val="20"/>
                <w:szCs w:val="20"/>
                <w:lang w:eastAsia="ko-KR"/>
              </w:rPr>
              <w:t xml:space="preserve">, </w:t>
            </w:r>
            <w:r w:rsidRPr="00DF051C">
              <w:rPr>
                <w:rFonts w:ascii="Times New Roman" w:eastAsia="Times New Roman" w:hAnsi="Times New Roman" w:cs="Times New Roman"/>
                <w:sz w:val="20"/>
                <w:szCs w:val="20"/>
                <w:lang w:eastAsia="ko-KR"/>
              </w:rPr>
              <w:t xml:space="preserve">which is approved and final LS in </w:t>
            </w:r>
            <w:r w:rsidRPr="00DF051C">
              <w:rPr>
                <w:rFonts w:ascii="Times New Roman" w:eastAsia="Times New Roman" w:hAnsi="Times New Roman" w:cs="Times New Roman"/>
                <w:sz w:val="20"/>
                <w:szCs w:val="20"/>
                <w:highlight w:val="green"/>
                <w:lang w:eastAsia="ko-KR"/>
              </w:rPr>
              <w:t>R1-1805717</w:t>
            </w:r>
            <w:r w:rsidRPr="00DF051C">
              <w:rPr>
                <w:rFonts w:ascii="Times New Roman" w:eastAsia="Times New Roman" w:hAnsi="Times New Roman" w:cs="Times New Roman"/>
                <w:sz w:val="20"/>
                <w:szCs w:val="20"/>
                <w:lang w:eastAsia="ko-KR"/>
              </w:rPr>
              <w:t>) and ask RAN2 to provide feedback if any</w:t>
            </w:r>
          </w:p>
        </w:tc>
      </w:tr>
    </w:tbl>
    <w:p w14:paraId="2AEEA99A" w14:textId="77777777" w:rsidR="00D1500E" w:rsidRPr="00C3239F" w:rsidRDefault="00D1500E">
      <w:pPr>
        <w:rPr>
          <w:rFonts w:ascii="Times New Roman" w:hAnsi="Times New Roman" w:cs="Times New Roman"/>
          <w:sz w:val="20"/>
          <w:lang w:val="en-US"/>
        </w:rPr>
      </w:pPr>
    </w:p>
    <w:p w14:paraId="07ADCEA8" w14:textId="2D07897A" w:rsidR="00D1500E" w:rsidRDefault="00D1500E" w:rsidP="00BA34B9">
      <w:pPr>
        <w:rPr>
          <w:rFonts w:ascii="Times New Roman" w:hAnsi="Times New Roman" w:cs="Times New Roman"/>
          <w:sz w:val="20"/>
          <w:lang w:val="en-US"/>
        </w:rPr>
      </w:pPr>
      <w:r>
        <w:rPr>
          <w:rFonts w:ascii="Times New Roman" w:hAnsi="Times New Roman" w:cs="Times New Roman"/>
          <w:sz w:val="20"/>
          <w:lang w:val="en-US"/>
        </w:rPr>
        <w:t xml:space="preserve">In the attempt to reduce the UE search burden for initial cell selection, RAN4 has done that by reducing the SS raster density. This of course may result, that when the carrier bandwidth is restricted, less optimal placement for the SSB. This may have implications, like restricting the available initial access BWP width (to the minimum), complicating RS </w:t>
      </w:r>
      <w:r>
        <w:rPr>
          <w:rFonts w:ascii="Times New Roman" w:hAnsi="Times New Roman" w:cs="Times New Roman"/>
          <w:sz w:val="20"/>
          <w:lang w:val="en-US"/>
        </w:rPr>
        <w:lastRenderedPageBreak/>
        <w:t>configurations (CSI-RS has to be on either side of the SSB if FDM). From this perspective it would be desirable to consider earlier RAN1 decision to require the PCell to be placed on the SS-raster.</w:t>
      </w:r>
    </w:p>
    <w:p w14:paraId="2F76887D" w14:textId="43427653" w:rsidR="00D1500E" w:rsidRDefault="00D1500E" w:rsidP="00BA34B9">
      <w:pPr>
        <w:rPr>
          <w:rFonts w:ascii="Times New Roman" w:hAnsi="Times New Roman" w:cs="Times New Roman"/>
          <w:sz w:val="20"/>
          <w:lang w:val="en-US"/>
        </w:rPr>
      </w:pPr>
      <w:r>
        <w:rPr>
          <w:rFonts w:ascii="Times New Roman" w:hAnsi="Times New Roman" w:cs="Times New Roman"/>
          <w:sz w:val="20"/>
          <w:lang w:val="en-US"/>
        </w:rPr>
        <w:t>Now it is of course evident that when UE is carrying out the PLMN search, i.e. initial cell selection, after a cold boot or long period of out-of-service, it does not have any apriori information available on the possible SSB locations, other than the SS raster locations determined by RAN4 in TS38.101. Hence, if SSB is not placed to the SS-raster, it cannot be expected to be found by UE during initial cell selection process.</w:t>
      </w:r>
    </w:p>
    <w:p w14:paraId="0E81E2AA" w14:textId="1C90E373" w:rsidR="00D1500E" w:rsidRDefault="00D1500E" w:rsidP="00BA34B9">
      <w:pPr>
        <w:rPr>
          <w:rFonts w:ascii="Times New Roman" w:hAnsi="Times New Roman" w:cs="Times New Roman"/>
          <w:sz w:val="20"/>
          <w:lang w:val="en-US"/>
        </w:rPr>
      </w:pPr>
      <w:r w:rsidRPr="00C3239F">
        <w:rPr>
          <w:rFonts w:ascii="Times New Roman" w:hAnsi="Times New Roman" w:cs="Times New Roman"/>
          <w:b/>
          <w:sz w:val="20"/>
          <w:lang w:val="en-US"/>
        </w:rPr>
        <w:t>Observation</w:t>
      </w:r>
      <w:r>
        <w:rPr>
          <w:rFonts w:ascii="Times New Roman" w:hAnsi="Times New Roman" w:cs="Times New Roman"/>
          <w:sz w:val="20"/>
          <w:lang w:val="en-US"/>
        </w:rPr>
        <w:t>: In initial cell selection UE is expected to find only SSBs that are placed on valid SS-raster determined in TS38.101.</w:t>
      </w:r>
    </w:p>
    <w:p w14:paraId="5B23600B" w14:textId="61D30E81" w:rsidR="005B78A0" w:rsidRDefault="00D1500E" w:rsidP="005B78A0">
      <w:pPr>
        <w:rPr>
          <w:rFonts w:ascii="Times New Roman" w:hAnsi="Times New Roman" w:cs="Times New Roman"/>
          <w:sz w:val="20"/>
          <w:lang w:val="en-US"/>
        </w:rPr>
      </w:pPr>
      <w:r>
        <w:rPr>
          <w:rFonts w:ascii="Times New Roman" w:hAnsi="Times New Roman" w:cs="Times New Roman"/>
          <w:sz w:val="20"/>
          <w:lang w:val="en-US"/>
        </w:rPr>
        <w:t xml:space="preserve">However, after UE has found a cell, performed attach to the network etc., UE will have more information of the placement of the cells, and the SS-raster is not applied anymore, as long as UE remains in service (i.e. in coverage of the system). </w:t>
      </w:r>
      <w:r w:rsidR="005B78A0">
        <w:rPr>
          <w:rFonts w:ascii="Times New Roman" w:hAnsi="Times New Roman" w:cs="Times New Roman"/>
          <w:sz w:val="20"/>
          <w:lang w:val="en-US"/>
        </w:rPr>
        <w:t>CONNECTED mode UE’s are provided measurement configurations (in ‘</w:t>
      </w:r>
      <w:r w:rsidR="005B78A0" w:rsidRPr="00247C5F">
        <w:rPr>
          <w:rFonts w:ascii="Courier" w:eastAsia="SimSun" w:hAnsi="Courier" w:cs="Courier"/>
          <w:i/>
          <w:sz w:val="15"/>
          <w:szCs w:val="15"/>
          <w:lang w:val="fi-FI"/>
        </w:rPr>
        <w:t>MeasObjectNR</w:t>
      </w:r>
      <w:r w:rsidR="005B78A0">
        <w:rPr>
          <w:rFonts w:ascii="Times New Roman" w:hAnsi="Times New Roman" w:cs="Times New Roman"/>
          <w:sz w:val="20"/>
          <w:lang w:val="en-US"/>
        </w:rPr>
        <w:t>’) including the SSB location in absolute frequency</w:t>
      </w:r>
      <w:r w:rsidR="001201DD">
        <w:rPr>
          <w:rFonts w:ascii="Times New Roman" w:hAnsi="Times New Roman" w:cs="Times New Roman"/>
          <w:sz w:val="20"/>
          <w:lang w:val="en-US"/>
        </w:rPr>
        <w:t xml:space="preserve"> (ARFCN)</w:t>
      </w:r>
      <w:r w:rsidR="005B78A0">
        <w:rPr>
          <w:rFonts w:ascii="Times New Roman" w:hAnsi="Times New Roman" w:cs="Times New Roman"/>
          <w:sz w:val="20"/>
          <w:lang w:val="en-US"/>
        </w:rPr>
        <w:t xml:space="preserve">. This is required as it is supported that SCell and PSCell can be on any raster and not restricted to SS-raster locations. </w:t>
      </w:r>
      <w:r w:rsidR="001201DD">
        <w:rPr>
          <w:rFonts w:ascii="Times New Roman" w:hAnsi="Times New Roman" w:cs="Times New Roman"/>
          <w:sz w:val="20"/>
          <w:lang w:val="en-US"/>
        </w:rPr>
        <w:t>Hence, from RRC signaling perspective there is no restriction nor requirement to restrict the placement of PCell to SS-raster only. CONNECTED mode procedures themselves do not set any specific requirement in respective of the SSB raster placement. Following from the fact that PSCell and SCell</w:t>
      </w:r>
      <w:r w:rsidR="00F7072E">
        <w:rPr>
          <w:rFonts w:ascii="Times New Roman" w:hAnsi="Times New Roman" w:cs="Times New Roman"/>
          <w:sz w:val="20"/>
          <w:lang w:val="en-US"/>
        </w:rPr>
        <w:t xml:space="preserve">, i.e. serving cells, </w:t>
      </w:r>
      <w:r w:rsidR="001201DD">
        <w:rPr>
          <w:rFonts w:ascii="Times New Roman" w:hAnsi="Times New Roman" w:cs="Times New Roman"/>
          <w:sz w:val="20"/>
          <w:lang w:val="en-US"/>
        </w:rPr>
        <w:t xml:space="preserve">can be placed on any raster, </w:t>
      </w:r>
      <w:r w:rsidR="005B78A0">
        <w:rPr>
          <w:rFonts w:ascii="Times New Roman" w:hAnsi="Times New Roman" w:cs="Times New Roman"/>
          <w:sz w:val="20"/>
          <w:lang w:val="en-US"/>
        </w:rPr>
        <w:t xml:space="preserve">it is evident that UEs is able to detect and measure SSBs that are not placed on SS-raster. </w:t>
      </w:r>
      <w:r w:rsidR="001201DD">
        <w:rPr>
          <w:rFonts w:ascii="Times New Roman" w:hAnsi="Times New Roman" w:cs="Times New Roman"/>
          <w:sz w:val="20"/>
          <w:lang w:val="en-US"/>
        </w:rPr>
        <w:t>Therefore, as PSCell, SCell and PCell, can be identical from signal perspective (e.g. also SCell can have RMSI), it does not seem to be any restrictions from physical layer perspective requiring the PCell to be placed to SS-raster only, assuming that the location is informed to the UE.</w:t>
      </w:r>
    </w:p>
    <w:p w14:paraId="7ECBB6E8" w14:textId="19F42ACA" w:rsidR="001201DD" w:rsidRDefault="001201DD" w:rsidP="005B78A0">
      <w:pPr>
        <w:rPr>
          <w:rFonts w:ascii="Times New Roman" w:hAnsi="Times New Roman" w:cs="Times New Roman"/>
          <w:sz w:val="20"/>
          <w:lang w:val="en-US"/>
        </w:rPr>
      </w:pPr>
      <w:r w:rsidRPr="00C3239F">
        <w:rPr>
          <w:rFonts w:ascii="Times New Roman" w:hAnsi="Times New Roman" w:cs="Times New Roman"/>
          <w:b/>
          <w:sz w:val="20"/>
          <w:lang w:val="en-US"/>
        </w:rPr>
        <w:t>Observation:</w:t>
      </w:r>
      <w:r>
        <w:rPr>
          <w:rFonts w:ascii="Times New Roman" w:hAnsi="Times New Roman" w:cs="Times New Roman"/>
          <w:sz w:val="20"/>
          <w:lang w:val="en-US"/>
        </w:rPr>
        <w:t xml:space="preserve"> From physical layer functionality perspective, there is no requirement for CONNECTED mode enforcing PCell SSB placement to be restricted to SS-raster</w:t>
      </w:r>
      <w:r w:rsidR="00906E66">
        <w:rPr>
          <w:rFonts w:ascii="Times New Roman" w:hAnsi="Times New Roman" w:cs="Times New Roman"/>
          <w:sz w:val="20"/>
          <w:lang w:val="en-US"/>
        </w:rPr>
        <w:t>.</w:t>
      </w:r>
      <w:r>
        <w:rPr>
          <w:rFonts w:ascii="Times New Roman" w:hAnsi="Times New Roman" w:cs="Times New Roman"/>
          <w:sz w:val="20"/>
          <w:lang w:val="en-US"/>
        </w:rPr>
        <w:t xml:space="preserve"> </w:t>
      </w:r>
    </w:p>
    <w:p w14:paraId="37FE7ABB" w14:textId="26FE28FC" w:rsidR="001201DD" w:rsidRPr="00FB337A" w:rsidRDefault="00D1500E" w:rsidP="001201DD">
      <w:pPr>
        <w:rPr>
          <w:rFonts w:ascii="Times New Roman" w:hAnsi="Times New Roman" w:cs="Times New Roman"/>
          <w:sz w:val="20"/>
          <w:lang w:val="en-US"/>
        </w:rPr>
      </w:pPr>
      <w:r>
        <w:rPr>
          <w:rFonts w:ascii="Times New Roman" w:hAnsi="Times New Roman" w:cs="Times New Roman"/>
          <w:sz w:val="20"/>
          <w:lang w:val="en-US"/>
        </w:rPr>
        <w:t xml:space="preserve">For IDLE mode mobility procedures, UEs is provided </w:t>
      </w:r>
      <w:r w:rsidRPr="00D1500E">
        <w:rPr>
          <w:rFonts w:ascii="Times New Roman" w:hAnsi="Times New Roman" w:cs="Times New Roman"/>
          <w:sz w:val="20"/>
          <w:lang w:val="en-US"/>
        </w:rPr>
        <w:t>neighbouring cell information</w:t>
      </w:r>
      <w:r w:rsidR="00A63A16">
        <w:rPr>
          <w:rFonts w:ascii="Times New Roman" w:hAnsi="Times New Roman" w:cs="Times New Roman"/>
          <w:sz w:val="20"/>
          <w:lang w:val="en-US"/>
        </w:rPr>
        <w:t xml:space="preserve"> in system information</w:t>
      </w:r>
      <w:r>
        <w:rPr>
          <w:rFonts w:ascii="Times New Roman" w:hAnsi="Times New Roman" w:cs="Times New Roman"/>
          <w:sz w:val="20"/>
          <w:lang w:val="en-US"/>
        </w:rPr>
        <w:t xml:space="preserve">, including the (absolute frequency) locations of the SSB for NR. From signaling perspective, as RAN2 has taken the approach to use the ARFCN to indicate SSB locations, there would not seem to be any reason to restrict the indicated locations to SS-raster locations. Equipped with this information UE </w:t>
      </w:r>
      <w:r w:rsidR="00F7072E">
        <w:rPr>
          <w:rFonts w:ascii="Times New Roman" w:hAnsi="Times New Roman" w:cs="Times New Roman"/>
          <w:sz w:val="20"/>
          <w:lang w:val="en-US"/>
        </w:rPr>
        <w:t>should be</w:t>
      </w:r>
      <w:r>
        <w:rPr>
          <w:rFonts w:ascii="Times New Roman" w:hAnsi="Times New Roman" w:cs="Times New Roman"/>
          <w:sz w:val="20"/>
          <w:lang w:val="en-US"/>
        </w:rPr>
        <w:t xml:space="preserve"> able to perform cell detection, measurements and evaluation (of re-selection) for said SSBs</w:t>
      </w:r>
      <w:r w:rsidR="001201DD">
        <w:rPr>
          <w:rFonts w:ascii="Times New Roman" w:hAnsi="Times New Roman" w:cs="Times New Roman"/>
          <w:sz w:val="20"/>
          <w:lang w:val="en-US"/>
        </w:rPr>
        <w:t>, based on same baseline functionality as in CONNECTED mode</w:t>
      </w:r>
      <w:r>
        <w:rPr>
          <w:rFonts w:ascii="Times New Roman" w:hAnsi="Times New Roman" w:cs="Times New Roman"/>
          <w:sz w:val="20"/>
          <w:lang w:val="en-US"/>
        </w:rPr>
        <w:t xml:space="preserve">. I.e. from physical layer perspective, there would not be any identified reason to require that these SSB </w:t>
      </w:r>
      <w:r w:rsidR="00F7072E">
        <w:rPr>
          <w:rFonts w:ascii="Times New Roman" w:hAnsi="Times New Roman" w:cs="Times New Roman"/>
          <w:sz w:val="20"/>
          <w:lang w:val="en-US"/>
        </w:rPr>
        <w:t xml:space="preserve">of the serving cell in IDLE mode </w:t>
      </w:r>
      <w:r>
        <w:rPr>
          <w:rFonts w:ascii="Times New Roman" w:hAnsi="Times New Roman" w:cs="Times New Roman"/>
          <w:sz w:val="20"/>
          <w:lang w:val="en-US"/>
        </w:rPr>
        <w:t>would need to be restricted to locations set by SS-raster defined TS38.101</w:t>
      </w:r>
      <w:r w:rsidR="005B78A0">
        <w:rPr>
          <w:rFonts w:ascii="Times New Roman" w:hAnsi="Times New Roman" w:cs="Times New Roman"/>
          <w:sz w:val="20"/>
          <w:lang w:val="en-US"/>
        </w:rPr>
        <w:t>.</w:t>
      </w:r>
      <w:r w:rsidR="001201DD">
        <w:rPr>
          <w:rFonts w:ascii="Times New Roman" w:hAnsi="Times New Roman" w:cs="Times New Roman"/>
          <w:sz w:val="20"/>
          <w:lang w:val="en-US"/>
        </w:rPr>
        <w:t xml:space="preserve"> Also noting that when UE would fall out of coverage, it would be rather likely that UE would in any case try to benefit from the information obtained from network to find service. </w:t>
      </w:r>
    </w:p>
    <w:p w14:paraId="7FB3C387" w14:textId="10CB15D4" w:rsidR="005B78A0" w:rsidRDefault="005B78A0" w:rsidP="00BA34B9">
      <w:pPr>
        <w:rPr>
          <w:rFonts w:ascii="Times New Roman" w:hAnsi="Times New Roman" w:cs="Times New Roman"/>
          <w:sz w:val="20"/>
          <w:lang w:val="en-US"/>
        </w:rPr>
      </w:pPr>
      <w:r w:rsidRPr="00C3239F">
        <w:rPr>
          <w:rFonts w:ascii="Times New Roman" w:hAnsi="Times New Roman" w:cs="Times New Roman"/>
          <w:b/>
          <w:sz w:val="20"/>
          <w:lang w:val="en-US"/>
        </w:rPr>
        <w:t>Observation:</w:t>
      </w:r>
      <w:r>
        <w:rPr>
          <w:rFonts w:ascii="Times New Roman" w:hAnsi="Times New Roman" w:cs="Times New Roman"/>
          <w:sz w:val="20"/>
          <w:lang w:val="en-US"/>
        </w:rPr>
        <w:t xml:space="preserve"> From IDLE mode procedure perspective</w:t>
      </w:r>
      <w:r w:rsidR="00F7072E">
        <w:rPr>
          <w:rFonts w:ascii="Times New Roman" w:hAnsi="Times New Roman" w:cs="Times New Roman"/>
          <w:sz w:val="20"/>
          <w:lang w:val="en-US"/>
        </w:rPr>
        <w:t xml:space="preserve"> for physical layer</w:t>
      </w:r>
      <w:r>
        <w:rPr>
          <w:rFonts w:ascii="Times New Roman" w:hAnsi="Times New Roman" w:cs="Times New Roman"/>
          <w:sz w:val="20"/>
          <w:lang w:val="en-US"/>
        </w:rPr>
        <w:t xml:space="preserve">, there does not appear to be any reason to restrict the </w:t>
      </w:r>
      <w:r w:rsidR="00F7072E">
        <w:rPr>
          <w:rFonts w:ascii="Times New Roman" w:hAnsi="Times New Roman" w:cs="Times New Roman"/>
          <w:sz w:val="20"/>
          <w:lang w:val="en-US"/>
        </w:rPr>
        <w:t xml:space="preserve">serving cell </w:t>
      </w:r>
      <w:r>
        <w:rPr>
          <w:rFonts w:ascii="Times New Roman" w:hAnsi="Times New Roman" w:cs="Times New Roman"/>
          <w:sz w:val="20"/>
          <w:lang w:val="en-US"/>
        </w:rPr>
        <w:t>SSB placement to only SS-raster locations.</w:t>
      </w:r>
    </w:p>
    <w:p w14:paraId="6CFDCE83" w14:textId="5C441B87" w:rsidR="001201DD" w:rsidRDefault="001201DD" w:rsidP="00BA34B9">
      <w:pPr>
        <w:rPr>
          <w:rFonts w:ascii="Times New Roman" w:hAnsi="Times New Roman" w:cs="Times New Roman"/>
          <w:sz w:val="20"/>
          <w:lang w:val="en-US"/>
        </w:rPr>
      </w:pPr>
      <w:r>
        <w:rPr>
          <w:rFonts w:ascii="Times New Roman" w:hAnsi="Times New Roman" w:cs="Times New Roman"/>
          <w:sz w:val="20"/>
          <w:lang w:val="en-US"/>
        </w:rPr>
        <w:t>Based on the aforementioned discussion and in the light of the currently supported functionalities, it is proposed to consider the earlier agreement, and allow</w:t>
      </w:r>
      <w:r w:rsidR="00906E66">
        <w:rPr>
          <w:rFonts w:ascii="Times New Roman" w:hAnsi="Times New Roman" w:cs="Times New Roman"/>
          <w:sz w:val="20"/>
          <w:lang w:val="en-US"/>
        </w:rPr>
        <w:t>,</w:t>
      </w:r>
      <w:r>
        <w:rPr>
          <w:rFonts w:ascii="Times New Roman" w:hAnsi="Times New Roman" w:cs="Times New Roman"/>
          <w:sz w:val="20"/>
          <w:lang w:val="en-US"/>
        </w:rPr>
        <w:t xml:space="preserve"> </w:t>
      </w:r>
      <w:r w:rsidR="00F7072E">
        <w:rPr>
          <w:rFonts w:ascii="Times New Roman" w:hAnsi="Times New Roman" w:cs="Times New Roman"/>
          <w:sz w:val="20"/>
          <w:lang w:val="en-US"/>
        </w:rPr>
        <w:t xml:space="preserve">from RAN1 perspective, to place PCell </w:t>
      </w:r>
      <w:r w:rsidR="00906E66">
        <w:rPr>
          <w:rFonts w:ascii="Times New Roman" w:hAnsi="Times New Roman" w:cs="Times New Roman"/>
          <w:sz w:val="20"/>
          <w:lang w:val="en-US"/>
        </w:rPr>
        <w:t xml:space="preserve">SSB in CONNECTED </w:t>
      </w:r>
      <w:r w:rsidR="00F7072E">
        <w:rPr>
          <w:rFonts w:ascii="Times New Roman" w:hAnsi="Times New Roman" w:cs="Times New Roman"/>
          <w:sz w:val="20"/>
          <w:lang w:val="en-US"/>
        </w:rPr>
        <w:t xml:space="preserve">and </w:t>
      </w:r>
      <w:r w:rsidR="00906E66">
        <w:rPr>
          <w:rFonts w:ascii="Times New Roman" w:hAnsi="Times New Roman" w:cs="Times New Roman"/>
          <w:sz w:val="20"/>
          <w:lang w:val="en-US"/>
        </w:rPr>
        <w:t>serving cell SSB in IDLE to any raster location:</w:t>
      </w:r>
    </w:p>
    <w:p w14:paraId="7BD86A05" w14:textId="449E2C20" w:rsidR="00906E66" w:rsidRPr="00C3239F" w:rsidRDefault="00906E66" w:rsidP="00BA34B9">
      <w:pPr>
        <w:rPr>
          <w:rFonts w:ascii="Times New Roman" w:hAnsi="Times New Roman" w:cs="Times New Roman"/>
          <w:b/>
          <w:sz w:val="20"/>
          <w:lang w:val="en-US"/>
        </w:rPr>
      </w:pPr>
      <w:r w:rsidRPr="00C3239F">
        <w:rPr>
          <w:rFonts w:ascii="Times New Roman" w:hAnsi="Times New Roman" w:cs="Times New Roman"/>
          <w:b/>
          <w:sz w:val="20"/>
          <w:lang w:val="en-US"/>
        </w:rPr>
        <w:t>Proposal</w:t>
      </w:r>
      <w:r>
        <w:rPr>
          <w:rFonts w:ascii="Times New Roman" w:hAnsi="Times New Roman" w:cs="Times New Roman"/>
          <w:b/>
          <w:sz w:val="20"/>
          <w:lang w:val="en-US"/>
        </w:rPr>
        <w:t xml:space="preserve">: </w:t>
      </w:r>
      <w:r>
        <w:rPr>
          <w:rFonts w:ascii="Times New Roman" w:hAnsi="Times New Roman" w:cs="Times New Roman"/>
          <w:sz w:val="20"/>
          <w:lang w:val="en-US"/>
        </w:rPr>
        <w:t>in the light of the currently supported functionalities, revisit earlier agreement and allow PCell in CONNECTED and serving cell in IDLE SSB to any raster location</w:t>
      </w:r>
      <w:r w:rsidR="00A63A16">
        <w:rPr>
          <w:rFonts w:ascii="Times New Roman" w:hAnsi="Times New Roman" w:cs="Times New Roman"/>
          <w:sz w:val="20"/>
          <w:lang w:val="en-US"/>
        </w:rPr>
        <w:t>.</w:t>
      </w:r>
    </w:p>
    <w:p w14:paraId="146E439C" w14:textId="23141B75" w:rsidR="00A46456" w:rsidRDefault="00D1500E" w:rsidP="005503B8">
      <w:pPr>
        <w:pStyle w:val="Heading1"/>
      </w:pPr>
      <w:r>
        <w:t>4</w:t>
      </w:r>
      <w:r w:rsidR="005503B8">
        <w:tab/>
        <w:t>Conclusions</w:t>
      </w:r>
    </w:p>
    <w:p w14:paraId="74BA1FE5" w14:textId="556E135F" w:rsidR="003D7CEF" w:rsidRDefault="00BC6E18" w:rsidP="00BC6E18">
      <w:pPr>
        <w:rPr>
          <w:rFonts w:ascii="Times New Roman" w:hAnsi="Times New Roman" w:cs="Times New Roman"/>
          <w:sz w:val="20"/>
          <w:lang w:val="en-US"/>
        </w:rPr>
      </w:pPr>
      <w:r w:rsidRPr="00264F26">
        <w:rPr>
          <w:rFonts w:ascii="Times New Roman" w:hAnsi="Times New Roman" w:cs="Times New Roman"/>
          <w:sz w:val="20"/>
          <w:lang w:val="en-US"/>
        </w:rPr>
        <w:t xml:space="preserve">In this contribution we discussed about </w:t>
      </w:r>
      <w:r w:rsidR="009042FD">
        <w:rPr>
          <w:rFonts w:ascii="Times New Roman" w:hAnsi="Times New Roman" w:cs="Times New Roman"/>
          <w:sz w:val="20"/>
          <w:lang w:val="en-US"/>
        </w:rPr>
        <w:t>power difference between SS/PBCH block and</w:t>
      </w:r>
      <w:r w:rsidR="004065A6">
        <w:rPr>
          <w:rFonts w:ascii="Times New Roman" w:hAnsi="Times New Roman" w:cs="Times New Roman"/>
          <w:sz w:val="20"/>
          <w:lang w:val="en-US"/>
        </w:rPr>
        <w:t xml:space="preserve"> </w:t>
      </w:r>
      <w:r w:rsidR="00FB337A">
        <w:rPr>
          <w:rFonts w:ascii="Times New Roman" w:hAnsi="Times New Roman" w:cs="Times New Roman"/>
          <w:sz w:val="20"/>
          <w:lang w:val="en-US"/>
        </w:rPr>
        <w:t xml:space="preserve">PDCCH </w:t>
      </w:r>
      <w:r w:rsidR="004065A6">
        <w:rPr>
          <w:rFonts w:ascii="Times New Roman" w:hAnsi="Times New Roman" w:cs="Times New Roman"/>
          <w:sz w:val="20"/>
          <w:lang w:val="en-US"/>
        </w:rPr>
        <w:t>scheduling broadcast channels QCL’ed with</w:t>
      </w:r>
      <w:r w:rsidR="009042FD">
        <w:rPr>
          <w:rFonts w:ascii="Times New Roman" w:hAnsi="Times New Roman" w:cs="Times New Roman"/>
          <w:sz w:val="20"/>
          <w:lang w:val="en-US"/>
        </w:rPr>
        <w:t xml:space="preserve"> SS/PBCH block. Based on the discussion we make following observations and proposals:</w:t>
      </w:r>
    </w:p>
    <w:p w14:paraId="5DFCC500" w14:textId="77777777" w:rsidR="00A63A16" w:rsidRDefault="00A63A16" w:rsidP="00A63A16">
      <w:pPr>
        <w:rPr>
          <w:rFonts w:ascii="Times New Roman" w:hAnsi="Times New Roman" w:cs="Times New Roman"/>
          <w:sz w:val="20"/>
          <w:lang w:val="en-US"/>
        </w:rPr>
      </w:pPr>
      <w:r w:rsidRPr="000D3E79">
        <w:rPr>
          <w:rFonts w:ascii="Times New Roman" w:hAnsi="Times New Roman" w:cs="Times New Roman"/>
          <w:b/>
          <w:sz w:val="20"/>
          <w:lang w:val="en-US"/>
        </w:rPr>
        <w:t>Observation</w:t>
      </w:r>
      <w:r>
        <w:rPr>
          <w:rFonts w:ascii="Times New Roman" w:hAnsi="Times New Roman" w:cs="Times New Roman"/>
          <w:sz w:val="20"/>
          <w:lang w:val="en-US"/>
        </w:rPr>
        <w:t>: It would not seem necessary to determine fixed power difference between SS/PBCH block and generic PDCCH.</w:t>
      </w:r>
    </w:p>
    <w:p w14:paraId="25A58E03" w14:textId="77777777" w:rsidR="00A63A16" w:rsidRDefault="00A63A16" w:rsidP="00A63A16">
      <w:pPr>
        <w:rPr>
          <w:rFonts w:ascii="Times New Roman" w:hAnsi="Times New Roman" w:cs="Times New Roman"/>
          <w:sz w:val="20"/>
          <w:lang w:val="en-US"/>
        </w:rPr>
      </w:pPr>
      <w:r>
        <w:rPr>
          <w:rFonts w:ascii="Times New Roman" w:eastAsia="SimSun" w:hAnsi="Times New Roman" w:cs="Times New Roman"/>
          <w:b/>
          <w:sz w:val="20"/>
          <w:szCs w:val="20"/>
          <w:lang w:val="en-US" w:eastAsia="zh-CN"/>
        </w:rPr>
        <w:t xml:space="preserve">Observation: </w:t>
      </w:r>
      <w:r>
        <w:rPr>
          <w:rFonts w:ascii="Times New Roman" w:eastAsia="SimSun" w:hAnsi="Times New Roman" w:cs="Times New Roman"/>
          <w:sz w:val="20"/>
          <w:szCs w:val="20"/>
          <w:lang w:val="en-US" w:eastAsia="zh-CN"/>
        </w:rPr>
        <w:t xml:space="preserve">The expected power difference between </w:t>
      </w:r>
      <w:r>
        <w:rPr>
          <w:rFonts w:ascii="Times New Roman" w:hAnsi="Times New Roman" w:cs="Times New Roman"/>
          <w:sz w:val="20"/>
          <w:lang w:val="en-US"/>
        </w:rPr>
        <w:t xml:space="preserve">SS/PBCH block and RMSI PDCCH would need to account the RMSI CORESET configuration, with an additional range to enable user multiplexing. </w:t>
      </w:r>
    </w:p>
    <w:p w14:paraId="58DC440F" w14:textId="77777777" w:rsidR="00A63A16" w:rsidRDefault="00A63A16">
      <w:pPr>
        <w:rPr>
          <w:rFonts w:ascii="Times New Roman" w:hAnsi="Times New Roman" w:cs="Times New Roman"/>
          <w:sz w:val="20"/>
          <w:lang w:val="en-US"/>
        </w:rPr>
      </w:pPr>
      <w:r w:rsidRPr="00761840">
        <w:rPr>
          <w:rFonts w:ascii="Times New Roman" w:hAnsi="Times New Roman" w:cs="Times New Roman"/>
          <w:b/>
          <w:sz w:val="20"/>
          <w:lang w:val="en-US"/>
        </w:rPr>
        <w:t>Proposal:</w:t>
      </w:r>
      <w:r>
        <w:rPr>
          <w:rFonts w:ascii="Times New Roman" w:hAnsi="Times New Roman" w:cs="Times New Roman"/>
          <w:sz w:val="20"/>
          <w:lang w:val="en-US"/>
        </w:rPr>
        <w:t xml:space="preserve"> The </w:t>
      </w:r>
      <w:r w:rsidRPr="009A0809">
        <w:rPr>
          <w:rFonts w:ascii="Times New Roman" w:hAnsi="Times New Roman" w:cs="Times New Roman"/>
          <w:sz w:val="20"/>
          <w:lang w:val="en-US"/>
        </w:rPr>
        <w:t>EPRE offset between PDCCH DMRS and SSS in the QCL’ed</w:t>
      </w:r>
      <w:r>
        <w:rPr>
          <w:rFonts w:ascii="Times New Roman" w:hAnsi="Times New Roman" w:cs="Times New Roman"/>
          <w:sz w:val="20"/>
          <w:lang w:val="en-US"/>
        </w:rPr>
        <w:t xml:space="preserve"> SSB is in the range ]-6, 12[</w:t>
      </w:r>
      <w:r w:rsidRPr="009A0809">
        <w:rPr>
          <w:rFonts w:ascii="Times New Roman" w:hAnsi="Times New Roman" w:cs="Times New Roman"/>
          <w:sz w:val="20"/>
          <w:lang w:val="en-US"/>
        </w:rPr>
        <w:t>dB when PDDCH with CRC scrambled by SI-RNTI, P-RNTI and RA-RNTI</w:t>
      </w:r>
      <w:r>
        <w:rPr>
          <w:rFonts w:ascii="Times New Roman" w:hAnsi="Times New Roman" w:cs="Times New Roman"/>
          <w:sz w:val="20"/>
          <w:lang w:val="en-US"/>
        </w:rPr>
        <w:t>. For other PDCCH’es (i.e. that are not QCL’ed or scrambled by different RNTI), there is no range specified.</w:t>
      </w:r>
    </w:p>
    <w:p w14:paraId="27A83BD1" w14:textId="443C3C6B" w:rsidR="00A63A16" w:rsidRDefault="00A63A16">
      <w:pPr>
        <w:rPr>
          <w:rFonts w:ascii="Times New Roman" w:hAnsi="Times New Roman" w:cs="Times New Roman"/>
          <w:sz w:val="20"/>
          <w:lang w:val="en-US"/>
        </w:rPr>
      </w:pPr>
      <w:r>
        <w:rPr>
          <w:rFonts w:ascii="Times New Roman" w:hAnsi="Times New Roman" w:cs="Times New Roman"/>
          <w:sz w:val="20"/>
          <w:lang w:val="en-US"/>
        </w:rPr>
        <w:lastRenderedPageBreak/>
        <w:t>Furthermore, in Section 3, we discuss the SSB frequency domain placement restrictions, and make following observations and proposals:</w:t>
      </w:r>
    </w:p>
    <w:p w14:paraId="0CEBF7C0" w14:textId="77777777" w:rsidR="00A63A16" w:rsidRDefault="00A63A16" w:rsidP="00A63A16">
      <w:pPr>
        <w:rPr>
          <w:rFonts w:ascii="Times New Roman" w:hAnsi="Times New Roman" w:cs="Times New Roman"/>
          <w:sz w:val="20"/>
          <w:lang w:val="en-US"/>
        </w:rPr>
      </w:pPr>
      <w:r w:rsidRPr="00761840">
        <w:rPr>
          <w:rFonts w:ascii="Times New Roman" w:hAnsi="Times New Roman" w:cs="Times New Roman"/>
          <w:b/>
          <w:sz w:val="20"/>
          <w:lang w:val="en-US"/>
        </w:rPr>
        <w:t>Observation</w:t>
      </w:r>
      <w:r>
        <w:rPr>
          <w:rFonts w:ascii="Times New Roman" w:hAnsi="Times New Roman" w:cs="Times New Roman"/>
          <w:sz w:val="20"/>
          <w:lang w:val="en-US"/>
        </w:rPr>
        <w:t>: In initial cell selection UE is expected to find only SSBs that are placed on valid SS-raster determined in TS38.101.</w:t>
      </w:r>
    </w:p>
    <w:p w14:paraId="463AB58B" w14:textId="77777777" w:rsidR="00A63A16" w:rsidRDefault="00A63A16" w:rsidP="00A63A16">
      <w:pPr>
        <w:rPr>
          <w:rFonts w:ascii="Times New Roman" w:hAnsi="Times New Roman" w:cs="Times New Roman"/>
          <w:sz w:val="20"/>
          <w:lang w:val="en-US"/>
        </w:rPr>
      </w:pPr>
      <w:r w:rsidRPr="00761840">
        <w:rPr>
          <w:rFonts w:ascii="Times New Roman" w:hAnsi="Times New Roman" w:cs="Times New Roman"/>
          <w:b/>
          <w:sz w:val="20"/>
          <w:lang w:val="en-US"/>
        </w:rPr>
        <w:t>Observation:</w:t>
      </w:r>
      <w:r>
        <w:rPr>
          <w:rFonts w:ascii="Times New Roman" w:hAnsi="Times New Roman" w:cs="Times New Roman"/>
          <w:sz w:val="20"/>
          <w:lang w:val="en-US"/>
        </w:rPr>
        <w:t xml:space="preserve"> From physical layer functionality perspective, there is no requirement for CONNECTED mode enforcing PCell SSB placement to be restricted to SS-raster. </w:t>
      </w:r>
    </w:p>
    <w:p w14:paraId="7B2B3BB3" w14:textId="77777777" w:rsidR="00A63A16" w:rsidRDefault="00A63A16" w:rsidP="00A63A16">
      <w:pPr>
        <w:rPr>
          <w:rFonts w:ascii="Times New Roman" w:hAnsi="Times New Roman" w:cs="Times New Roman"/>
          <w:sz w:val="20"/>
          <w:lang w:val="en-US"/>
        </w:rPr>
      </w:pPr>
      <w:r w:rsidRPr="00761840">
        <w:rPr>
          <w:rFonts w:ascii="Times New Roman" w:hAnsi="Times New Roman" w:cs="Times New Roman"/>
          <w:b/>
          <w:sz w:val="20"/>
          <w:lang w:val="en-US"/>
        </w:rPr>
        <w:t>Observation:</w:t>
      </w:r>
      <w:r>
        <w:rPr>
          <w:rFonts w:ascii="Times New Roman" w:hAnsi="Times New Roman" w:cs="Times New Roman"/>
          <w:sz w:val="20"/>
          <w:lang w:val="en-US"/>
        </w:rPr>
        <w:t xml:space="preserve"> From IDLE mode procedure perspective for physical layer, there does not appear to be any reason to restrict the serving cell SSB placement to only SS-raster locations.</w:t>
      </w:r>
    </w:p>
    <w:p w14:paraId="0ADD1675" w14:textId="77777777" w:rsidR="00A63A16" w:rsidRPr="00761840" w:rsidRDefault="00A63A16" w:rsidP="00A63A16">
      <w:pPr>
        <w:rPr>
          <w:rFonts w:ascii="Times New Roman" w:hAnsi="Times New Roman" w:cs="Times New Roman"/>
          <w:b/>
          <w:sz w:val="20"/>
          <w:lang w:val="en-US"/>
        </w:rPr>
      </w:pPr>
      <w:r w:rsidRPr="00761840">
        <w:rPr>
          <w:rFonts w:ascii="Times New Roman" w:hAnsi="Times New Roman" w:cs="Times New Roman"/>
          <w:b/>
          <w:sz w:val="20"/>
          <w:lang w:val="en-US"/>
        </w:rPr>
        <w:t>Proposal</w:t>
      </w:r>
      <w:r>
        <w:rPr>
          <w:rFonts w:ascii="Times New Roman" w:hAnsi="Times New Roman" w:cs="Times New Roman"/>
          <w:b/>
          <w:sz w:val="20"/>
          <w:lang w:val="en-US"/>
        </w:rPr>
        <w:t xml:space="preserve">: </w:t>
      </w:r>
      <w:r>
        <w:rPr>
          <w:rFonts w:ascii="Times New Roman" w:hAnsi="Times New Roman" w:cs="Times New Roman"/>
          <w:sz w:val="20"/>
          <w:lang w:val="en-US"/>
        </w:rPr>
        <w:t>in the light of the currently supported functionalities, revisit earlier agreement and allow PCell in CONNECTED and serving cell in IDLE SSB to any raster location.</w:t>
      </w:r>
    </w:p>
    <w:p w14:paraId="46631119" w14:textId="77777777" w:rsidR="00C02C5B" w:rsidRPr="00CB34B0" w:rsidRDefault="00C02C5B">
      <w:pPr>
        <w:rPr>
          <w:rFonts w:ascii="Times New Roman" w:hAnsi="Times New Roman" w:cs="Times New Roman"/>
          <w:sz w:val="20"/>
          <w:lang w:val="en-US"/>
        </w:rPr>
      </w:pPr>
    </w:p>
    <w:p w14:paraId="6193D8E0" w14:textId="77777777" w:rsidR="0034111C" w:rsidRPr="00A51522" w:rsidRDefault="0034111C">
      <w:pPr>
        <w:pStyle w:val="Heading1"/>
      </w:pPr>
      <w:bookmarkStart w:id="7" w:name="_Hlk498596596"/>
      <w:r w:rsidRPr="00A51522">
        <w:t>References</w:t>
      </w:r>
      <w:bookmarkEnd w:id="7"/>
      <w:r w:rsidR="00A2459D" w:rsidRPr="00A51522">
        <w:t xml:space="preserve"> </w:t>
      </w:r>
    </w:p>
    <w:p w14:paraId="7FF3FFAF" w14:textId="23F4D917"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978EC">
        <w:rPr>
          <w:rFonts w:ascii="Times New Roman" w:hAnsi="Times New Roman" w:cs="Times New Roman"/>
          <w:sz w:val="20"/>
        </w:rPr>
        <w:t>90</w:t>
      </w:r>
      <w:r w:rsidR="004F7E79">
        <w:rPr>
          <w:rFonts w:ascii="Times New Roman" w:hAnsi="Times New Roman" w:cs="Times New Roman"/>
          <w:sz w:val="20"/>
        </w:rPr>
        <w:t>bis</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19057A0E" w14:textId="3E32E6BE" w:rsidR="004F7E79" w:rsidRDefault="004F7E79" w:rsidP="004F7E79">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Pr>
          <w:rFonts w:ascii="Times New Roman" w:hAnsi="Times New Roman" w:cs="Times New Roman"/>
          <w:sz w:val="20"/>
        </w:rPr>
        <w:t>91</w:t>
      </w:r>
      <w:r w:rsidRPr="00E174D4">
        <w:rPr>
          <w:rFonts w:ascii="Times New Roman" w:hAnsi="Times New Roman" w:cs="Times New Roman"/>
          <w:sz w:val="20"/>
        </w:rPr>
        <w:t xml:space="preserve"> Chairman Notes</w:t>
      </w:r>
    </w:p>
    <w:p w14:paraId="41CADF24" w14:textId="5B414085" w:rsidR="00491524" w:rsidRDefault="00491524" w:rsidP="004F7E79">
      <w:pPr>
        <w:numPr>
          <w:ilvl w:val="0"/>
          <w:numId w:val="1"/>
        </w:numPr>
        <w:spacing w:after="80"/>
        <w:rPr>
          <w:rFonts w:ascii="Times New Roman" w:hAnsi="Times New Roman" w:cs="Times New Roman"/>
          <w:sz w:val="20"/>
        </w:rPr>
      </w:pPr>
      <w:bookmarkStart w:id="8" w:name="_Ref510458273"/>
      <w:r>
        <w:rPr>
          <w:rFonts w:ascii="Times New Roman" w:hAnsi="Times New Roman" w:cs="Times New Roman"/>
          <w:sz w:val="20"/>
        </w:rPr>
        <w:t>RAN1#92 Chairman Notes</w:t>
      </w:r>
      <w:bookmarkEnd w:id="8"/>
    </w:p>
    <w:p w14:paraId="5AB4D57E" w14:textId="1EAC0A9D" w:rsidR="006831BD" w:rsidRDefault="006831BD" w:rsidP="006831BD">
      <w:pPr>
        <w:numPr>
          <w:ilvl w:val="0"/>
          <w:numId w:val="1"/>
        </w:numPr>
        <w:spacing w:after="80"/>
        <w:rPr>
          <w:rFonts w:ascii="Times New Roman" w:hAnsi="Times New Roman" w:cs="Times New Roman"/>
          <w:sz w:val="20"/>
        </w:rPr>
      </w:pPr>
      <w:bookmarkStart w:id="9" w:name="_Ref506223522"/>
      <w:r>
        <w:rPr>
          <w:rFonts w:ascii="Times New Roman" w:hAnsi="Times New Roman" w:cs="Times New Roman"/>
          <w:sz w:val="20"/>
        </w:rPr>
        <w:t>R1-1801291, ‘</w:t>
      </w:r>
      <w:r w:rsidRPr="006831BD">
        <w:rPr>
          <w:rFonts w:ascii="Times New Roman" w:hAnsi="Times New Roman" w:cs="Times New Roman"/>
          <w:sz w:val="20"/>
        </w:rPr>
        <w:t>draftCR to 38.211 capturing the Jan18 ad-hoc meeting agreements</w:t>
      </w:r>
      <w:r>
        <w:rPr>
          <w:rFonts w:ascii="Times New Roman" w:hAnsi="Times New Roman" w:cs="Times New Roman"/>
          <w:sz w:val="20"/>
        </w:rPr>
        <w:t>’, Rapporteur (Ericsson)</w:t>
      </w:r>
      <w:bookmarkEnd w:id="9"/>
    </w:p>
    <w:p w14:paraId="491FFDA1" w14:textId="53E723C6" w:rsidR="006831BD" w:rsidRDefault="006831BD" w:rsidP="006831BD">
      <w:pPr>
        <w:numPr>
          <w:ilvl w:val="0"/>
          <w:numId w:val="1"/>
        </w:numPr>
        <w:spacing w:after="80"/>
        <w:rPr>
          <w:rFonts w:ascii="Times New Roman" w:hAnsi="Times New Roman" w:cs="Times New Roman"/>
          <w:sz w:val="20"/>
        </w:rPr>
      </w:pPr>
      <w:bookmarkStart w:id="10" w:name="_Ref506223787"/>
      <w:r>
        <w:rPr>
          <w:rFonts w:ascii="Times New Roman" w:hAnsi="Times New Roman" w:cs="Times New Roman"/>
          <w:sz w:val="20"/>
        </w:rPr>
        <w:t>R1-1801293, ‘</w:t>
      </w:r>
      <w:r w:rsidRPr="006831BD">
        <w:rPr>
          <w:rFonts w:ascii="Times New Roman" w:hAnsi="Times New Roman" w:cs="Times New Roman"/>
          <w:sz w:val="20"/>
        </w:rPr>
        <w:t>draftCR to 38.213 capturing the agreements from the RAN1 NR ad-hoc 1801 meeting</w:t>
      </w:r>
      <w:r>
        <w:rPr>
          <w:rFonts w:ascii="Times New Roman" w:hAnsi="Times New Roman" w:cs="Times New Roman"/>
          <w:sz w:val="20"/>
        </w:rPr>
        <w:t>’,</w:t>
      </w:r>
      <w:r w:rsidRPr="006831BD">
        <w:rPr>
          <w:rFonts w:ascii="Times New Roman" w:hAnsi="Times New Roman" w:cs="Times New Roman"/>
          <w:sz w:val="20"/>
        </w:rPr>
        <w:t xml:space="preserve"> </w:t>
      </w:r>
      <w:r>
        <w:rPr>
          <w:rFonts w:ascii="Times New Roman" w:hAnsi="Times New Roman" w:cs="Times New Roman"/>
          <w:sz w:val="20"/>
        </w:rPr>
        <w:t>Rapporteur (Samsung)</w:t>
      </w:r>
      <w:bookmarkEnd w:id="10"/>
    </w:p>
    <w:p w14:paraId="1F157078" w14:textId="77777777" w:rsidR="00A94AFB" w:rsidRPr="00CB34B0" w:rsidRDefault="00A94AFB" w:rsidP="00A94AFB">
      <w:pPr>
        <w:rPr>
          <w:rFonts w:ascii="Times New Roman" w:hAnsi="Times New Roman" w:cs="Times New Roman"/>
          <w:sz w:val="20"/>
          <w:lang w:val="en-US"/>
        </w:rPr>
      </w:pPr>
    </w:p>
    <w:p w14:paraId="51C7A3C6" w14:textId="77777777" w:rsidR="00A94AFB" w:rsidRPr="00A14867" w:rsidRDefault="00A94AFB" w:rsidP="00A500CE">
      <w:pPr>
        <w:rPr>
          <w:rFonts w:ascii="Times New Roman" w:hAnsi="Times New Roman" w:cs="Times New Roman"/>
          <w:sz w:val="20"/>
          <w:lang w:val="en-US"/>
        </w:rPr>
      </w:pPr>
    </w:p>
    <w:sectPr w:rsidR="00A94AFB"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96A81" w14:textId="77777777" w:rsidR="00025C3E" w:rsidRDefault="00025C3E">
      <w:r>
        <w:separator/>
      </w:r>
    </w:p>
  </w:endnote>
  <w:endnote w:type="continuationSeparator" w:id="0">
    <w:p w14:paraId="4C423EAF" w14:textId="77777777" w:rsidR="00025C3E" w:rsidRDefault="00025C3E">
      <w:r>
        <w:continuationSeparator/>
      </w:r>
    </w:p>
  </w:endnote>
  <w:endnote w:type="continuationNotice" w:id="1">
    <w:p w14:paraId="4EE38970" w14:textId="77777777" w:rsidR="00025C3E" w:rsidRDefault="00025C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A9657" w14:textId="77777777" w:rsidR="00025C3E" w:rsidRDefault="00025C3E">
      <w:r>
        <w:separator/>
      </w:r>
    </w:p>
  </w:footnote>
  <w:footnote w:type="continuationSeparator" w:id="0">
    <w:p w14:paraId="7162866D" w14:textId="77777777" w:rsidR="00025C3E" w:rsidRDefault="00025C3E">
      <w:r>
        <w:continuationSeparator/>
      </w:r>
    </w:p>
  </w:footnote>
  <w:footnote w:type="continuationNotice" w:id="1">
    <w:p w14:paraId="0D4A5AC2" w14:textId="77777777" w:rsidR="00025C3E" w:rsidRDefault="00025C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79AC"/>
    <w:multiLevelType w:val="hybridMultilevel"/>
    <w:tmpl w:val="159A0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CB7FA2"/>
    <w:multiLevelType w:val="hybridMultilevel"/>
    <w:tmpl w:val="F258DF54"/>
    <w:lvl w:ilvl="0" w:tplc="04090001">
      <w:start w:val="1"/>
      <w:numFmt w:val="bullet"/>
      <w:lvlText w:val=""/>
      <w:lvlJc w:val="left"/>
      <w:pPr>
        <w:ind w:left="720" w:hanging="360"/>
      </w:pPr>
      <w:rPr>
        <w:rFonts w:ascii="Symbol" w:hAnsi="Symbol" w:hint="default"/>
        <w:b/>
        <w:i w:val="0"/>
        <w:color w:val="auto"/>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2"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5C4E88"/>
    <w:multiLevelType w:val="hybridMultilevel"/>
    <w:tmpl w:val="8B501BF4"/>
    <w:lvl w:ilvl="0" w:tplc="040B000F">
      <w:start w:val="1"/>
      <w:numFmt w:val="decimal"/>
      <w:lvlText w:val="%1."/>
      <w:lvlJc w:val="left"/>
      <w:pPr>
        <w:ind w:left="720" w:hanging="360"/>
      </w:pPr>
      <w:rPr>
        <w:rFonts w:hint="default"/>
        <w:b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358316C2"/>
    <w:multiLevelType w:val="hybridMultilevel"/>
    <w:tmpl w:val="D2186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7" w15:restartNumberingAfterBreak="0">
    <w:nsid w:val="38F41703"/>
    <w:multiLevelType w:val="hybridMultilevel"/>
    <w:tmpl w:val="865CF8FA"/>
    <w:lvl w:ilvl="0" w:tplc="AC24616A">
      <w:start w:val="3"/>
      <w:numFmt w:val="bullet"/>
      <w:lvlText w:val="-"/>
      <w:lvlJc w:val="left"/>
      <w:pPr>
        <w:ind w:left="465" w:hanging="360"/>
      </w:pPr>
      <w:rPr>
        <w:rFonts w:ascii="Times New Roman" w:eastAsiaTheme="minorHAnsi" w:hAnsi="Times New Roman" w:cs="Times New Roman" w:hint="default"/>
      </w:rPr>
    </w:lvl>
    <w:lvl w:ilvl="1" w:tplc="040B0003" w:tentative="1">
      <w:start w:val="1"/>
      <w:numFmt w:val="bullet"/>
      <w:lvlText w:val="o"/>
      <w:lvlJc w:val="left"/>
      <w:pPr>
        <w:ind w:left="1185" w:hanging="360"/>
      </w:pPr>
      <w:rPr>
        <w:rFonts w:ascii="Courier New" w:hAnsi="Courier New" w:cs="Courier New" w:hint="default"/>
      </w:rPr>
    </w:lvl>
    <w:lvl w:ilvl="2" w:tplc="040B0005" w:tentative="1">
      <w:start w:val="1"/>
      <w:numFmt w:val="bullet"/>
      <w:lvlText w:val=""/>
      <w:lvlJc w:val="left"/>
      <w:pPr>
        <w:ind w:left="1905" w:hanging="360"/>
      </w:pPr>
      <w:rPr>
        <w:rFonts w:ascii="Wingdings" w:hAnsi="Wingdings" w:hint="default"/>
      </w:rPr>
    </w:lvl>
    <w:lvl w:ilvl="3" w:tplc="040B0001" w:tentative="1">
      <w:start w:val="1"/>
      <w:numFmt w:val="bullet"/>
      <w:lvlText w:val=""/>
      <w:lvlJc w:val="left"/>
      <w:pPr>
        <w:ind w:left="2625" w:hanging="360"/>
      </w:pPr>
      <w:rPr>
        <w:rFonts w:ascii="Symbol" w:hAnsi="Symbol" w:hint="default"/>
      </w:rPr>
    </w:lvl>
    <w:lvl w:ilvl="4" w:tplc="040B0003" w:tentative="1">
      <w:start w:val="1"/>
      <w:numFmt w:val="bullet"/>
      <w:lvlText w:val="o"/>
      <w:lvlJc w:val="left"/>
      <w:pPr>
        <w:ind w:left="3345" w:hanging="360"/>
      </w:pPr>
      <w:rPr>
        <w:rFonts w:ascii="Courier New" w:hAnsi="Courier New" w:cs="Courier New" w:hint="default"/>
      </w:rPr>
    </w:lvl>
    <w:lvl w:ilvl="5" w:tplc="040B0005" w:tentative="1">
      <w:start w:val="1"/>
      <w:numFmt w:val="bullet"/>
      <w:lvlText w:val=""/>
      <w:lvlJc w:val="left"/>
      <w:pPr>
        <w:ind w:left="4065" w:hanging="360"/>
      </w:pPr>
      <w:rPr>
        <w:rFonts w:ascii="Wingdings" w:hAnsi="Wingdings" w:hint="default"/>
      </w:rPr>
    </w:lvl>
    <w:lvl w:ilvl="6" w:tplc="040B0001" w:tentative="1">
      <w:start w:val="1"/>
      <w:numFmt w:val="bullet"/>
      <w:lvlText w:val=""/>
      <w:lvlJc w:val="left"/>
      <w:pPr>
        <w:ind w:left="4785" w:hanging="360"/>
      </w:pPr>
      <w:rPr>
        <w:rFonts w:ascii="Symbol" w:hAnsi="Symbol" w:hint="default"/>
      </w:rPr>
    </w:lvl>
    <w:lvl w:ilvl="7" w:tplc="040B0003" w:tentative="1">
      <w:start w:val="1"/>
      <w:numFmt w:val="bullet"/>
      <w:lvlText w:val="o"/>
      <w:lvlJc w:val="left"/>
      <w:pPr>
        <w:ind w:left="5505" w:hanging="360"/>
      </w:pPr>
      <w:rPr>
        <w:rFonts w:ascii="Courier New" w:hAnsi="Courier New" w:cs="Courier New" w:hint="default"/>
      </w:rPr>
    </w:lvl>
    <w:lvl w:ilvl="8" w:tplc="040B0005" w:tentative="1">
      <w:start w:val="1"/>
      <w:numFmt w:val="bullet"/>
      <w:lvlText w:val=""/>
      <w:lvlJc w:val="left"/>
      <w:pPr>
        <w:ind w:left="6225" w:hanging="360"/>
      </w:pPr>
      <w:rPr>
        <w:rFonts w:ascii="Wingdings" w:hAnsi="Wingdings" w:hint="default"/>
      </w:rPr>
    </w:lvl>
  </w:abstractNum>
  <w:abstractNum w:abstractNumId="28"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1"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8"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9"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C2C0F8C"/>
    <w:multiLevelType w:val="hybridMultilevel"/>
    <w:tmpl w:val="26F285B4"/>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4"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194577"/>
    <w:multiLevelType w:val="hybridMultilevel"/>
    <w:tmpl w:val="56186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30"/>
  </w:num>
  <w:num w:numId="3">
    <w:abstractNumId w:val="19"/>
  </w:num>
  <w:num w:numId="4">
    <w:abstractNumId w:val="33"/>
  </w:num>
  <w:num w:numId="5">
    <w:abstractNumId w:val="4"/>
  </w:num>
  <w:num w:numId="6">
    <w:abstractNumId w:val="18"/>
  </w:num>
  <w:num w:numId="7">
    <w:abstractNumId w:val="44"/>
  </w:num>
  <w:num w:numId="8">
    <w:abstractNumId w:val="32"/>
  </w:num>
  <w:num w:numId="9">
    <w:abstractNumId w:val="22"/>
  </w:num>
  <w:num w:numId="10">
    <w:abstractNumId w:val="11"/>
  </w:num>
  <w:num w:numId="11">
    <w:abstractNumId w:val="46"/>
  </w:num>
  <w:num w:numId="12">
    <w:abstractNumId w:val="14"/>
  </w:num>
  <w:num w:numId="13">
    <w:abstractNumId w:val="47"/>
  </w:num>
  <w:num w:numId="14">
    <w:abstractNumId w:val="20"/>
  </w:num>
  <w:num w:numId="15">
    <w:abstractNumId w:val="6"/>
  </w:num>
  <w:num w:numId="16">
    <w:abstractNumId w:val="11"/>
  </w:num>
  <w:num w:numId="17">
    <w:abstractNumId w:val="37"/>
  </w:num>
  <w:num w:numId="18">
    <w:abstractNumId w:val="17"/>
  </w:num>
  <w:num w:numId="19">
    <w:abstractNumId w:val="26"/>
  </w:num>
  <w:num w:numId="20">
    <w:abstractNumId w:val="40"/>
  </w:num>
  <w:num w:numId="21">
    <w:abstractNumId w:val="2"/>
  </w:num>
  <w:num w:numId="22">
    <w:abstractNumId w:val="3"/>
  </w:num>
  <w:num w:numId="23">
    <w:abstractNumId w:val="43"/>
  </w:num>
  <w:num w:numId="24">
    <w:abstractNumId w:val="29"/>
  </w:num>
  <w:num w:numId="25">
    <w:abstractNumId w:val="38"/>
  </w:num>
  <w:num w:numId="26">
    <w:abstractNumId w:val="39"/>
  </w:num>
  <w:num w:numId="27">
    <w:abstractNumId w:val="36"/>
  </w:num>
  <w:num w:numId="28">
    <w:abstractNumId w:val="7"/>
  </w:num>
  <w:num w:numId="29">
    <w:abstractNumId w:val="34"/>
  </w:num>
  <w:num w:numId="30">
    <w:abstractNumId w:val="21"/>
  </w:num>
  <w:num w:numId="31">
    <w:abstractNumId w:val="13"/>
  </w:num>
  <w:num w:numId="32">
    <w:abstractNumId w:val="5"/>
  </w:num>
  <w:num w:numId="33">
    <w:abstractNumId w:val="42"/>
  </w:num>
  <w:num w:numId="34">
    <w:abstractNumId w:val="15"/>
  </w:num>
  <w:num w:numId="35">
    <w:abstractNumId w:val="28"/>
  </w:num>
  <w:num w:numId="36">
    <w:abstractNumId w:val="31"/>
  </w:num>
  <w:num w:numId="37">
    <w:abstractNumId w:val="8"/>
  </w:num>
  <w:num w:numId="38">
    <w:abstractNumId w:val="31"/>
  </w:num>
  <w:num w:numId="39">
    <w:abstractNumId w:val="35"/>
  </w:num>
  <w:num w:numId="40">
    <w:abstractNumId w:val="10"/>
  </w:num>
  <w:num w:numId="41">
    <w:abstractNumId w:val="1"/>
  </w:num>
  <w:num w:numId="42">
    <w:abstractNumId w:val="12"/>
  </w:num>
  <w:num w:numId="43">
    <w:abstractNumId w:val="23"/>
  </w:num>
  <w:num w:numId="44">
    <w:abstractNumId w:val="16"/>
  </w:num>
  <w:num w:numId="45">
    <w:abstractNumId w:val="41"/>
  </w:num>
  <w:num w:numId="46">
    <w:abstractNumId w:val="0"/>
  </w:num>
  <w:num w:numId="47">
    <w:abstractNumId w:val="9"/>
  </w:num>
  <w:num w:numId="48">
    <w:abstractNumId w:val="27"/>
  </w:num>
  <w:num w:numId="49">
    <w:abstractNumId w:val="24"/>
  </w:num>
  <w:num w:numId="50">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6"/>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5C3E"/>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59A6"/>
    <w:rsid w:val="00066932"/>
    <w:rsid w:val="000707CA"/>
    <w:rsid w:val="0007208A"/>
    <w:rsid w:val="000720B3"/>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B7D"/>
    <w:rsid w:val="00093C49"/>
    <w:rsid w:val="00095A80"/>
    <w:rsid w:val="000973E1"/>
    <w:rsid w:val="00097ABD"/>
    <w:rsid w:val="000A01EF"/>
    <w:rsid w:val="000A0C27"/>
    <w:rsid w:val="000A1402"/>
    <w:rsid w:val="000A20BA"/>
    <w:rsid w:val="000A262C"/>
    <w:rsid w:val="000A3C8D"/>
    <w:rsid w:val="000A40EC"/>
    <w:rsid w:val="000A4B85"/>
    <w:rsid w:val="000A54EE"/>
    <w:rsid w:val="000A57BE"/>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E79"/>
    <w:rsid w:val="000D3FC3"/>
    <w:rsid w:val="000D40E7"/>
    <w:rsid w:val="000D584F"/>
    <w:rsid w:val="000D620A"/>
    <w:rsid w:val="000D73B5"/>
    <w:rsid w:val="000E0164"/>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07123"/>
    <w:rsid w:val="001103BD"/>
    <w:rsid w:val="00110A1F"/>
    <w:rsid w:val="00111208"/>
    <w:rsid w:val="00111808"/>
    <w:rsid w:val="001125B5"/>
    <w:rsid w:val="0011339F"/>
    <w:rsid w:val="00114E96"/>
    <w:rsid w:val="00115613"/>
    <w:rsid w:val="00115C1A"/>
    <w:rsid w:val="0011672A"/>
    <w:rsid w:val="00117332"/>
    <w:rsid w:val="0011776E"/>
    <w:rsid w:val="001201DD"/>
    <w:rsid w:val="001204DD"/>
    <w:rsid w:val="00120576"/>
    <w:rsid w:val="00122839"/>
    <w:rsid w:val="001237AC"/>
    <w:rsid w:val="001243D9"/>
    <w:rsid w:val="00124C29"/>
    <w:rsid w:val="00124E12"/>
    <w:rsid w:val="0012673D"/>
    <w:rsid w:val="001269B8"/>
    <w:rsid w:val="00127099"/>
    <w:rsid w:val="00127214"/>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104"/>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C8C"/>
    <w:rsid w:val="00266873"/>
    <w:rsid w:val="002673E6"/>
    <w:rsid w:val="00267587"/>
    <w:rsid w:val="00271459"/>
    <w:rsid w:val="00271589"/>
    <w:rsid w:val="00271973"/>
    <w:rsid w:val="00272991"/>
    <w:rsid w:val="00273177"/>
    <w:rsid w:val="00275074"/>
    <w:rsid w:val="002763E9"/>
    <w:rsid w:val="00276736"/>
    <w:rsid w:val="002770D6"/>
    <w:rsid w:val="00277C1E"/>
    <w:rsid w:val="0028070B"/>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FEE"/>
    <w:rsid w:val="00356C0B"/>
    <w:rsid w:val="00356F8B"/>
    <w:rsid w:val="00357B9C"/>
    <w:rsid w:val="0036076D"/>
    <w:rsid w:val="00361412"/>
    <w:rsid w:val="003615CA"/>
    <w:rsid w:val="003642A6"/>
    <w:rsid w:val="00365C23"/>
    <w:rsid w:val="00365FB0"/>
    <w:rsid w:val="00367337"/>
    <w:rsid w:val="00367367"/>
    <w:rsid w:val="00367FD8"/>
    <w:rsid w:val="00370B63"/>
    <w:rsid w:val="00370FCC"/>
    <w:rsid w:val="003711AF"/>
    <w:rsid w:val="00371860"/>
    <w:rsid w:val="00373D7B"/>
    <w:rsid w:val="00374848"/>
    <w:rsid w:val="00375D09"/>
    <w:rsid w:val="0037739D"/>
    <w:rsid w:val="0037751C"/>
    <w:rsid w:val="00380D98"/>
    <w:rsid w:val="00380F3F"/>
    <w:rsid w:val="00381118"/>
    <w:rsid w:val="00382232"/>
    <w:rsid w:val="00382F1A"/>
    <w:rsid w:val="00382FC8"/>
    <w:rsid w:val="00383282"/>
    <w:rsid w:val="00383658"/>
    <w:rsid w:val="00383941"/>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2DD7"/>
    <w:rsid w:val="003F46E2"/>
    <w:rsid w:val="003F4DF9"/>
    <w:rsid w:val="003F5547"/>
    <w:rsid w:val="003F5C40"/>
    <w:rsid w:val="003F6E12"/>
    <w:rsid w:val="003F75ED"/>
    <w:rsid w:val="004002B7"/>
    <w:rsid w:val="00400F31"/>
    <w:rsid w:val="0040502E"/>
    <w:rsid w:val="00405772"/>
    <w:rsid w:val="004065A6"/>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138"/>
    <w:rsid w:val="00461210"/>
    <w:rsid w:val="00461CF7"/>
    <w:rsid w:val="00462490"/>
    <w:rsid w:val="00462AC1"/>
    <w:rsid w:val="004631F4"/>
    <w:rsid w:val="00465299"/>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524"/>
    <w:rsid w:val="00491BE4"/>
    <w:rsid w:val="00491C50"/>
    <w:rsid w:val="00491DB2"/>
    <w:rsid w:val="00492877"/>
    <w:rsid w:val="00493AB8"/>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A7A40"/>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E7DA1"/>
    <w:rsid w:val="004F0224"/>
    <w:rsid w:val="004F0A45"/>
    <w:rsid w:val="004F0DB4"/>
    <w:rsid w:val="004F0E04"/>
    <w:rsid w:val="004F1EBC"/>
    <w:rsid w:val="004F20E8"/>
    <w:rsid w:val="004F3B71"/>
    <w:rsid w:val="004F5154"/>
    <w:rsid w:val="004F5835"/>
    <w:rsid w:val="004F5CB7"/>
    <w:rsid w:val="004F661C"/>
    <w:rsid w:val="004F6D99"/>
    <w:rsid w:val="004F7BCE"/>
    <w:rsid w:val="004F7CE5"/>
    <w:rsid w:val="004F7E79"/>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5AA"/>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12CE"/>
    <w:rsid w:val="005420DE"/>
    <w:rsid w:val="00542121"/>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308E"/>
    <w:rsid w:val="0056415C"/>
    <w:rsid w:val="005649BF"/>
    <w:rsid w:val="005650ED"/>
    <w:rsid w:val="00565869"/>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2715"/>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560E"/>
    <w:rsid w:val="005B609E"/>
    <w:rsid w:val="005B6C7D"/>
    <w:rsid w:val="005B6DF6"/>
    <w:rsid w:val="005B7423"/>
    <w:rsid w:val="005B78A0"/>
    <w:rsid w:val="005B7B7D"/>
    <w:rsid w:val="005B7D5E"/>
    <w:rsid w:val="005C1948"/>
    <w:rsid w:val="005C263C"/>
    <w:rsid w:val="005C2679"/>
    <w:rsid w:val="005C27CB"/>
    <w:rsid w:val="005C2918"/>
    <w:rsid w:val="005C3D14"/>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3E0"/>
    <w:rsid w:val="0061567B"/>
    <w:rsid w:val="00616913"/>
    <w:rsid w:val="0061700D"/>
    <w:rsid w:val="00620244"/>
    <w:rsid w:val="0062152A"/>
    <w:rsid w:val="00623583"/>
    <w:rsid w:val="0062462F"/>
    <w:rsid w:val="00624BA1"/>
    <w:rsid w:val="00625CA2"/>
    <w:rsid w:val="006262D0"/>
    <w:rsid w:val="0062647B"/>
    <w:rsid w:val="006265E1"/>
    <w:rsid w:val="0062661B"/>
    <w:rsid w:val="00630118"/>
    <w:rsid w:val="00630957"/>
    <w:rsid w:val="006310AE"/>
    <w:rsid w:val="00632196"/>
    <w:rsid w:val="00633BF2"/>
    <w:rsid w:val="00633F67"/>
    <w:rsid w:val="006345C3"/>
    <w:rsid w:val="006362F9"/>
    <w:rsid w:val="006373CD"/>
    <w:rsid w:val="00637B6B"/>
    <w:rsid w:val="00640C67"/>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0306"/>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31BD"/>
    <w:rsid w:val="00685B9B"/>
    <w:rsid w:val="006867B6"/>
    <w:rsid w:val="00690E2E"/>
    <w:rsid w:val="00691DA7"/>
    <w:rsid w:val="00692814"/>
    <w:rsid w:val="006932E7"/>
    <w:rsid w:val="00693347"/>
    <w:rsid w:val="0069334C"/>
    <w:rsid w:val="00695C8E"/>
    <w:rsid w:val="006969E4"/>
    <w:rsid w:val="00696D63"/>
    <w:rsid w:val="006A032F"/>
    <w:rsid w:val="006A0C04"/>
    <w:rsid w:val="006A41AE"/>
    <w:rsid w:val="006A42AF"/>
    <w:rsid w:val="006A4856"/>
    <w:rsid w:val="006A564B"/>
    <w:rsid w:val="006A6D05"/>
    <w:rsid w:val="006B1545"/>
    <w:rsid w:val="006B2DA7"/>
    <w:rsid w:val="006B2F4D"/>
    <w:rsid w:val="006B32E5"/>
    <w:rsid w:val="006B3682"/>
    <w:rsid w:val="006B48CB"/>
    <w:rsid w:val="006B5758"/>
    <w:rsid w:val="006B67E9"/>
    <w:rsid w:val="006B6EAB"/>
    <w:rsid w:val="006C1445"/>
    <w:rsid w:val="006C1DD5"/>
    <w:rsid w:val="006C282D"/>
    <w:rsid w:val="006C28C8"/>
    <w:rsid w:val="006C2DEB"/>
    <w:rsid w:val="006C4E7E"/>
    <w:rsid w:val="006C4FC1"/>
    <w:rsid w:val="006C51A5"/>
    <w:rsid w:val="006C529D"/>
    <w:rsid w:val="006C67C3"/>
    <w:rsid w:val="006C758B"/>
    <w:rsid w:val="006C770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07D38"/>
    <w:rsid w:val="00710A42"/>
    <w:rsid w:val="0071118B"/>
    <w:rsid w:val="00711E13"/>
    <w:rsid w:val="007122FD"/>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3BB5"/>
    <w:rsid w:val="00753BC9"/>
    <w:rsid w:val="00754374"/>
    <w:rsid w:val="007555D1"/>
    <w:rsid w:val="0075654F"/>
    <w:rsid w:val="00756832"/>
    <w:rsid w:val="0076218F"/>
    <w:rsid w:val="007626D0"/>
    <w:rsid w:val="007650EF"/>
    <w:rsid w:val="007651CA"/>
    <w:rsid w:val="00766936"/>
    <w:rsid w:val="00767519"/>
    <w:rsid w:val="007704E1"/>
    <w:rsid w:val="00770555"/>
    <w:rsid w:val="007707A4"/>
    <w:rsid w:val="00771560"/>
    <w:rsid w:val="00772569"/>
    <w:rsid w:val="00772E8C"/>
    <w:rsid w:val="00773499"/>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661"/>
    <w:rsid w:val="007A39DF"/>
    <w:rsid w:val="007A3D28"/>
    <w:rsid w:val="007A43ED"/>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698"/>
    <w:rsid w:val="008221FE"/>
    <w:rsid w:val="00822614"/>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1A3"/>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688A"/>
    <w:rsid w:val="008F759E"/>
    <w:rsid w:val="00900001"/>
    <w:rsid w:val="0090063D"/>
    <w:rsid w:val="009006A2"/>
    <w:rsid w:val="0090102B"/>
    <w:rsid w:val="00901448"/>
    <w:rsid w:val="009036BC"/>
    <w:rsid w:val="009040DC"/>
    <w:rsid w:val="009042FD"/>
    <w:rsid w:val="009048E9"/>
    <w:rsid w:val="00905C47"/>
    <w:rsid w:val="00906379"/>
    <w:rsid w:val="00906E66"/>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F61"/>
    <w:rsid w:val="0093123D"/>
    <w:rsid w:val="0093150B"/>
    <w:rsid w:val="00933040"/>
    <w:rsid w:val="009330E9"/>
    <w:rsid w:val="009341BB"/>
    <w:rsid w:val="00934E72"/>
    <w:rsid w:val="00935482"/>
    <w:rsid w:val="00935809"/>
    <w:rsid w:val="00935D15"/>
    <w:rsid w:val="00936859"/>
    <w:rsid w:val="00937F60"/>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87848"/>
    <w:rsid w:val="00990951"/>
    <w:rsid w:val="00990C0E"/>
    <w:rsid w:val="00990D75"/>
    <w:rsid w:val="00991093"/>
    <w:rsid w:val="0099163B"/>
    <w:rsid w:val="00992343"/>
    <w:rsid w:val="00995FA8"/>
    <w:rsid w:val="00996306"/>
    <w:rsid w:val="00996744"/>
    <w:rsid w:val="00997CF4"/>
    <w:rsid w:val="00997F9F"/>
    <w:rsid w:val="009A04D0"/>
    <w:rsid w:val="009A0809"/>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3C49"/>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1BFC"/>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3885"/>
    <w:rsid w:val="00A344A5"/>
    <w:rsid w:val="00A346C3"/>
    <w:rsid w:val="00A355D7"/>
    <w:rsid w:val="00A37A8F"/>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3A16"/>
    <w:rsid w:val="00A64B72"/>
    <w:rsid w:val="00A65A70"/>
    <w:rsid w:val="00A66F36"/>
    <w:rsid w:val="00A67349"/>
    <w:rsid w:val="00A676D9"/>
    <w:rsid w:val="00A67EFC"/>
    <w:rsid w:val="00A7031E"/>
    <w:rsid w:val="00A71140"/>
    <w:rsid w:val="00A72EA4"/>
    <w:rsid w:val="00A74692"/>
    <w:rsid w:val="00A7618B"/>
    <w:rsid w:val="00A762B8"/>
    <w:rsid w:val="00A7640B"/>
    <w:rsid w:val="00A77773"/>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5E7D"/>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356"/>
    <w:rsid w:val="00AB6601"/>
    <w:rsid w:val="00AB674E"/>
    <w:rsid w:val="00AC02C1"/>
    <w:rsid w:val="00AC0AB6"/>
    <w:rsid w:val="00AC10AD"/>
    <w:rsid w:val="00AC1E55"/>
    <w:rsid w:val="00AC429F"/>
    <w:rsid w:val="00AC4B28"/>
    <w:rsid w:val="00AC5373"/>
    <w:rsid w:val="00AC60B4"/>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40D"/>
    <w:rsid w:val="00B04F3D"/>
    <w:rsid w:val="00B05702"/>
    <w:rsid w:val="00B06726"/>
    <w:rsid w:val="00B06DD9"/>
    <w:rsid w:val="00B07CD6"/>
    <w:rsid w:val="00B07E52"/>
    <w:rsid w:val="00B10010"/>
    <w:rsid w:val="00B1053C"/>
    <w:rsid w:val="00B11692"/>
    <w:rsid w:val="00B11775"/>
    <w:rsid w:val="00B1302D"/>
    <w:rsid w:val="00B1513F"/>
    <w:rsid w:val="00B15B89"/>
    <w:rsid w:val="00B16EDD"/>
    <w:rsid w:val="00B16F8A"/>
    <w:rsid w:val="00B1746F"/>
    <w:rsid w:val="00B20725"/>
    <w:rsid w:val="00B22550"/>
    <w:rsid w:val="00B22C1B"/>
    <w:rsid w:val="00B232D0"/>
    <w:rsid w:val="00B24BC2"/>
    <w:rsid w:val="00B25312"/>
    <w:rsid w:val="00B25E0D"/>
    <w:rsid w:val="00B26203"/>
    <w:rsid w:val="00B2628E"/>
    <w:rsid w:val="00B26678"/>
    <w:rsid w:val="00B266B0"/>
    <w:rsid w:val="00B273F1"/>
    <w:rsid w:val="00B27921"/>
    <w:rsid w:val="00B27C1B"/>
    <w:rsid w:val="00B3000E"/>
    <w:rsid w:val="00B326A8"/>
    <w:rsid w:val="00B329EB"/>
    <w:rsid w:val="00B33508"/>
    <w:rsid w:val="00B3377E"/>
    <w:rsid w:val="00B337E8"/>
    <w:rsid w:val="00B3445F"/>
    <w:rsid w:val="00B35DA4"/>
    <w:rsid w:val="00B37E59"/>
    <w:rsid w:val="00B40A42"/>
    <w:rsid w:val="00B40A96"/>
    <w:rsid w:val="00B422A7"/>
    <w:rsid w:val="00B42A32"/>
    <w:rsid w:val="00B42B38"/>
    <w:rsid w:val="00B42FA6"/>
    <w:rsid w:val="00B4399E"/>
    <w:rsid w:val="00B43A16"/>
    <w:rsid w:val="00B44B02"/>
    <w:rsid w:val="00B44DA5"/>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838"/>
    <w:rsid w:val="00B639D7"/>
    <w:rsid w:val="00B65F50"/>
    <w:rsid w:val="00B66AC8"/>
    <w:rsid w:val="00B67805"/>
    <w:rsid w:val="00B67C99"/>
    <w:rsid w:val="00B71E6B"/>
    <w:rsid w:val="00B721CD"/>
    <w:rsid w:val="00B723F0"/>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42B7"/>
    <w:rsid w:val="00BA53E0"/>
    <w:rsid w:val="00BA5FC5"/>
    <w:rsid w:val="00BA76A9"/>
    <w:rsid w:val="00BB37EE"/>
    <w:rsid w:val="00BB3E2B"/>
    <w:rsid w:val="00BB5D1C"/>
    <w:rsid w:val="00BB634D"/>
    <w:rsid w:val="00BB6552"/>
    <w:rsid w:val="00BB659E"/>
    <w:rsid w:val="00BB6B9B"/>
    <w:rsid w:val="00BB710B"/>
    <w:rsid w:val="00BB73AE"/>
    <w:rsid w:val="00BB754F"/>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0379"/>
    <w:rsid w:val="00C02C5B"/>
    <w:rsid w:val="00C03309"/>
    <w:rsid w:val="00C06246"/>
    <w:rsid w:val="00C072FE"/>
    <w:rsid w:val="00C1102F"/>
    <w:rsid w:val="00C12E39"/>
    <w:rsid w:val="00C14164"/>
    <w:rsid w:val="00C15D8E"/>
    <w:rsid w:val="00C162A2"/>
    <w:rsid w:val="00C17012"/>
    <w:rsid w:val="00C17259"/>
    <w:rsid w:val="00C178FB"/>
    <w:rsid w:val="00C20CB9"/>
    <w:rsid w:val="00C243D0"/>
    <w:rsid w:val="00C257B7"/>
    <w:rsid w:val="00C272E8"/>
    <w:rsid w:val="00C3239F"/>
    <w:rsid w:val="00C32B47"/>
    <w:rsid w:val="00C33359"/>
    <w:rsid w:val="00C3357A"/>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562FD"/>
    <w:rsid w:val="00C611EC"/>
    <w:rsid w:val="00C61854"/>
    <w:rsid w:val="00C61D4B"/>
    <w:rsid w:val="00C62B0A"/>
    <w:rsid w:val="00C634C4"/>
    <w:rsid w:val="00C63F08"/>
    <w:rsid w:val="00C64415"/>
    <w:rsid w:val="00C64520"/>
    <w:rsid w:val="00C64BD7"/>
    <w:rsid w:val="00C6528C"/>
    <w:rsid w:val="00C659E5"/>
    <w:rsid w:val="00C65B95"/>
    <w:rsid w:val="00C661E8"/>
    <w:rsid w:val="00C70084"/>
    <w:rsid w:val="00C70DC4"/>
    <w:rsid w:val="00C70E45"/>
    <w:rsid w:val="00C7235B"/>
    <w:rsid w:val="00C72E18"/>
    <w:rsid w:val="00C731AD"/>
    <w:rsid w:val="00C7380B"/>
    <w:rsid w:val="00C74421"/>
    <w:rsid w:val="00C75F2F"/>
    <w:rsid w:val="00C75FEE"/>
    <w:rsid w:val="00C764CE"/>
    <w:rsid w:val="00C76F1D"/>
    <w:rsid w:val="00C77771"/>
    <w:rsid w:val="00C77D26"/>
    <w:rsid w:val="00C802E4"/>
    <w:rsid w:val="00C809E1"/>
    <w:rsid w:val="00C84D39"/>
    <w:rsid w:val="00C85217"/>
    <w:rsid w:val="00C85277"/>
    <w:rsid w:val="00C85D76"/>
    <w:rsid w:val="00C86F9C"/>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E6FA6"/>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00E"/>
    <w:rsid w:val="00D15E7E"/>
    <w:rsid w:val="00D16337"/>
    <w:rsid w:val="00D20016"/>
    <w:rsid w:val="00D207A7"/>
    <w:rsid w:val="00D2171F"/>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4CE"/>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0DA"/>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357B"/>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51C"/>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791"/>
    <w:rsid w:val="00E319DB"/>
    <w:rsid w:val="00E31AFC"/>
    <w:rsid w:val="00E31FD4"/>
    <w:rsid w:val="00E3206E"/>
    <w:rsid w:val="00E3409E"/>
    <w:rsid w:val="00E34F76"/>
    <w:rsid w:val="00E3564E"/>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4D87"/>
    <w:rsid w:val="00ED6D4A"/>
    <w:rsid w:val="00ED738C"/>
    <w:rsid w:val="00ED7918"/>
    <w:rsid w:val="00ED7C87"/>
    <w:rsid w:val="00ED7FD3"/>
    <w:rsid w:val="00EE102F"/>
    <w:rsid w:val="00EE13F3"/>
    <w:rsid w:val="00EE3663"/>
    <w:rsid w:val="00EE41C4"/>
    <w:rsid w:val="00EE4D3E"/>
    <w:rsid w:val="00EE5300"/>
    <w:rsid w:val="00EE60EC"/>
    <w:rsid w:val="00EE64D4"/>
    <w:rsid w:val="00EE76A9"/>
    <w:rsid w:val="00EE799E"/>
    <w:rsid w:val="00EE7CA8"/>
    <w:rsid w:val="00EE7FA7"/>
    <w:rsid w:val="00EF1093"/>
    <w:rsid w:val="00EF15B1"/>
    <w:rsid w:val="00EF1FCB"/>
    <w:rsid w:val="00EF21C3"/>
    <w:rsid w:val="00EF2E6B"/>
    <w:rsid w:val="00EF329B"/>
    <w:rsid w:val="00EF3AB1"/>
    <w:rsid w:val="00EF40F3"/>
    <w:rsid w:val="00EF4533"/>
    <w:rsid w:val="00EF54E0"/>
    <w:rsid w:val="00EF5EC3"/>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10BD"/>
    <w:rsid w:val="00F52339"/>
    <w:rsid w:val="00F5277A"/>
    <w:rsid w:val="00F532E8"/>
    <w:rsid w:val="00F537FF"/>
    <w:rsid w:val="00F54EA8"/>
    <w:rsid w:val="00F560FE"/>
    <w:rsid w:val="00F567DD"/>
    <w:rsid w:val="00F56F8D"/>
    <w:rsid w:val="00F571E0"/>
    <w:rsid w:val="00F6092F"/>
    <w:rsid w:val="00F6111C"/>
    <w:rsid w:val="00F614C0"/>
    <w:rsid w:val="00F61647"/>
    <w:rsid w:val="00F657CF"/>
    <w:rsid w:val="00F669EC"/>
    <w:rsid w:val="00F66A00"/>
    <w:rsid w:val="00F67DF6"/>
    <w:rsid w:val="00F67F00"/>
    <w:rsid w:val="00F7072E"/>
    <w:rsid w:val="00F70974"/>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46DA"/>
    <w:rsid w:val="00F85691"/>
    <w:rsid w:val="00F87032"/>
    <w:rsid w:val="00F87094"/>
    <w:rsid w:val="00F87AB3"/>
    <w:rsid w:val="00F90994"/>
    <w:rsid w:val="00F913DC"/>
    <w:rsid w:val="00F91DDA"/>
    <w:rsid w:val="00F9312D"/>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7A"/>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2398"/>
    <w:rsid w:val="00FE515A"/>
    <w:rsid w:val="00FE5624"/>
    <w:rsid w:val="00FE5AC8"/>
    <w:rsid w:val="00FE5D2C"/>
    <w:rsid w:val="00FE5FBF"/>
    <w:rsid w:val="00FE6C25"/>
    <w:rsid w:val="00FF033A"/>
    <w:rsid w:val="00FF0964"/>
    <w:rsid w:val="00FF16F2"/>
    <w:rsid w:val="00FF1E4D"/>
    <w:rsid w:val="00FF201C"/>
    <w:rsid w:val="00FF246F"/>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00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000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0001"/>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Ty&#246;hakemisto\Ty&#246;hakemisto_CIC\3GPP%20work\Meetings\RAN%20WG1\RAN1%2393\draft\Docs\R1-1805651.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FAEE5-8AAA-467E-BF37-04B4B3EDD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1444</Words>
  <Characters>11701</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2018-05-11T17:35:00Z</dcterms:created>
  <dcterms:modified xsi:type="dcterms:W3CDTF">2018-05-11T17:35:00Z</dcterms:modified>
</cp:coreProperties>
</file>