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7F56B72E" w:rsidR="0051221F" w:rsidRPr="00E106C5" w:rsidRDefault="00F53F50" w:rsidP="0051221F">
      <w:pPr>
        <w:tabs>
          <w:tab w:val="center" w:pos="4536"/>
          <w:tab w:val="right" w:pos="9356"/>
          <w:tab w:val="right" w:pos="9639"/>
        </w:tabs>
        <w:spacing w:after="0"/>
        <w:rPr>
          <w:rFonts w:ascii="Arial" w:hAnsi="Arial" w:cs="Arial"/>
          <w:b/>
          <w:bCs/>
          <w:sz w:val="24"/>
        </w:rPr>
      </w:pPr>
      <w:bookmarkStart w:id="0" w:name="_GoBack"/>
      <w:bookmarkEnd w:id="0"/>
      <w:r>
        <w:rPr>
          <w:rFonts w:ascii="Arial" w:hAnsi="Arial" w:cs="Arial"/>
          <w:b/>
          <w:bCs/>
          <w:sz w:val="24"/>
        </w:rPr>
        <w:t>3GPP TSG RAN WG1 Meeting #93</w:t>
      </w:r>
      <w:r w:rsidR="0051221F" w:rsidRPr="00E106C5">
        <w:rPr>
          <w:rFonts w:ascii="Arial" w:hAnsi="Arial" w:cs="Arial"/>
          <w:b/>
          <w:bCs/>
          <w:sz w:val="24"/>
        </w:rPr>
        <w:t xml:space="preserve">           </w:t>
      </w:r>
      <w:r w:rsidR="0051221F">
        <w:rPr>
          <w:rFonts w:ascii="Arial" w:hAnsi="Arial" w:cs="Arial"/>
          <w:b/>
          <w:bCs/>
          <w:sz w:val="24"/>
        </w:rPr>
        <w:tab/>
      </w:r>
      <w:r w:rsidR="0051221F" w:rsidRPr="00BD0E81">
        <w:rPr>
          <w:rFonts w:ascii="Arial" w:hAnsi="Arial" w:cs="Arial"/>
          <w:b/>
          <w:bCs/>
          <w:sz w:val="24"/>
        </w:rPr>
        <w:t>R1-</w:t>
      </w:r>
      <w:r w:rsidR="00A24C26">
        <w:rPr>
          <w:rFonts w:ascii="Arial" w:hAnsi="Arial" w:cs="Arial"/>
          <w:b/>
          <w:bCs/>
          <w:sz w:val="24"/>
        </w:rPr>
        <w:t>180</w:t>
      </w:r>
      <w:r w:rsidR="00115E0A">
        <w:rPr>
          <w:rFonts w:ascii="Arial" w:hAnsi="Arial" w:cs="Arial"/>
          <w:b/>
          <w:bCs/>
          <w:sz w:val="24"/>
        </w:rPr>
        <w:t>6110</w:t>
      </w:r>
    </w:p>
    <w:p w14:paraId="4E847B5D" w14:textId="631AC939" w:rsidR="006B10EA" w:rsidRDefault="00C52FA3" w:rsidP="00CA26CE">
      <w:pPr>
        <w:pStyle w:val="Header"/>
        <w:rPr>
          <w:rFonts w:eastAsia="MS Mincho" w:cs="Arial"/>
          <w:bCs/>
          <w:sz w:val="24"/>
          <w:szCs w:val="24"/>
          <w:lang w:eastAsia="ja-JP"/>
        </w:rPr>
      </w:pPr>
      <w:r>
        <w:rPr>
          <w:rFonts w:cs="Arial"/>
          <w:bCs/>
          <w:sz w:val="24"/>
          <w:szCs w:val="24"/>
        </w:rPr>
        <w:t>Busan, Korea, May 21</w:t>
      </w:r>
      <w:r>
        <w:rPr>
          <w:rFonts w:cs="Arial"/>
          <w:bCs/>
          <w:sz w:val="24"/>
          <w:szCs w:val="24"/>
          <w:vertAlign w:val="superscript"/>
        </w:rPr>
        <w:t>st</w:t>
      </w:r>
      <w:r>
        <w:rPr>
          <w:rFonts w:cs="Arial"/>
          <w:bCs/>
          <w:sz w:val="24"/>
          <w:szCs w:val="24"/>
        </w:rPr>
        <w:t xml:space="preserve"> – 25</w:t>
      </w:r>
      <w:r w:rsidRPr="00CE5F51">
        <w:rPr>
          <w:rFonts w:cs="Arial"/>
          <w:bCs/>
          <w:sz w:val="24"/>
          <w:szCs w:val="24"/>
          <w:vertAlign w:val="superscript"/>
        </w:rPr>
        <w:t>th</w:t>
      </w:r>
      <w:r>
        <w:rPr>
          <w:rFonts w:cs="Arial"/>
          <w:bCs/>
          <w:sz w:val="24"/>
          <w:szCs w:val="24"/>
        </w:rPr>
        <w:t>, 2</w:t>
      </w:r>
      <w:r w:rsidRPr="00CA1F91">
        <w:rPr>
          <w:rFonts w:cs="Arial"/>
          <w:bCs/>
          <w:sz w:val="24"/>
          <w:szCs w:val="24"/>
        </w:rPr>
        <w:t>01</w:t>
      </w:r>
      <w:r>
        <w:rPr>
          <w:rFonts w:eastAsia="MS Mincho" w:cs="Arial"/>
          <w:bCs/>
          <w:sz w:val="24"/>
          <w:szCs w:val="24"/>
          <w:lang w:eastAsia="ja-JP"/>
        </w:rPr>
        <w:t>8</w:t>
      </w:r>
    </w:p>
    <w:p w14:paraId="15A689C5" w14:textId="77777777" w:rsidR="00C52FA3" w:rsidRPr="0016316A" w:rsidRDefault="00C52FA3" w:rsidP="00CA26CE">
      <w:pPr>
        <w:pStyle w:val="Header"/>
        <w:rPr>
          <w:bCs/>
          <w:noProof w:val="0"/>
          <w:sz w:val="24"/>
          <w:lang w:val="en-GB" w:eastAsia="ja-JP"/>
        </w:rPr>
      </w:pPr>
    </w:p>
    <w:p w14:paraId="08AC4AD5" w14:textId="202FE59F"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6B10EA">
        <w:rPr>
          <w:rFonts w:eastAsia="SimSun" w:cs="Arial"/>
          <w:b/>
          <w:bCs/>
          <w:sz w:val="24"/>
        </w:rPr>
        <w:t>6.4</w:t>
      </w:r>
      <w:r w:rsidR="00F53F50">
        <w:rPr>
          <w:rFonts w:eastAsia="SimSun" w:cs="Arial"/>
          <w:b/>
          <w:bCs/>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411D8A61"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F53F50">
        <w:rPr>
          <w:rFonts w:ascii="Arial" w:hAnsi="Arial" w:cs="Arial"/>
          <w:b/>
          <w:bCs/>
          <w:sz w:val="24"/>
        </w:rPr>
        <w:t>HARQ enhancements</w:t>
      </w:r>
      <w:r w:rsidR="00A24C26">
        <w:rPr>
          <w:rFonts w:ascii="Arial" w:hAnsi="Arial" w:cs="Arial"/>
          <w:b/>
          <w:bCs/>
          <w:sz w:val="24"/>
        </w:rPr>
        <w:t xml:space="preserve"> </w:t>
      </w:r>
      <w:r w:rsidR="006B10EA" w:rsidRPr="006B10EA">
        <w:rPr>
          <w:rFonts w:ascii="Arial" w:hAnsi="Arial" w:cs="Arial"/>
          <w:b/>
          <w:bCs/>
          <w:sz w:val="24"/>
        </w:rPr>
        <w:t>for NR unlicensed</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62C2B8EF" w14:textId="3445E6AA" w:rsidR="00EF58AE" w:rsidRPr="007F171F" w:rsidRDefault="1CEFF1BD" w:rsidP="00F53F50">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r w:rsidR="007F171F">
        <w:rPr>
          <w:rFonts w:eastAsia="Times New Roman"/>
          <w:lang w:val="en-US" w:eastAsia="fi-FI"/>
        </w:rPr>
        <w:t xml:space="preserve"> </w:t>
      </w:r>
      <w:r w:rsidR="00A23069">
        <w:rPr>
          <w:rFonts w:eastAsia="Times New Roman"/>
          <w:szCs w:val="24"/>
          <w:lang w:val="en-US" w:eastAsia="fi-FI"/>
        </w:rPr>
        <w:t>In this contribution</w:t>
      </w:r>
      <w:r w:rsidR="00CC36D2">
        <w:rPr>
          <w:rFonts w:eastAsia="Times New Roman"/>
          <w:szCs w:val="24"/>
          <w:lang w:val="en-US" w:eastAsia="fi-FI"/>
        </w:rPr>
        <w:t>,</w:t>
      </w:r>
      <w:r w:rsidR="00A23069">
        <w:rPr>
          <w:rFonts w:eastAsia="Times New Roman"/>
          <w:szCs w:val="24"/>
          <w:lang w:val="en-US" w:eastAsia="fi-FI"/>
        </w:rPr>
        <w:t xml:space="preserve"> we consider p</w:t>
      </w:r>
      <w:r w:rsidR="00A23069" w:rsidRPr="00A23069">
        <w:rPr>
          <w:rFonts w:eastAsia="Times New Roman"/>
          <w:szCs w:val="24"/>
          <w:lang w:val="en-US" w:eastAsia="fi-FI"/>
        </w:rPr>
        <w:t xml:space="preserve">otential </w:t>
      </w:r>
      <w:r w:rsidR="00344E96">
        <w:rPr>
          <w:rFonts w:eastAsia="Times New Roman"/>
          <w:szCs w:val="24"/>
          <w:lang w:val="en-US" w:eastAsia="fi-FI"/>
        </w:rPr>
        <w:t>changes and enhanc</w:t>
      </w:r>
      <w:r w:rsidR="00F53F50">
        <w:rPr>
          <w:rFonts w:eastAsia="Times New Roman"/>
          <w:szCs w:val="24"/>
          <w:lang w:val="en-US" w:eastAsia="fi-FI"/>
        </w:rPr>
        <w:t>ements needed for HARQ feedback and scheduling</w:t>
      </w:r>
      <w:r w:rsidR="00344E96">
        <w:rPr>
          <w:rFonts w:eastAsia="Times New Roman"/>
          <w:szCs w:val="24"/>
          <w:lang w:val="en-US" w:eastAsia="fi-FI"/>
        </w:rPr>
        <w:t xml:space="preserve"> </w:t>
      </w:r>
      <w:r w:rsidR="00A23069" w:rsidRPr="00A23069">
        <w:rPr>
          <w:rFonts w:eastAsia="Times New Roman"/>
          <w:szCs w:val="24"/>
          <w:lang w:val="en-US" w:eastAsia="fi-FI"/>
        </w:rPr>
        <w:t>for NR unlicensed</w:t>
      </w:r>
      <w:r w:rsidR="00A23069">
        <w:rPr>
          <w:rFonts w:eastAsia="Times New Roman"/>
          <w:szCs w:val="24"/>
          <w:lang w:val="en-US" w:eastAsia="fi-FI"/>
        </w:rPr>
        <w:t xml:space="preserve"> scenari</w:t>
      </w:r>
      <w:r w:rsidR="002A58F3">
        <w:rPr>
          <w:rFonts w:eastAsia="Times New Roman"/>
          <w:szCs w:val="24"/>
          <w:lang w:val="en-US" w:eastAsia="fi-FI"/>
        </w:rPr>
        <w:t xml:space="preserve">os. </w:t>
      </w:r>
      <w:r w:rsidR="00135400">
        <w:rPr>
          <w:rFonts w:eastAsia="Times New Roman"/>
          <w:szCs w:val="24"/>
          <w:lang w:val="en-US" w:eastAsia="fi-FI"/>
        </w:rPr>
        <w:t>It was agreed in RAN1#92bis to “</w:t>
      </w:r>
      <w:r w:rsidR="00135400" w:rsidRPr="001F14C7">
        <w:rPr>
          <w:rFonts w:eastAsia="Times New Roman"/>
          <w:i/>
          <w:szCs w:val="24"/>
          <w:lang w:val="en-US" w:eastAsia="fi-FI"/>
        </w:rPr>
        <w:t>Study possible enhancements for HARQ operation</w:t>
      </w:r>
      <w:r w:rsidR="00135400">
        <w:rPr>
          <w:rFonts w:eastAsia="Times New Roman"/>
          <w:szCs w:val="24"/>
          <w:lang w:val="en-US" w:eastAsia="fi-FI"/>
        </w:rPr>
        <w:t>” [2].</w:t>
      </w:r>
    </w:p>
    <w:p w14:paraId="62CC85E5" w14:textId="774CFD00" w:rsidR="0099103B" w:rsidRDefault="0099103B" w:rsidP="0099103B">
      <w:pPr>
        <w:pStyle w:val="Heading1"/>
        <w:rPr>
          <w:color w:val="000000"/>
        </w:rPr>
      </w:pPr>
      <w:r>
        <w:rPr>
          <w:color w:val="000000"/>
        </w:rPr>
        <w:t xml:space="preserve">2. </w:t>
      </w:r>
      <w:r w:rsidR="007F171F">
        <w:rPr>
          <w:color w:val="000000"/>
        </w:rPr>
        <w:t>Discussion</w:t>
      </w:r>
    </w:p>
    <w:p w14:paraId="7ADED6DD" w14:textId="76886459" w:rsidR="007F171F" w:rsidRPr="007F171F" w:rsidRDefault="007F171F" w:rsidP="007F171F">
      <w:pPr>
        <w:pStyle w:val="Heading2"/>
      </w:pPr>
      <w:r>
        <w:t>2.1 UL scheduling</w:t>
      </w:r>
    </w:p>
    <w:p w14:paraId="229D9E1A" w14:textId="77777777" w:rsidR="007F171F" w:rsidRDefault="007F171F" w:rsidP="00BD520C">
      <w:pPr>
        <w:spacing w:after="120"/>
        <w:jc w:val="both"/>
      </w:pPr>
      <w:r>
        <w:t xml:space="preserve">NR unlicensed can be expected to be deployed on small cells due to limitations on the total transmission power as well as on the allowed EIRP. In a small cell, frequently there may be only few UEs active at a time. This means that variations on the DL / UL traffic ratio can be expected to be large to the extent that occasionally a cell may serve effectively only UL traffic or only DL traffic. </w:t>
      </w:r>
    </w:p>
    <w:p w14:paraId="78A3FCD0" w14:textId="032AEDC8" w:rsidR="00A7591D" w:rsidRDefault="007F171F" w:rsidP="00DC7773">
      <w:pPr>
        <w:widowControl w:val="0"/>
        <w:overflowPunct/>
        <w:autoSpaceDE/>
        <w:autoSpaceDN/>
        <w:adjustRightInd/>
        <w:jc w:val="both"/>
        <w:textAlignment w:val="auto"/>
        <w:rPr>
          <w:lang w:val="en-US"/>
        </w:rPr>
      </w:pPr>
      <w:r>
        <w:t>In RAN1#92bis [2], it was agreed to s</w:t>
      </w:r>
      <w:proofErr w:type="spellStart"/>
      <w:r>
        <w:rPr>
          <w:lang w:val="en-US"/>
        </w:rPr>
        <w:t>tudy</w:t>
      </w:r>
      <w:proofErr w:type="spellEnd"/>
      <w:r>
        <w:rPr>
          <w:lang w:val="en-US"/>
        </w:rPr>
        <w:t xml:space="preserve"> the support for</w:t>
      </w:r>
      <w:r w:rsidRPr="0001199A">
        <w:rPr>
          <w:lang w:val="en-US"/>
        </w:rPr>
        <w:t xml:space="preserve"> more than on</w:t>
      </w:r>
      <w:r w:rsidR="004165AB">
        <w:rPr>
          <w:lang w:val="en-US"/>
        </w:rPr>
        <w:t>e switching points within a COT. Efficient support for COT</w:t>
      </w:r>
      <w:r w:rsidR="004035FF">
        <w:rPr>
          <w:lang w:val="en-US"/>
        </w:rPr>
        <w:t xml:space="preserve"> with a single switching point needs also to be investigated. Single sw</w:t>
      </w:r>
      <w:r w:rsidR="004165AB">
        <w:rPr>
          <w:lang w:val="en-US"/>
        </w:rPr>
        <w:t>itching point per COT</w:t>
      </w:r>
      <w:r w:rsidR="004035FF">
        <w:rPr>
          <w:lang w:val="en-US"/>
        </w:rPr>
        <w:t xml:space="preserve"> together with only</w:t>
      </w:r>
      <w:r w:rsidR="008D700C">
        <w:rPr>
          <w:lang w:val="en-US"/>
        </w:rPr>
        <w:t xml:space="preserve"> few scheduled UEs can lead to </w:t>
      </w:r>
      <w:r w:rsidR="004165AB">
        <w:rPr>
          <w:lang w:val="en-US"/>
        </w:rPr>
        <w:t>COT</w:t>
      </w:r>
      <w:r w:rsidR="008D700C">
        <w:rPr>
          <w:lang w:val="en-US"/>
        </w:rPr>
        <w:t xml:space="preserve"> with short DL portion and long contiguous UL portion with each UE scheduled with multiple PUSCHs in the consecutive slots. In Rel-15 NR,</w:t>
      </w:r>
      <w:r w:rsidR="00345BCF">
        <w:rPr>
          <w:lang w:val="en-US"/>
        </w:rPr>
        <w:t xml:space="preserve"> multi-slot TTI with different TB per slot is not supported,</w:t>
      </w:r>
      <w:r w:rsidR="008D700C">
        <w:rPr>
          <w:lang w:val="en-US"/>
        </w:rPr>
        <w:t xml:space="preserve"> each PUSCH </w:t>
      </w:r>
      <w:r w:rsidR="00C16FE0">
        <w:rPr>
          <w:lang w:val="en-US"/>
        </w:rPr>
        <w:t>is</w:t>
      </w:r>
      <w:r w:rsidR="00345BCF">
        <w:rPr>
          <w:lang w:val="en-US"/>
        </w:rPr>
        <w:t xml:space="preserve"> </w:t>
      </w:r>
      <w:r w:rsidR="008D700C">
        <w:rPr>
          <w:lang w:val="en-US"/>
        </w:rPr>
        <w:t xml:space="preserve">scheduled separately, which can present challenges to the capacity of PDCCH in the short DL portion. To reduce the scheduling overhead, </w:t>
      </w:r>
      <w:r w:rsidR="00A7591D">
        <w:rPr>
          <w:lang w:val="en-US"/>
        </w:rPr>
        <w:t>we propose to investigate the multi-slot</w:t>
      </w:r>
      <w:r w:rsidR="00AC05B6">
        <w:rPr>
          <w:lang w:val="en-US"/>
        </w:rPr>
        <w:t xml:space="preserve"> (multi-TB)</w:t>
      </w:r>
      <w:r w:rsidR="00A7591D">
        <w:rPr>
          <w:lang w:val="en-US"/>
        </w:rPr>
        <w:t xml:space="preserve"> scheduling</w:t>
      </w:r>
      <w:r w:rsidR="00AC05B6">
        <w:rPr>
          <w:lang w:val="en-US"/>
        </w:rPr>
        <w:t xml:space="preserve"> with single DCI</w:t>
      </w:r>
      <w:r w:rsidR="00A7591D">
        <w:rPr>
          <w:lang w:val="en-US"/>
        </w:rPr>
        <w:t xml:space="preserve"> for PUSCH. </w:t>
      </w:r>
      <w:r w:rsidR="00345BCF">
        <w:rPr>
          <w:lang w:val="en-US"/>
        </w:rPr>
        <w:t>Moreover, it has been identified during Rel-15 NR WI, that multi-slot scheduling would be beneficial for cross-numerology scheduling from low SCS to high SCS</w:t>
      </w:r>
      <w:r w:rsidR="00C16FE0">
        <w:rPr>
          <w:lang w:val="en-US"/>
        </w:rPr>
        <w:t>, but due to lack of time</w:t>
      </w:r>
      <w:r w:rsidR="00A7591D">
        <w:rPr>
          <w:lang w:val="en-US"/>
        </w:rPr>
        <w:t xml:space="preserve"> </w:t>
      </w:r>
      <w:r w:rsidR="00C16FE0">
        <w:rPr>
          <w:lang w:val="en-US"/>
        </w:rPr>
        <w:t xml:space="preserve">the design </w:t>
      </w:r>
      <w:r w:rsidR="00AC05B6">
        <w:rPr>
          <w:lang w:val="en-US"/>
        </w:rPr>
        <w:t>didn’t</w:t>
      </w:r>
      <w:r w:rsidR="00C16FE0">
        <w:rPr>
          <w:lang w:val="en-US"/>
        </w:rPr>
        <w:t xml:space="preserve"> proceed in the R15. This gives even more motivation to introduce multi-slot scheduling in NR</w:t>
      </w:r>
      <w:r w:rsidR="00AC05B6">
        <w:rPr>
          <w:lang w:val="en-US"/>
        </w:rPr>
        <w:t xml:space="preserve"> and not limited to NR unlicensed only</w:t>
      </w:r>
      <w:r w:rsidR="00C16FE0">
        <w:rPr>
          <w:lang w:val="en-US"/>
        </w:rPr>
        <w:t>.</w:t>
      </w:r>
    </w:p>
    <w:p w14:paraId="5470AFB0" w14:textId="6C75F76D" w:rsidR="00AC05B6" w:rsidRDefault="00AC05B6" w:rsidP="00DC7773">
      <w:pPr>
        <w:widowControl w:val="0"/>
        <w:overflowPunct/>
        <w:autoSpaceDE/>
        <w:autoSpaceDN/>
        <w:adjustRightInd/>
        <w:jc w:val="both"/>
        <w:textAlignment w:val="auto"/>
        <w:rPr>
          <w:lang w:val="en-US"/>
        </w:rPr>
      </w:pPr>
      <w:r>
        <w:rPr>
          <w:lang w:val="en-US"/>
        </w:rPr>
        <w:t>When considering the scheduling of LAA uplink</w:t>
      </w:r>
      <w:r w:rsidR="007F1B17">
        <w:rPr>
          <w:lang w:val="en-US"/>
        </w:rPr>
        <w:t xml:space="preserve">, the SI considers also the </w:t>
      </w:r>
      <w:r w:rsidR="009D17D4">
        <w:rPr>
          <w:lang w:val="en-US"/>
        </w:rPr>
        <w:t xml:space="preserve">LAA </w:t>
      </w:r>
      <w:r w:rsidR="007F1B17">
        <w:rPr>
          <w:lang w:val="en-US"/>
        </w:rPr>
        <w:t xml:space="preserve">case of carrier aggregation with </w:t>
      </w:r>
      <w:r w:rsidR="009D17D4">
        <w:rPr>
          <w:lang w:val="en-US"/>
        </w:rPr>
        <w:t xml:space="preserve">a </w:t>
      </w:r>
      <w:r w:rsidR="007F1B17">
        <w:rPr>
          <w:lang w:val="en-US"/>
        </w:rPr>
        <w:t xml:space="preserve">NR cell on the licensed band. In such case, cross-carrier scheduling </w:t>
      </w:r>
      <w:r w:rsidR="009D17D4">
        <w:rPr>
          <w:lang w:val="en-US"/>
        </w:rPr>
        <w:t xml:space="preserve">of </w:t>
      </w:r>
      <w:r w:rsidR="007F1B17">
        <w:rPr>
          <w:lang w:val="en-US"/>
        </w:rPr>
        <w:t>unlicensed</w:t>
      </w:r>
      <w:r w:rsidR="009D17D4">
        <w:rPr>
          <w:lang w:val="en-US"/>
        </w:rPr>
        <w:t>-band PUSCH from a</w:t>
      </w:r>
      <w:r w:rsidR="007F1B17">
        <w:rPr>
          <w:lang w:val="en-US"/>
        </w:rPr>
        <w:t xml:space="preserve"> licensed-band NR cell offers clear benefits, as the inherent uncertainties of unlicensed access are limited only to actual PUSCH transmission and reception. Hence, we see that UL cross-carrier scheduling from a licensed-band </w:t>
      </w:r>
      <w:r w:rsidR="009D17D4">
        <w:rPr>
          <w:lang w:val="en-US"/>
        </w:rPr>
        <w:t>NR cell should be supported in NR unlicensed.</w:t>
      </w:r>
    </w:p>
    <w:p w14:paraId="5CAD46F4" w14:textId="37E194BE" w:rsidR="007F171F" w:rsidRDefault="00A7591D" w:rsidP="00BD520C">
      <w:pPr>
        <w:widowControl w:val="0"/>
        <w:overflowPunct/>
        <w:autoSpaceDE/>
        <w:autoSpaceDN/>
        <w:adjustRightInd/>
        <w:spacing w:after="240"/>
        <w:jc w:val="both"/>
        <w:textAlignment w:val="auto"/>
        <w:rPr>
          <w:lang w:val="en-US"/>
        </w:rPr>
      </w:pPr>
      <w:r>
        <w:rPr>
          <w:b/>
          <w:i/>
          <w:lang w:val="en-US" w:eastAsia="x-none"/>
        </w:rPr>
        <w:t>Proposal 1</w:t>
      </w:r>
      <w:r w:rsidRPr="00953AB0">
        <w:rPr>
          <w:b/>
          <w:i/>
          <w:lang w:val="en-US" w:eastAsia="x-none"/>
        </w:rPr>
        <w:t>:</w:t>
      </w:r>
      <w:r>
        <w:rPr>
          <w:b/>
          <w:i/>
          <w:lang w:val="en-US" w:eastAsia="x-none"/>
        </w:rPr>
        <w:t xml:space="preserve"> </w:t>
      </w:r>
      <w:r w:rsidRPr="00BD520C">
        <w:rPr>
          <w:i/>
          <w:lang w:val="en-US" w:eastAsia="x-none"/>
        </w:rPr>
        <w:t>Multi-slot scheduling for PUSCH is investigated.</w:t>
      </w:r>
      <w:r w:rsidR="008D700C" w:rsidRPr="00BD520C">
        <w:rPr>
          <w:lang w:val="en-US"/>
        </w:rPr>
        <w:t xml:space="preserve">   </w:t>
      </w:r>
      <w:r w:rsidR="004035FF" w:rsidRPr="00BD520C">
        <w:rPr>
          <w:lang w:val="en-US"/>
        </w:rPr>
        <w:t xml:space="preserve"> </w:t>
      </w:r>
      <w:r w:rsidR="007F171F" w:rsidRPr="00BD520C">
        <w:rPr>
          <w:lang w:val="en-US"/>
        </w:rPr>
        <w:t xml:space="preserve"> </w:t>
      </w:r>
    </w:p>
    <w:p w14:paraId="58556610" w14:textId="61D2F92E" w:rsidR="005B5685" w:rsidRPr="001F28AA" w:rsidRDefault="007F171F" w:rsidP="007F171F">
      <w:pPr>
        <w:pStyle w:val="Heading2"/>
      </w:pPr>
      <w:r>
        <w:rPr>
          <w:color w:val="000000"/>
        </w:rPr>
        <w:t>2.2</w:t>
      </w:r>
      <w:r w:rsidR="00C43649">
        <w:rPr>
          <w:color w:val="000000"/>
        </w:rPr>
        <w:t xml:space="preserve"> </w:t>
      </w:r>
      <w:r w:rsidR="0099103B">
        <w:t>PDSCH HARQ feedback</w:t>
      </w:r>
    </w:p>
    <w:p w14:paraId="33A9F9BF" w14:textId="488FF84D" w:rsidR="005B5685" w:rsidRDefault="005B5685" w:rsidP="00BD520C">
      <w:pPr>
        <w:keepNext/>
        <w:spacing w:after="120"/>
        <w:jc w:val="both"/>
      </w:pPr>
      <w:r>
        <w:t xml:space="preserve">NR unlicensed SI will address architecture scenarios where NR LAA cell connects with LTE anchor cell on licensed band using Dual-Connectivity or NR cell operates standalone in unlicensed spectrum. In such cases it is not possible to transmit HARQ feedback via licensed band, and HARQ feedback needs to be transmitted over unlicensed spectrum. </w:t>
      </w:r>
    </w:p>
    <w:p w14:paraId="51774710" w14:textId="5B11183A" w:rsidR="008A0916" w:rsidRPr="004165AB" w:rsidRDefault="005B5685" w:rsidP="004165AB">
      <w:pPr>
        <w:keepNext/>
        <w:spacing w:after="120"/>
        <w:jc w:val="both"/>
      </w:pPr>
      <w:r w:rsidRPr="00C465B3">
        <w:t xml:space="preserve">Flexible HARQ feedback determination &amp; timing being defined in NR </w:t>
      </w:r>
      <w:r>
        <w:t>Release 15 forms</w:t>
      </w:r>
      <w:r w:rsidRPr="00C465B3">
        <w:t xml:space="preserve"> the natural baseline for HARQ f</w:t>
      </w:r>
      <w:r w:rsidR="004165AB">
        <w:t xml:space="preserve">eedback in NR unlicensed, as it has </w:t>
      </w:r>
      <w:r w:rsidRPr="004165AB">
        <w:rPr>
          <w:lang w:val="en-US"/>
        </w:rPr>
        <w:t>inbuilt support for highly flexible TDD configurations, and</w:t>
      </w:r>
      <w:r w:rsidR="004165AB">
        <w:t xml:space="preserve"> </w:t>
      </w:r>
      <w:r w:rsidR="004165AB" w:rsidRPr="004165AB">
        <w:rPr>
          <w:lang w:val="en-US"/>
        </w:rPr>
        <w:t>support</w:t>
      </w:r>
      <w:r w:rsidRPr="004165AB">
        <w:rPr>
          <w:lang w:val="en-US"/>
        </w:rPr>
        <w:t xml:space="preserve"> for self-contained </w:t>
      </w:r>
      <w:r w:rsidR="00A7591D" w:rsidRPr="004165AB">
        <w:rPr>
          <w:lang w:val="en-US"/>
        </w:rPr>
        <w:t xml:space="preserve">slot </w:t>
      </w:r>
      <w:r w:rsidRPr="004165AB">
        <w:rPr>
          <w:lang w:val="en-US"/>
        </w:rPr>
        <w:t>operation (depending on the UE capability).</w:t>
      </w:r>
    </w:p>
    <w:p w14:paraId="74815C16" w14:textId="77777777" w:rsidR="00A7591D" w:rsidRDefault="005B5685" w:rsidP="004165AB">
      <w:pPr>
        <w:keepNext/>
        <w:jc w:val="both"/>
        <w:rPr>
          <w:lang w:val="en-US"/>
        </w:rPr>
      </w:pPr>
      <w:r>
        <w:rPr>
          <w:lang w:val="en-US"/>
        </w:rPr>
        <w:t>On the other hand, when operating in NR Unlicensed band scenario, channel contention creates additional challenges: channel contention may delay HARQ feedback unpredictably, and hidden node problem</w:t>
      </w:r>
      <w:r w:rsidR="0031473C">
        <w:rPr>
          <w:lang w:val="en-US"/>
        </w:rPr>
        <w:t xml:space="preserve"> and </w:t>
      </w:r>
      <w:proofErr w:type="spellStart"/>
      <w:r w:rsidR="0031473C">
        <w:rPr>
          <w:lang w:val="en-US"/>
        </w:rPr>
        <w:t>bursty</w:t>
      </w:r>
      <w:proofErr w:type="spellEnd"/>
      <w:r w:rsidR="0031473C">
        <w:rPr>
          <w:lang w:val="en-US"/>
        </w:rPr>
        <w:t xml:space="preserve"> interference</w:t>
      </w:r>
      <w:r>
        <w:rPr>
          <w:lang w:val="en-US"/>
        </w:rPr>
        <w:t xml:space="preserve"> may cause occasional HARQ feedback detection failures.</w:t>
      </w:r>
      <w:r w:rsidRPr="00C465B3">
        <w:rPr>
          <w:lang w:val="en-US"/>
        </w:rPr>
        <w:t xml:space="preserve"> </w:t>
      </w:r>
      <w:r>
        <w:rPr>
          <w:lang w:val="en-US"/>
        </w:rPr>
        <w:t xml:space="preserve">We see that </w:t>
      </w:r>
      <w:r w:rsidRPr="00C465B3">
        <w:rPr>
          <w:lang w:val="en-US"/>
        </w:rPr>
        <w:t>l</w:t>
      </w:r>
      <w:r>
        <w:rPr>
          <w:lang w:val="en-US"/>
        </w:rPr>
        <w:t>atency jitter and system complexity could</w:t>
      </w:r>
      <w:r w:rsidRPr="00C465B3">
        <w:rPr>
          <w:lang w:val="en-US"/>
        </w:rPr>
        <w:t xml:space="preserve"> be minimized if all HARQ feedback can be transmitted in the same shared COT as the associated PDSCHs</w:t>
      </w:r>
      <w:r>
        <w:rPr>
          <w:lang w:val="en-US"/>
        </w:rPr>
        <w:t xml:space="preserve"> as channel is likely vacant immediately after a DL burst</w:t>
      </w:r>
      <w:r w:rsidRPr="00C465B3">
        <w:rPr>
          <w:lang w:val="en-US"/>
        </w:rPr>
        <w:t xml:space="preserve">. This </w:t>
      </w:r>
      <w:proofErr w:type="gramStart"/>
      <w:r w:rsidRPr="00C465B3">
        <w:rPr>
          <w:lang w:val="en-US"/>
        </w:rPr>
        <w:t>can be seen as</w:t>
      </w:r>
      <w:proofErr w:type="gramEnd"/>
      <w:r w:rsidRPr="00C465B3">
        <w:rPr>
          <w:lang w:val="en-US"/>
        </w:rPr>
        <w:t xml:space="preserve"> a self-contained COT (c.f. self-contained slot).</w:t>
      </w:r>
      <w:r>
        <w:rPr>
          <w:lang w:val="en-US"/>
        </w:rPr>
        <w:t xml:space="preserve"> The principle of the </w:t>
      </w:r>
      <w:r>
        <w:rPr>
          <w:lang w:val="en-US"/>
        </w:rPr>
        <w:lastRenderedPageBreak/>
        <w:t xml:space="preserve">self-contained COT is shown in Figure 1. </w:t>
      </w:r>
      <w:r w:rsidR="008A0916">
        <w:rPr>
          <w:lang w:val="en-US"/>
        </w:rPr>
        <w:t>We think that NR unlicensed</w:t>
      </w:r>
      <w:r>
        <w:rPr>
          <w:lang w:val="en-US"/>
        </w:rPr>
        <w:t xml:space="preserve"> study item should try to find solutions to support self-contained COT with reasonable UE complexity. </w:t>
      </w:r>
      <w:r w:rsidR="008A0916">
        <w:rPr>
          <w:lang w:val="en-US"/>
        </w:rPr>
        <w:t xml:space="preserve">However, we </w:t>
      </w:r>
      <w:r w:rsidR="0031473C">
        <w:rPr>
          <w:lang w:val="en-US"/>
        </w:rPr>
        <w:t xml:space="preserve">also </w:t>
      </w:r>
      <w:r>
        <w:rPr>
          <w:lang w:val="en-US"/>
        </w:rPr>
        <w:t>see that self-contained COT imposes aggressive processing time requirements to UE, and we think that also UEs with more modest processing capabilities should be considered. Hence, a preferred solution should be able to accommodate both self-contained COT operation as well as HARQ feedback with more relaxed timing</w:t>
      </w:r>
      <w:r w:rsidR="00A7591D">
        <w:rPr>
          <w:lang w:val="en-US"/>
        </w:rPr>
        <w:t xml:space="preserve"> as shown in Figure 2</w:t>
      </w:r>
      <w:r>
        <w:rPr>
          <w:lang w:val="en-US"/>
        </w:rPr>
        <w:t>.</w:t>
      </w:r>
      <w:r w:rsidR="0025448E">
        <w:rPr>
          <w:lang w:val="en-US"/>
        </w:rPr>
        <w:t xml:space="preserve"> </w:t>
      </w:r>
    </w:p>
    <w:p w14:paraId="6533A06F" w14:textId="004F7C3F" w:rsidR="002E4D7C" w:rsidRDefault="008A0916" w:rsidP="005B5685">
      <w:pPr>
        <w:spacing w:after="0"/>
        <w:jc w:val="both"/>
        <w:rPr>
          <w:i/>
          <w:lang w:val="en-US" w:eastAsia="x-none"/>
        </w:rPr>
      </w:pPr>
      <w:r>
        <w:rPr>
          <w:b/>
          <w:i/>
          <w:lang w:val="en-US" w:eastAsia="x-none"/>
        </w:rPr>
        <w:t>Proposal</w:t>
      </w:r>
      <w:r w:rsidR="00A7591D">
        <w:rPr>
          <w:b/>
          <w:i/>
          <w:lang w:val="en-US" w:eastAsia="x-none"/>
        </w:rPr>
        <w:t xml:space="preserve"> 2</w:t>
      </w:r>
      <w:r w:rsidR="005B5685" w:rsidRPr="00953AB0">
        <w:rPr>
          <w:b/>
          <w:i/>
          <w:lang w:val="en-US" w:eastAsia="x-none"/>
        </w:rPr>
        <w:t xml:space="preserve">: </w:t>
      </w:r>
      <w:r w:rsidR="005B5685" w:rsidRPr="00EF58AE">
        <w:rPr>
          <w:i/>
          <w:lang w:val="en-US" w:eastAsia="x-none"/>
        </w:rPr>
        <w:t xml:space="preserve">Strive for a solution </w:t>
      </w:r>
      <w:r w:rsidR="002E4D7C">
        <w:rPr>
          <w:i/>
          <w:lang w:val="en-US" w:eastAsia="x-none"/>
        </w:rPr>
        <w:t>that supports both</w:t>
      </w:r>
    </w:p>
    <w:p w14:paraId="33074355" w14:textId="768B29B8" w:rsidR="005B5685" w:rsidRPr="005C3E8A" w:rsidRDefault="005B5685" w:rsidP="002E4D7C">
      <w:pPr>
        <w:pStyle w:val="ListParagraph"/>
        <w:numPr>
          <w:ilvl w:val="0"/>
          <w:numId w:val="37"/>
        </w:numPr>
        <w:jc w:val="both"/>
        <w:rPr>
          <w:i/>
          <w:sz w:val="20"/>
          <w:lang w:val="en-US" w:eastAsia="x-none"/>
        </w:rPr>
      </w:pPr>
      <w:r w:rsidRPr="005C3E8A">
        <w:rPr>
          <w:i/>
          <w:sz w:val="20"/>
          <w:lang w:val="en-US" w:eastAsia="x-none"/>
        </w:rPr>
        <w:t>all HARQ-ACK feedback is transmitted within in the same shared COT as the associated PDSCHs</w:t>
      </w:r>
    </w:p>
    <w:p w14:paraId="7FA137B4" w14:textId="3BD7A186" w:rsidR="008A0916" w:rsidRDefault="002E4D7C" w:rsidP="00ED46F0">
      <w:pPr>
        <w:pStyle w:val="ListParagraph"/>
        <w:numPr>
          <w:ilvl w:val="0"/>
          <w:numId w:val="37"/>
        </w:numPr>
        <w:spacing w:after="240"/>
        <w:ind w:left="714" w:hanging="357"/>
        <w:jc w:val="both"/>
        <w:rPr>
          <w:i/>
          <w:sz w:val="20"/>
          <w:lang w:val="en-US" w:eastAsia="x-none"/>
        </w:rPr>
      </w:pPr>
      <w:r w:rsidRPr="005C3E8A">
        <w:rPr>
          <w:i/>
          <w:sz w:val="20"/>
          <w:lang w:val="en-US" w:eastAsia="x-none"/>
        </w:rPr>
        <w:t>part of HARQ-ACK feedback is associated to PDSCHs transmitted in earlier COT.</w:t>
      </w:r>
    </w:p>
    <w:p w14:paraId="5A5C6706" w14:textId="77777777" w:rsidR="00ED46F0" w:rsidRPr="00DC7773" w:rsidRDefault="00ED46F0" w:rsidP="00ED46F0">
      <w:pPr>
        <w:pStyle w:val="ListParagraph"/>
        <w:spacing w:after="240"/>
        <w:ind w:left="714"/>
        <w:jc w:val="both"/>
        <w:rPr>
          <w:i/>
          <w:sz w:val="20"/>
          <w:lang w:val="en-US" w:eastAsia="x-none"/>
        </w:rPr>
      </w:pPr>
    </w:p>
    <w:p w14:paraId="38AEE0C2" w14:textId="3B1BDFFF" w:rsidR="005B5685" w:rsidRPr="00C465B3" w:rsidRDefault="00590784" w:rsidP="00ED46F0">
      <w:pPr>
        <w:pStyle w:val="ListParagraph"/>
        <w:keepNext/>
        <w:spacing w:after="120"/>
        <w:ind w:left="1004" w:hanging="1004"/>
        <w:jc w:val="center"/>
        <w:rPr>
          <w:lang w:val="en-US"/>
        </w:rPr>
      </w:pPr>
      <w:r w:rsidRPr="00590784">
        <w:rPr>
          <w:noProof/>
        </w:rPr>
        <w:drawing>
          <wp:inline distT="0" distB="0" distL="0" distR="0" wp14:anchorId="5EB28DD6" wp14:editId="34C4773F">
            <wp:extent cx="2379600" cy="89640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79600" cy="896400"/>
                    </a:xfrm>
                    <a:prstGeom prst="rect">
                      <a:avLst/>
                    </a:prstGeom>
                    <a:noFill/>
                    <a:ln>
                      <a:noFill/>
                    </a:ln>
                  </pic:spPr>
                </pic:pic>
              </a:graphicData>
            </a:graphic>
          </wp:inline>
        </w:drawing>
      </w:r>
      <w:r w:rsidR="00ED46F0" w:rsidRPr="00590784">
        <w:rPr>
          <w:noProof/>
        </w:rPr>
        <w:drawing>
          <wp:inline distT="0" distB="0" distL="0" distR="0" wp14:anchorId="376D1A72" wp14:editId="6F9C54F6">
            <wp:extent cx="561110" cy="5756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452" cy="587309"/>
                    </a:xfrm>
                    <a:prstGeom prst="rect">
                      <a:avLst/>
                    </a:prstGeom>
                    <a:noFill/>
                    <a:ln>
                      <a:noFill/>
                    </a:ln>
                  </pic:spPr>
                </pic:pic>
              </a:graphicData>
            </a:graphic>
          </wp:inline>
        </w:drawing>
      </w:r>
    </w:p>
    <w:p w14:paraId="27F133E4" w14:textId="045E2E0A" w:rsidR="005B5685" w:rsidRDefault="005B5685" w:rsidP="00ED46F0">
      <w:pPr>
        <w:pStyle w:val="Caption"/>
        <w:spacing w:before="0" w:after="240"/>
        <w:jc w:val="center"/>
      </w:pPr>
      <w:r w:rsidRPr="003F5358">
        <w:t xml:space="preserve">Figure </w:t>
      </w:r>
      <w:r w:rsidRPr="003F5358">
        <w:fldChar w:fldCharType="begin"/>
      </w:r>
      <w:r w:rsidRPr="003F5358">
        <w:instrText xml:space="preserve"> SEQ Figure \* ARABIC </w:instrText>
      </w:r>
      <w:r w:rsidRPr="003F5358">
        <w:fldChar w:fldCharType="separate"/>
      </w:r>
      <w:r w:rsidR="004165AB">
        <w:rPr>
          <w:noProof/>
        </w:rPr>
        <w:t>1</w:t>
      </w:r>
      <w:r w:rsidRPr="003F5358">
        <w:fldChar w:fldCharType="end"/>
      </w:r>
      <w:r w:rsidR="00ED46F0">
        <w:t>. HARQ feedback in</w:t>
      </w:r>
      <w:r w:rsidRPr="003F5358">
        <w:t xml:space="preserve"> self-contained COT.</w:t>
      </w:r>
    </w:p>
    <w:p w14:paraId="00FF4724" w14:textId="277E586D" w:rsidR="000B682D" w:rsidRPr="000B682D" w:rsidRDefault="00ED46F0" w:rsidP="004165AB">
      <w:pPr>
        <w:pStyle w:val="Caption"/>
        <w:spacing w:before="0" w:after="240"/>
        <w:jc w:val="center"/>
      </w:pPr>
      <w:r w:rsidRPr="00ED46F0">
        <w:rPr>
          <w:noProof/>
        </w:rPr>
        <w:drawing>
          <wp:inline distT="0" distB="0" distL="0" distR="0" wp14:anchorId="5AE32E62" wp14:editId="57886C50">
            <wp:extent cx="5360400" cy="856800"/>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0400" cy="856800"/>
                    </a:xfrm>
                    <a:prstGeom prst="rect">
                      <a:avLst/>
                    </a:prstGeom>
                    <a:noFill/>
                    <a:ln>
                      <a:noFill/>
                    </a:ln>
                  </pic:spPr>
                </pic:pic>
              </a:graphicData>
            </a:graphic>
          </wp:inline>
        </w:drawing>
      </w:r>
      <w:r w:rsidR="00590784" w:rsidRPr="00590784">
        <w:rPr>
          <w:noProof/>
        </w:rPr>
        <w:drawing>
          <wp:inline distT="0" distB="0" distL="0" distR="0" wp14:anchorId="3B6796C1" wp14:editId="49969BA5">
            <wp:extent cx="561600" cy="57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600" cy="576000"/>
                    </a:xfrm>
                    <a:prstGeom prst="rect">
                      <a:avLst/>
                    </a:prstGeom>
                    <a:noFill/>
                    <a:ln>
                      <a:noFill/>
                    </a:ln>
                  </pic:spPr>
                </pic:pic>
              </a:graphicData>
            </a:graphic>
          </wp:inline>
        </w:drawing>
      </w:r>
      <w:r w:rsidR="004165AB">
        <w:t xml:space="preserve">Figure </w:t>
      </w:r>
      <w:r w:rsidR="004165AB">
        <w:fldChar w:fldCharType="begin"/>
      </w:r>
      <w:r w:rsidR="004165AB">
        <w:instrText xml:space="preserve"> SEQ Figure \* ARABIC </w:instrText>
      </w:r>
      <w:r w:rsidR="004165AB">
        <w:fldChar w:fldCharType="separate"/>
      </w:r>
      <w:r w:rsidR="004165AB">
        <w:rPr>
          <w:noProof/>
        </w:rPr>
        <w:t>2</w:t>
      </w:r>
      <w:r w:rsidR="004165AB">
        <w:fldChar w:fldCharType="end"/>
      </w:r>
      <w:r w:rsidR="004165AB">
        <w:t>. HARQ feedback across COTs.</w:t>
      </w:r>
    </w:p>
    <w:p w14:paraId="7701FF8D" w14:textId="77777777" w:rsidR="00DC7773" w:rsidRDefault="00DC7773" w:rsidP="00DC7773">
      <w:pPr>
        <w:keepNext/>
        <w:spacing w:after="0"/>
        <w:jc w:val="both"/>
        <w:rPr>
          <w:lang w:val="en-US"/>
        </w:rPr>
      </w:pPr>
      <w:r>
        <w:rPr>
          <w:lang w:val="en-US"/>
        </w:rPr>
        <w:t>One of the challenges of codebook design across multiple COTs is that HARQ feedback timing for ACK reported in following COT is unknown at the time of PDSCH scheduling. Codebook design may be based on HARQ process ID, Rel-15 NR semi-static codebook, or on Rel-14 NR dynamic codebook:</w:t>
      </w:r>
    </w:p>
    <w:p w14:paraId="22B5B43E" w14:textId="77777777" w:rsidR="00DC7773" w:rsidRDefault="00DC7773" w:rsidP="00DC7773">
      <w:pPr>
        <w:pStyle w:val="ListParagraph"/>
        <w:keepNext/>
        <w:numPr>
          <w:ilvl w:val="0"/>
          <w:numId w:val="40"/>
        </w:numPr>
        <w:spacing w:after="120"/>
        <w:jc w:val="both"/>
        <w:rPr>
          <w:sz w:val="20"/>
          <w:lang w:val="en-US"/>
        </w:rPr>
      </w:pPr>
      <w:r>
        <w:rPr>
          <w:sz w:val="20"/>
          <w:lang w:val="en-US"/>
        </w:rPr>
        <w:t xml:space="preserve">Codebook </w:t>
      </w:r>
      <w:r w:rsidRPr="00BD520C">
        <w:rPr>
          <w:sz w:val="20"/>
          <w:lang w:val="en-US"/>
        </w:rPr>
        <w:t xml:space="preserve">based on HARQ </w:t>
      </w:r>
      <w:r>
        <w:rPr>
          <w:sz w:val="20"/>
          <w:lang w:val="en-US"/>
        </w:rPr>
        <w:t>process ID obviously solves</w:t>
      </w:r>
      <w:r w:rsidRPr="00BD520C">
        <w:rPr>
          <w:sz w:val="20"/>
          <w:lang w:val="en-US"/>
        </w:rPr>
        <w:t xml:space="preserve"> problems</w:t>
      </w:r>
      <w:r>
        <w:rPr>
          <w:sz w:val="20"/>
          <w:lang w:val="en-US"/>
        </w:rPr>
        <w:t xml:space="preserve"> related to multiple COTs</w:t>
      </w:r>
      <w:r w:rsidRPr="00BD520C">
        <w:rPr>
          <w:sz w:val="20"/>
          <w:lang w:val="en-US"/>
        </w:rPr>
        <w:t>, but at price of large codebook size – especially when CBG based transmission and carrier aggregation are used.</w:t>
      </w:r>
      <w:r>
        <w:rPr>
          <w:sz w:val="20"/>
          <w:lang w:val="en-US"/>
        </w:rPr>
        <w:t xml:space="preserve"> For example, with 8 CBGs and 16 HARQ processes, 128 bits per cell are transmitted to signal HARQ feedback even for single TB. </w:t>
      </w:r>
      <w:r w:rsidRPr="00BD520C">
        <w:rPr>
          <w:sz w:val="20"/>
          <w:lang w:val="en-US"/>
        </w:rPr>
        <w:t xml:space="preserve">  </w:t>
      </w:r>
    </w:p>
    <w:p w14:paraId="2FD07748" w14:textId="77777777" w:rsidR="00DC7773" w:rsidRDefault="00DC7773" w:rsidP="00DC7773">
      <w:pPr>
        <w:pStyle w:val="ListParagraph"/>
        <w:keepNext/>
        <w:numPr>
          <w:ilvl w:val="0"/>
          <w:numId w:val="40"/>
        </w:numPr>
        <w:spacing w:after="120"/>
        <w:jc w:val="both"/>
        <w:rPr>
          <w:sz w:val="20"/>
          <w:lang w:val="en-US"/>
        </w:rPr>
      </w:pPr>
      <w:r>
        <w:rPr>
          <w:sz w:val="20"/>
          <w:lang w:val="en-US"/>
        </w:rPr>
        <w:t>Rel-14 semi-static codebook results also easily to large codebook size. The semi-static codebook would e.g. need to be dimensioned to cover a range of non-overlapping PDSCH starting positions, possible used to support flexible DL burst starting positions.</w:t>
      </w:r>
    </w:p>
    <w:p w14:paraId="6B7CC6F1" w14:textId="77777777" w:rsidR="00DC7773" w:rsidRPr="00BD520C" w:rsidRDefault="00DC7773" w:rsidP="00DC7773">
      <w:pPr>
        <w:pStyle w:val="ListParagraph"/>
        <w:keepNext/>
        <w:numPr>
          <w:ilvl w:val="0"/>
          <w:numId w:val="40"/>
        </w:numPr>
        <w:spacing w:after="180"/>
        <w:ind w:left="816" w:hanging="357"/>
        <w:jc w:val="both"/>
        <w:rPr>
          <w:sz w:val="20"/>
          <w:lang w:val="en-US"/>
        </w:rPr>
      </w:pPr>
      <w:r w:rsidRPr="00BD520C">
        <w:rPr>
          <w:sz w:val="20"/>
          <w:lang w:val="en-US"/>
        </w:rPr>
        <w:t xml:space="preserve">Rel-15 dynamic codebook </w:t>
      </w:r>
      <w:r>
        <w:rPr>
          <w:sz w:val="20"/>
          <w:lang w:val="en-US"/>
        </w:rPr>
        <w:t xml:space="preserve">has flexibly scaling codebook size, and the DAI mechanism </w:t>
      </w:r>
      <w:r w:rsidRPr="00BD520C">
        <w:rPr>
          <w:sz w:val="20"/>
          <w:lang w:val="en-US"/>
        </w:rPr>
        <w:t xml:space="preserve">can also easily </w:t>
      </w:r>
      <w:proofErr w:type="gramStart"/>
      <w:r w:rsidRPr="00BD520C">
        <w:rPr>
          <w:sz w:val="20"/>
          <w:lang w:val="en-US"/>
        </w:rPr>
        <w:t>extended</w:t>
      </w:r>
      <w:proofErr w:type="gramEnd"/>
      <w:r w:rsidRPr="00BD520C">
        <w:rPr>
          <w:sz w:val="20"/>
          <w:lang w:val="en-US"/>
        </w:rPr>
        <w:t xml:space="preserve"> to cover situations where HARQ feedback contains ACKs for PDSCHs in multiple COTs</w:t>
      </w:r>
      <w:r>
        <w:rPr>
          <w:sz w:val="20"/>
          <w:lang w:val="en-US"/>
        </w:rPr>
        <w:t xml:space="preserve">, This </w:t>
      </w:r>
      <w:r w:rsidRPr="00BD520C">
        <w:rPr>
          <w:sz w:val="20"/>
          <w:lang w:val="en-US"/>
        </w:rPr>
        <w:t>results in significantly smaller codebook size</w:t>
      </w:r>
      <w:r>
        <w:rPr>
          <w:sz w:val="20"/>
          <w:lang w:val="en-US"/>
        </w:rPr>
        <w:t xml:space="preserve"> than the other options</w:t>
      </w:r>
      <w:r w:rsidRPr="00BD520C">
        <w:rPr>
          <w:sz w:val="20"/>
          <w:lang w:val="en-US"/>
        </w:rPr>
        <w:t>.</w:t>
      </w:r>
    </w:p>
    <w:p w14:paraId="042E739F" w14:textId="77777777" w:rsidR="00DC7773" w:rsidRDefault="00DC7773" w:rsidP="00DC7773">
      <w:pPr>
        <w:jc w:val="both"/>
        <w:rPr>
          <w:lang w:val="en-US"/>
        </w:rPr>
      </w:pPr>
      <w:r>
        <w:rPr>
          <w:b/>
          <w:i/>
          <w:lang w:val="en-US" w:eastAsia="x-none"/>
        </w:rPr>
        <w:t>Proposal 3</w:t>
      </w:r>
      <w:r w:rsidRPr="00953AB0">
        <w:rPr>
          <w:b/>
          <w:i/>
          <w:lang w:val="en-US" w:eastAsia="x-none"/>
        </w:rPr>
        <w:t xml:space="preserve">: </w:t>
      </w:r>
      <w:r w:rsidRPr="005C3E8A">
        <w:rPr>
          <w:i/>
          <w:lang w:val="en-US" w:eastAsia="x-none"/>
        </w:rPr>
        <w:t>Rel-15 dynamic</w:t>
      </w:r>
      <w:r>
        <w:rPr>
          <w:b/>
          <w:i/>
          <w:lang w:val="en-US" w:eastAsia="x-none"/>
        </w:rPr>
        <w:t xml:space="preserve"> </w:t>
      </w:r>
      <w:r>
        <w:rPr>
          <w:i/>
          <w:lang w:val="en-US"/>
        </w:rPr>
        <w:t>HARQ-ACK codebook is used as a</w:t>
      </w:r>
      <w:r w:rsidRPr="002E4D7C">
        <w:rPr>
          <w:i/>
          <w:lang w:val="en-US"/>
        </w:rPr>
        <w:t xml:space="preserve"> startin</w:t>
      </w:r>
      <w:r>
        <w:rPr>
          <w:i/>
          <w:lang w:val="en-US"/>
        </w:rPr>
        <w:t>g point for the</w:t>
      </w:r>
      <w:r w:rsidRPr="002E4D7C">
        <w:rPr>
          <w:i/>
          <w:lang w:val="en-US"/>
        </w:rPr>
        <w:t xml:space="preserve"> HARQ-ACK feedback</w:t>
      </w:r>
      <w:r>
        <w:rPr>
          <w:i/>
          <w:lang w:val="en-US"/>
        </w:rPr>
        <w:t xml:space="preserve"> design</w:t>
      </w:r>
      <w:r w:rsidRPr="002E4D7C">
        <w:rPr>
          <w:i/>
          <w:lang w:val="en-US"/>
        </w:rPr>
        <w:t>.</w:t>
      </w:r>
      <w:r>
        <w:rPr>
          <w:lang w:val="en-US"/>
        </w:rPr>
        <w:t xml:space="preserve"> </w:t>
      </w:r>
    </w:p>
    <w:p w14:paraId="2117DF28" w14:textId="61ADDC37" w:rsidR="005B5685" w:rsidRPr="002E4D7C" w:rsidRDefault="005B5685" w:rsidP="00BD520C">
      <w:pPr>
        <w:spacing w:after="120"/>
        <w:jc w:val="both"/>
        <w:rPr>
          <w:lang w:val="en-US"/>
        </w:rPr>
      </w:pPr>
      <w:r>
        <w:rPr>
          <w:lang w:val="en-US"/>
        </w:rPr>
        <w:t>On unlicensed band, t</w:t>
      </w:r>
      <w:r w:rsidRPr="00C465B3">
        <w:rPr>
          <w:lang w:val="en-US"/>
        </w:rPr>
        <w:t xml:space="preserve">here is </w:t>
      </w:r>
      <w:r>
        <w:rPr>
          <w:lang w:val="en-US"/>
        </w:rPr>
        <w:t xml:space="preserve">always </w:t>
      </w:r>
      <w:r w:rsidRPr="00C465B3">
        <w:rPr>
          <w:lang w:val="en-US"/>
        </w:rPr>
        <w:t>risk that HARQ feedback transmission is blocked by UE LBT (if UE LBT is required for HARQ feedback) or corrupted by hidden node transmission starting during PUCCH. To efficiently recover</w:t>
      </w:r>
      <w:r>
        <w:rPr>
          <w:lang w:val="en-US"/>
        </w:rPr>
        <w:t xml:space="preserve"> from such error cases</w:t>
      </w:r>
      <w:r w:rsidRPr="00C465B3">
        <w:rPr>
          <w:lang w:val="en-US"/>
        </w:rPr>
        <w:t xml:space="preserve">, </w:t>
      </w:r>
      <w:r>
        <w:rPr>
          <w:lang w:val="en-US"/>
        </w:rPr>
        <w:t>we see that a fallback mechanism offering a second opportunity for HARQ feedback transmission is needed. HARQ feedback pulling</w:t>
      </w:r>
      <w:r w:rsidR="0080501F">
        <w:rPr>
          <w:lang w:val="en-US"/>
        </w:rPr>
        <w:t xml:space="preserve"> (i.e. triggering)</w:t>
      </w:r>
      <w:r>
        <w:rPr>
          <w:lang w:val="en-US"/>
        </w:rPr>
        <w:t xml:space="preserve"> </w:t>
      </w:r>
      <w:r w:rsidRPr="00C465B3">
        <w:rPr>
          <w:lang w:val="en-US"/>
        </w:rPr>
        <w:t xml:space="preserve">mechanism </w:t>
      </w:r>
      <w:r>
        <w:rPr>
          <w:lang w:val="en-US"/>
        </w:rPr>
        <w:t xml:space="preserve">can be sufficiently flexible and robust as such fallback and, hence, we see that a mechanism </w:t>
      </w:r>
      <w:r w:rsidRPr="00C465B3">
        <w:rPr>
          <w:lang w:val="en-US"/>
        </w:rPr>
        <w:t xml:space="preserve">for gNB to pull HARQ feedback from UE </w:t>
      </w:r>
      <w:r>
        <w:rPr>
          <w:lang w:val="en-US"/>
        </w:rPr>
        <w:t>should be investigated during SI.</w:t>
      </w:r>
      <w:r w:rsidR="002E4D7C">
        <w:rPr>
          <w:lang w:val="en-US"/>
        </w:rPr>
        <w:t xml:space="preserve"> As the pulled HARQ-ACK feedback occurs with ambiguous timing relation to the associated PDSCHs, we see that HARQ-ACK codebook based on the HARQ process ID</w:t>
      </w:r>
      <w:r w:rsidR="0080501F">
        <w:rPr>
          <w:lang w:val="en-US"/>
        </w:rPr>
        <w:t>s</w:t>
      </w:r>
      <w:r w:rsidR="002E4D7C">
        <w:rPr>
          <w:lang w:val="en-US"/>
        </w:rPr>
        <w:t xml:space="preserve"> </w:t>
      </w:r>
      <w:r w:rsidR="00DC7773">
        <w:rPr>
          <w:lang w:val="en-US"/>
        </w:rPr>
        <w:t>is</w:t>
      </w:r>
      <w:r w:rsidR="002E4D7C">
        <w:rPr>
          <w:lang w:val="en-US"/>
        </w:rPr>
        <w:t xml:space="preserve"> </w:t>
      </w:r>
      <w:r w:rsidR="0080501F">
        <w:rPr>
          <w:lang w:val="en-US"/>
        </w:rPr>
        <w:t xml:space="preserve">a </w:t>
      </w:r>
      <w:r w:rsidR="002E4D7C">
        <w:rPr>
          <w:lang w:val="en-US"/>
        </w:rPr>
        <w:t>good starting point for investigatio</w:t>
      </w:r>
      <w:r w:rsidR="00BD520C">
        <w:rPr>
          <w:lang w:val="en-US"/>
        </w:rPr>
        <w:t>ns on pulled HARQ-ACK feedback.</w:t>
      </w:r>
    </w:p>
    <w:p w14:paraId="0653BB8F" w14:textId="6F0A3F38" w:rsidR="002E4D7C" w:rsidRDefault="008A0916" w:rsidP="00BD520C">
      <w:pPr>
        <w:spacing w:after="120"/>
        <w:jc w:val="both"/>
        <w:rPr>
          <w:i/>
          <w:lang w:val="en-US" w:eastAsia="x-none"/>
        </w:rPr>
      </w:pPr>
      <w:r>
        <w:rPr>
          <w:b/>
          <w:i/>
          <w:lang w:val="en-US" w:eastAsia="x-none"/>
        </w:rPr>
        <w:t>Proposal</w:t>
      </w:r>
      <w:r w:rsidR="00A7591D">
        <w:rPr>
          <w:b/>
          <w:i/>
          <w:lang w:val="en-US" w:eastAsia="x-none"/>
        </w:rPr>
        <w:t xml:space="preserve"> 4</w:t>
      </w:r>
      <w:r w:rsidR="005B5685" w:rsidRPr="00953AB0">
        <w:rPr>
          <w:b/>
          <w:i/>
          <w:lang w:val="en-US" w:eastAsia="x-none"/>
        </w:rPr>
        <w:t xml:space="preserve">: </w:t>
      </w:r>
      <w:r w:rsidR="005B5685" w:rsidRPr="00EF58AE">
        <w:rPr>
          <w:i/>
          <w:lang w:val="en-US" w:eastAsia="x-none"/>
        </w:rPr>
        <w:t>Support a mechanism for gNB to pull HARQ-ACK feedback from UE</w:t>
      </w:r>
    </w:p>
    <w:p w14:paraId="095AEDBB" w14:textId="28D3F6EA" w:rsidR="002E4D7C" w:rsidRDefault="00A7591D" w:rsidP="00BD520C">
      <w:pPr>
        <w:spacing w:after="240"/>
        <w:jc w:val="both"/>
        <w:rPr>
          <w:lang w:val="en-US"/>
        </w:rPr>
      </w:pPr>
      <w:r>
        <w:rPr>
          <w:b/>
          <w:i/>
          <w:lang w:val="en-US" w:eastAsia="x-none"/>
        </w:rPr>
        <w:t>Proposal 5</w:t>
      </w:r>
      <w:r w:rsidR="002E4D7C" w:rsidRPr="00953AB0">
        <w:rPr>
          <w:b/>
          <w:i/>
          <w:lang w:val="en-US" w:eastAsia="x-none"/>
        </w:rPr>
        <w:t xml:space="preserve">: </w:t>
      </w:r>
      <w:r w:rsidR="002E4D7C" w:rsidRPr="002E4D7C">
        <w:rPr>
          <w:i/>
          <w:lang w:val="en-US"/>
        </w:rPr>
        <w:t>HARQ-ACK codebook base</w:t>
      </w:r>
      <w:r w:rsidR="002E4D7C">
        <w:rPr>
          <w:i/>
          <w:lang w:val="en-US"/>
        </w:rPr>
        <w:t xml:space="preserve">d on </w:t>
      </w:r>
      <w:r w:rsidR="002E4D7C" w:rsidRPr="002E4D7C">
        <w:rPr>
          <w:i/>
          <w:lang w:val="en-US"/>
        </w:rPr>
        <w:t>HARQ proc</w:t>
      </w:r>
      <w:r>
        <w:rPr>
          <w:i/>
          <w:lang w:val="en-US"/>
        </w:rPr>
        <w:t>ess ID is used as a</w:t>
      </w:r>
      <w:r w:rsidR="002E4D7C" w:rsidRPr="002E4D7C">
        <w:rPr>
          <w:i/>
          <w:lang w:val="en-US"/>
        </w:rPr>
        <w:t xml:space="preserve"> startin</w:t>
      </w:r>
      <w:r w:rsidR="002E4D7C">
        <w:rPr>
          <w:i/>
          <w:lang w:val="en-US"/>
        </w:rPr>
        <w:t>g point for</w:t>
      </w:r>
      <w:r w:rsidR="002E4D7C" w:rsidRPr="002E4D7C">
        <w:rPr>
          <w:i/>
          <w:lang w:val="en-US"/>
        </w:rPr>
        <w:t xml:space="preserve"> pulled HARQ-ACK feedback</w:t>
      </w:r>
      <w:r w:rsidR="002E4D7C">
        <w:rPr>
          <w:i/>
          <w:lang w:val="en-US"/>
        </w:rPr>
        <w:t xml:space="preserve"> design</w:t>
      </w:r>
      <w:r w:rsidR="002E4D7C" w:rsidRPr="002E4D7C">
        <w:rPr>
          <w:i/>
          <w:lang w:val="en-US"/>
        </w:rPr>
        <w:t>.</w:t>
      </w:r>
      <w:r w:rsidR="002E4D7C">
        <w:rPr>
          <w:lang w:val="en-US"/>
        </w:rPr>
        <w:t xml:space="preserve"> </w:t>
      </w:r>
    </w:p>
    <w:p w14:paraId="66B443E6" w14:textId="2C9DC70A" w:rsidR="000929B8" w:rsidRDefault="000929B8" w:rsidP="00BD520C">
      <w:pPr>
        <w:spacing w:after="240"/>
        <w:jc w:val="both"/>
        <w:rPr>
          <w:lang w:val="en-US"/>
        </w:rPr>
      </w:pPr>
    </w:p>
    <w:p w14:paraId="3BE9A778" w14:textId="77777777" w:rsidR="000929B8" w:rsidRPr="002E4D7C" w:rsidRDefault="000929B8" w:rsidP="00BD520C">
      <w:pPr>
        <w:spacing w:after="240"/>
        <w:jc w:val="both"/>
        <w:rPr>
          <w:lang w:val="en-US"/>
        </w:rPr>
      </w:pPr>
    </w:p>
    <w:p w14:paraId="0D827FAF" w14:textId="45DAEBAB" w:rsidR="0034111C" w:rsidRPr="00A53A2F" w:rsidRDefault="0099103B">
      <w:pPr>
        <w:pStyle w:val="Heading1"/>
        <w:rPr>
          <w:color w:val="000000"/>
        </w:rPr>
      </w:pPr>
      <w:r>
        <w:rPr>
          <w:color w:val="000000"/>
        </w:rPr>
        <w:lastRenderedPageBreak/>
        <w:t>4</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2747B9ED" w:rsidR="00535AF7" w:rsidRPr="00A53A2F" w:rsidRDefault="003D3FBA" w:rsidP="00BD520C">
      <w:pPr>
        <w:jc w:val="both"/>
        <w:rPr>
          <w:bCs/>
        </w:rPr>
      </w:pPr>
      <w:r w:rsidRPr="00A53A2F">
        <w:t>In this contribution</w:t>
      </w:r>
      <w:r w:rsidR="009251C8" w:rsidRPr="00A53A2F">
        <w:t>,</w:t>
      </w:r>
      <w:r w:rsidRPr="00A53A2F">
        <w:t xml:space="preserve"> we discussed </w:t>
      </w:r>
      <w:r w:rsidR="005B5685" w:rsidRPr="00A53A2F">
        <w:rPr>
          <w:rFonts w:eastAsia="Times New Roman"/>
          <w:szCs w:val="24"/>
          <w:lang w:val="en-US" w:eastAsia="fi-FI"/>
        </w:rPr>
        <w:t xml:space="preserve">potential changes and enhancements needed for </w:t>
      </w:r>
      <w:r w:rsidR="005B1A50">
        <w:rPr>
          <w:rFonts w:eastAsia="Times New Roman"/>
          <w:szCs w:val="24"/>
          <w:lang w:val="en-US" w:eastAsia="fi-FI"/>
        </w:rPr>
        <w:t xml:space="preserve">HARQ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p>
    <w:p w14:paraId="55A31119" w14:textId="73B0C67A" w:rsidR="00BD520C" w:rsidRPr="00BD520C" w:rsidRDefault="00BD520C" w:rsidP="00BD520C">
      <w:pPr>
        <w:widowControl w:val="0"/>
        <w:overflowPunct/>
        <w:autoSpaceDE/>
        <w:autoSpaceDN/>
        <w:adjustRightInd/>
        <w:jc w:val="both"/>
        <w:textAlignment w:val="auto"/>
        <w:rPr>
          <w:lang w:val="en-US"/>
        </w:rPr>
      </w:pPr>
      <w:r>
        <w:rPr>
          <w:b/>
          <w:i/>
          <w:lang w:val="en-US" w:eastAsia="x-none"/>
        </w:rPr>
        <w:t>Proposal 1</w:t>
      </w:r>
      <w:r w:rsidRPr="00953AB0">
        <w:rPr>
          <w:b/>
          <w:i/>
          <w:lang w:val="en-US" w:eastAsia="x-none"/>
        </w:rPr>
        <w:t>:</w:t>
      </w:r>
      <w:r>
        <w:rPr>
          <w:b/>
          <w:i/>
          <w:lang w:val="en-US" w:eastAsia="x-none"/>
        </w:rPr>
        <w:t xml:space="preserve"> </w:t>
      </w:r>
      <w:r w:rsidRPr="00BD520C">
        <w:rPr>
          <w:i/>
          <w:lang w:val="en-US" w:eastAsia="x-none"/>
        </w:rPr>
        <w:t>Multi-slot scheduling for PUSCH is investigated.</w:t>
      </w:r>
      <w:r w:rsidRPr="00BD520C">
        <w:rPr>
          <w:lang w:val="en-US"/>
        </w:rPr>
        <w:t xml:space="preserve">     </w:t>
      </w:r>
    </w:p>
    <w:p w14:paraId="4744F437" w14:textId="1A15E947" w:rsidR="00A53A2F" w:rsidRPr="00A53A2F" w:rsidRDefault="00A7591D" w:rsidP="00BD520C">
      <w:pPr>
        <w:spacing w:after="0"/>
        <w:ind w:left="284" w:hanging="284"/>
        <w:jc w:val="both"/>
        <w:rPr>
          <w:i/>
          <w:lang w:val="en-US" w:eastAsia="x-none"/>
        </w:rPr>
      </w:pPr>
      <w:r>
        <w:rPr>
          <w:b/>
          <w:i/>
          <w:lang w:val="en-US" w:eastAsia="x-none"/>
        </w:rPr>
        <w:t>Proposal 2</w:t>
      </w:r>
      <w:r w:rsidR="00A53A2F" w:rsidRPr="00A53A2F">
        <w:rPr>
          <w:b/>
          <w:i/>
          <w:lang w:val="en-US" w:eastAsia="x-none"/>
        </w:rPr>
        <w:t xml:space="preserve">: </w:t>
      </w:r>
      <w:r w:rsidR="00A53A2F" w:rsidRPr="00A53A2F">
        <w:rPr>
          <w:i/>
          <w:lang w:val="en-US" w:eastAsia="x-none"/>
        </w:rPr>
        <w:t>Strive for a solution that supports both</w:t>
      </w:r>
    </w:p>
    <w:p w14:paraId="3B59B0CE" w14:textId="77777777" w:rsidR="00A53A2F" w:rsidRPr="00A53A2F" w:rsidRDefault="00A53A2F" w:rsidP="00BD520C">
      <w:pPr>
        <w:pStyle w:val="ListParagraph"/>
        <w:numPr>
          <w:ilvl w:val="0"/>
          <w:numId w:val="37"/>
        </w:numPr>
        <w:spacing w:after="180"/>
        <w:ind w:left="1004" w:hanging="284"/>
        <w:jc w:val="both"/>
        <w:rPr>
          <w:i/>
          <w:sz w:val="20"/>
          <w:lang w:val="en-US" w:eastAsia="x-none"/>
        </w:rPr>
      </w:pPr>
      <w:r w:rsidRPr="00A53A2F">
        <w:rPr>
          <w:i/>
          <w:sz w:val="20"/>
          <w:lang w:val="en-US" w:eastAsia="x-none"/>
        </w:rPr>
        <w:t>all HARQ-ACK feedback is transmitted within in the same shared COT as the associated PDSCHs</w:t>
      </w:r>
    </w:p>
    <w:p w14:paraId="0F8728B8" w14:textId="68570F3A" w:rsidR="005B5685" w:rsidRPr="00BD520C" w:rsidRDefault="00A53A2F" w:rsidP="00BD520C">
      <w:pPr>
        <w:pStyle w:val="ListParagraph"/>
        <w:numPr>
          <w:ilvl w:val="0"/>
          <w:numId w:val="37"/>
        </w:numPr>
        <w:spacing w:after="180"/>
        <w:ind w:left="1004" w:hanging="284"/>
        <w:jc w:val="both"/>
        <w:rPr>
          <w:i/>
          <w:sz w:val="20"/>
          <w:lang w:val="en-US" w:eastAsia="x-none"/>
        </w:rPr>
      </w:pPr>
      <w:r w:rsidRPr="00A53A2F">
        <w:rPr>
          <w:i/>
          <w:sz w:val="20"/>
          <w:lang w:val="en-US" w:eastAsia="x-none"/>
        </w:rPr>
        <w:t>part of HARQ-ACK feedback is associated to PDSCHs transmitted in earlier COT.</w:t>
      </w:r>
    </w:p>
    <w:p w14:paraId="6D8C5FDF" w14:textId="0A598963" w:rsidR="00A53A2F" w:rsidRPr="00BD520C" w:rsidRDefault="00BD520C" w:rsidP="00BD520C">
      <w:pPr>
        <w:jc w:val="both"/>
        <w:rPr>
          <w:lang w:val="en-US"/>
        </w:rPr>
      </w:pPr>
      <w:r>
        <w:rPr>
          <w:b/>
          <w:i/>
          <w:lang w:val="en-US" w:eastAsia="x-none"/>
        </w:rPr>
        <w:t>Proposal 3</w:t>
      </w:r>
      <w:r w:rsidRPr="00953AB0">
        <w:rPr>
          <w:b/>
          <w:i/>
          <w:lang w:val="en-US" w:eastAsia="x-none"/>
        </w:rPr>
        <w:t xml:space="preserve">: </w:t>
      </w:r>
      <w:r w:rsidRPr="005C3E8A">
        <w:rPr>
          <w:i/>
          <w:lang w:val="en-US" w:eastAsia="x-none"/>
        </w:rPr>
        <w:t>Rel-15 dynamic</w:t>
      </w:r>
      <w:r>
        <w:rPr>
          <w:b/>
          <w:i/>
          <w:lang w:val="en-US" w:eastAsia="x-none"/>
        </w:rPr>
        <w:t xml:space="preserve"> </w:t>
      </w:r>
      <w:r>
        <w:rPr>
          <w:i/>
          <w:lang w:val="en-US"/>
        </w:rPr>
        <w:t>HARQ-ACK codebook is used as a</w:t>
      </w:r>
      <w:r w:rsidRPr="002E4D7C">
        <w:rPr>
          <w:i/>
          <w:lang w:val="en-US"/>
        </w:rPr>
        <w:t xml:space="preserve"> startin</w:t>
      </w:r>
      <w:r>
        <w:rPr>
          <w:i/>
          <w:lang w:val="en-US"/>
        </w:rPr>
        <w:t>g point for the</w:t>
      </w:r>
      <w:r w:rsidRPr="002E4D7C">
        <w:rPr>
          <w:i/>
          <w:lang w:val="en-US"/>
        </w:rPr>
        <w:t xml:space="preserve"> HARQ-ACK feedback</w:t>
      </w:r>
      <w:r>
        <w:rPr>
          <w:i/>
          <w:lang w:val="en-US"/>
        </w:rPr>
        <w:t xml:space="preserve"> design</w:t>
      </w:r>
      <w:r w:rsidRPr="002E4D7C">
        <w:rPr>
          <w:i/>
          <w:lang w:val="en-US"/>
        </w:rPr>
        <w:t>.</w:t>
      </w:r>
      <w:r>
        <w:rPr>
          <w:lang w:val="en-US"/>
        </w:rPr>
        <w:t xml:space="preserve"> </w:t>
      </w:r>
    </w:p>
    <w:p w14:paraId="562290CC" w14:textId="7AAFA4B0" w:rsidR="00A53A2F" w:rsidRPr="00A53A2F" w:rsidRDefault="00A53A2F" w:rsidP="00BD520C">
      <w:pPr>
        <w:ind w:left="284" w:hanging="284"/>
        <w:jc w:val="both"/>
        <w:rPr>
          <w:i/>
          <w:lang w:val="en-US" w:eastAsia="x-none"/>
        </w:rPr>
      </w:pPr>
      <w:r w:rsidRPr="00A53A2F">
        <w:rPr>
          <w:b/>
          <w:i/>
          <w:lang w:val="en-US" w:eastAsia="x-none"/>
        </w:rPr>
        <w:t>Propos</w:t>
      </w:r>
      <w:r w:rsidR="00A7591D">
        <w:rPr>
          <w:b/>
          <w:i/>
          <w:lang w:val="en-US" w:eastAsia="x-none"/>
        </w:rPr>
        <w:t>al 4</w:t>
      </w:r>
      <w:r w:rsidRPr="00A53A2F">
        <w:rPr>
          <w:b/>
          <w:i/>
          <w:lang w:val="en-US" w:eastAsia="x-none"/>
        </w:rPr>
        <w:t xml:space="preserve">: </w:t>
      </w:r>
      <w:r w:rsidRPr="00A53A2F">
        <w:rPr>
          <w:i/>
          <w:lang w:val="en-US" w:eastAsia="x-none"/>
        </w:rPr>
        <w:t>Support a mechanism for gNB to pull HARQ-ACK feedback from UE</w:t>
      </w:r>
    </w:p>
    <w:p w14:paraId="144EF501" w14:textId="77777777" w:rsidR="00A7591D" w:rsidRPr="002E4D7C" w:rsidRDefault="00A7591D" w:rsidP="00BD520C">
      <w:pPr>
        <w:jc w:val="both"/>
        <w:rPr>
          <w:lang w:val="en-US"/>
        </w:rPr>
      </w:pPr>
      <w:r>
        <w:rPr>
          <w:b/>
          <w:i/>
          <w:lang w:val="en-US" w:eastAsia="x-none"/>
        </w:rPr>
        <w:t>Proposal 5</w:t>
      </w:r>
      <w:r w:rsidRPr="00953AB0">
        <w:rPr>
          <w:b/>
          <w:i/>
          <w:lang w:val="en-US" w:eastAsia="x-none"/>
        </w:rPr>
        <w:t xml:space="preserve">: </w:t>
      </w:r>
      <w:r w:rsidRPr="002E4D7C">
        <w:rPr>
          <w:i/>
          <w:lang w:val="en-US"/>
        </w:rPr>
        <w:t>HARQ-ACK codebook base</w:t>
      </w:r>
      <w:r>
        <w:rPr>
          <w:i/>
          <w:lang w:val="en-US"/>
        </w:rPr>
        <w:t xml:space="preserve">d on </w:t>
      </w:r>
      <w:r w:rsidRPr="002E4D7C">
        <w:rPr>
          <w:i/>
          <w:lang w:val="en-US"/>
        </w:rPr>
        <w:t>HARQ proc</w:t>
      </w:r>
      <w:r>
        <w:rPr>
          <w:i/>
          <w:lang w:val="en-US"/>
        </w:rPr>
        <w:t>ess ID is used as a</w:t>
      </w:r>
      <w:r w:rsidRPr="002E4D7C">
        <w:rPr>
          <w:i/>
          <w:lang w:val="en-US"/>
        </w:rPr>
        <w:t xml:space="preserve"> startin</w:t>
      </w:r>
      <w:r>
        <w:rPr>
          <w:i/>
          <w:lang w:val="en-US"/>
        </w:rPr>
        <w:t>g point for</w:t>
      </w:r>
      <w:r w:rsidRPr="002E4D7C">
        <w:rPr>
          <w:i/>
          <w:lang w:val="en-US"/>
        </w:rPr>
        <w:t xml:space="preserve"> pulled HARQ-ACK feedback</w:t>
      </w:r>
      <w:r>
        <w:rPr>
          <w:i/>
          <w:lang w:val="en-US"/>
        </w:rPr>
        <w:t xml:space="preserve"> design</w:t>
      </w:r>
      <w:r w:rsidRPr="002E4D7C">
        <w:rPr>
          <w:i/>
          <w:lang w:val="en-US"/>
        </w:rPr>
        <w:t>.</w:t>
      </w:r>
      <w:r>
        <w:rPr>
          <w:lang w:val="en-US"/>
        </w:rPr>
        <w:t xml:space="preserve"> </w:t>
      </w:r>
    </w:p>
    <w:p w14:paraId="2F0729C1" w14:textId="7E142268" w:rsidR="0034111C" w:rsidRPr="00A51522" w:rsidRDefault="0034111C">
      <w:pPr>
        <w:pStyle w:val="Heading1"/>
      </w:pPr>
      <w:r w:rsidRPr="00A53A2F">
        <w:t>References</w:t>
      </w:r>
      <w:r w:rsidR="00A2459D" w:rsidRPr="00A53A2F">
        <w:t xml:space="preserve"> </w:t>
      </w:r>
    </w:p>
    <w:p w14:paraId="40D99FF0" w14:textId="5584CAC4" w:rsidR="00055676" w:rsidRPr="001F14C7" w:rsidRDefault="1CEFF1BD" w:rsidP="1CEFF1BD">
      <w:pPr>
        <w:numPr>
          <w:ilvl w:val="0"/>
          <w:numId w:val="1"/>
        </w:numPr>
      </w:pPr>
      <w:r w:rsidRPr="001F14C7">
        <w:rPr>
          <w:lang w:eastAsia="zh-CN"/>
        </w:rPr>
        <w:t>RP-172021, “</w:t>
      </w:r>
      <w:r w:rsidRPr="001F14C7">
        <w:rPr>
          <w:i/>
          <w:iCs/>
          <w:lang w:eastAsia="zh-CN"/>
        </w:rPr>
        <w:t>New SID on NR-based Access to Unlicensed Spectrum</w:t>
      </w:r>
      <w:r w:rsidRPr="001F14C7">
        <w:rPr>
          <w:lang w:eastAsia="zh-CN"/>
        </w:rPr>
        <w:t>”, Qualcomm</w:t>
      </w:r>
    </w:p>
    <w:p w14:paraId="12E30482" w14:textId="00CB89CA" w:rsidR="000D47F3" w:rsidRPr="001F14C7" w:rsidRDefault="00BD520C" w:rsidP="00BD520C">
      <w:pPr>
        <w:numPr>
          <w:ilvl w:val="0"/>
          <w:numId w:val="1"/>
        </w:numPr>
        <w:overflowPunct/>
        <w:autoSpaceDE/>
        <w:autoSpaceDN/>
        <w:adjustRightInd/>
        <w:spacing w:after="160" w:line="256" w:lineRule="auto"/>
        <w:textAlignment w:val="auto"/>
        <w:rPr>
          <w:lang w:val="en-US"/>
        </w:rPr>
      </w:pPr>
      <w:r w:rsidRPr="004A1BE1">
        <w:t>RAN1 Chairman’s Notes, 3GPP TSG RAN WG1 Meeting #92bis</w:t>
      </w:r>
      <w:r w:rsidRPr="001F14C7">
        <w:t>, 3GPP</w:t>
      </w:r>
    </w:p>
    <w:sectPr w:rsidR="000D47F3" w:rsidRPr="001F14C7" w:rsidSect="00B43997">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4717D" w14:textId="77777777" w:rsidR="004266A2" w:rsidRDefault="004266A2">
      <w:r>
        <w:separator/>
      </w:r>
    </w:p>
  </w:endnote>
  <w:endnote w:type="continuationSeparator" w:id="0">
    <w:p w14:paraId="43DF04BC" w14:textId="77777777" w:rsidR="004266A2" w:rsidRDefault="004266A2">
      <w:r>
        <w:continuationSeparator/>
      </w:r>
    </w:p>
  </w:endnote>
  <w:endnote w:type="continuationNotice" w:id="1">
    <w:p w14:paraId="79000402" w14:textId="77777777" w:rsidR="004266A2" w:rsidRDefault="00426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A8459C" w:rsidRDefault="00A845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DF2E0" w14:textId="77777777" w:rsidR="004266A2" w:rsidRDefault="004266A2">
      <w:r>
        <w:separator/>
      </w:r>
    </w:p>
  </w:footnote>
  <w:footnote w:type="continuationSeparator" w:id="0">
    <w:p w14:paraId="1579A0D2" w14:textId="77777777" w:rsidR="004266A2" w:rsidRDefault="004266A2">
      <w:r>
        <w:continuationSeparator/>
      </w:r>
    </w:p>
  </w:footnote>
  <w:footnote w:type="continuationNotice" w:id="1">
    <w:p w14:paraId="129AB455" w14:textId="77777777" w:rsidR="004266A2" w:rsidRDefault="00426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A8459C" w:rsidRDefault="00A845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8"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27"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0"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6"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8"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8"/>
  </w:num>
  <w:num w:numId="2">
    <w:abstractNumId w:val="24"/>
  </w:num>
  <w:num w:numId="3">
    <w:abstractNumId w:val="19"/>
  </w:num>
  <w:num w:numId="4">
    <w:abstractNumId w:val="12"/>
  </w:num>
  <w:num w:numId="5">
    <w:abstractNumId w:val="13"/>
  </w:num>
  <w:num w:numId="6">
    <w:abstractNumId w:val="16"/>
  </w:num>
  <w:num w:numId="7">
    <w:abstractNumId w:val="9"/>
  </w:num>
  <w:num w:numId="8">
    <w:abstractNumId w:val="22"/>
  </w:num>
  <w:num w:numId="9">
    <w:abstractNumId w:val="34"/>
  </w:num>
  <w:num w:numId="10">
    <w:abstractNumId w:val="29"/>
  </w:num>
  <w:num w:numId="11">
    <w:abstractNumId w:val="37"/>
  </w:num>
  <w:num w:numId="12">
    <w:abstractNumId w:val="6"/>
  </w:num>
  <w:num w:numId="13">
    <w:abstractNumId w:val="21"/>
  </w:num>
  <w:num w:numId="14">
    <w:abstractNumId w:val="27"/>
  </w:num>
  <w:num w:numId="15">
    <w:abstractNumId w:val="10"/>
  </w:num>
  <w:num w:numId="16">
    <w:abstractNumId w:val="15"/>
  </w:num>
  <w:num w:numId="17">
    <w:abstractNumId w:val="25"/>
  </w:num>
  <w:num w:numId="18">
    <w:abstractNumId w:val="38"/>
  </w:num>
  <w:num w:numId="19">
    <w:abstractNumId w:val="0"/>
  </w:num>
  <w:num w:numId="20">
    <w:abstractNumId w:val="4"/>
  </w:num>
  <w:num w:numId="21">
    <w:abstractNumId w:val="1"/>
  </w:num>
  <w:num w:numId="22">
    <w:abstractNumId w:val="32"/>
  </w:num>
  <w:num w:numId="23">
    <w:abstractNumId w:val="28"/>
  </w:num>
  <w:num w:numId="24">
    <w:abstractNumId w:val="17"/>
  </w:num>
  <w:num w:numId="25">
    <w:abstractNumId w:val="39"/>
  </w:num>
  <w:num w:numId="26">
    <w:abstractNumId w:val="33"/>
  </w:num>
  <w:num w:numId="27">
    <w:abstractNumId w:val="3"/>
  </w:num>
  <w:num w:numId="28">
    <w:abstractNumId w:val="35"/>
  </w:num>
  <w:num w:numId="29">
    <w:abstractNumId w:val="11"/>
  </w:num>
  <w:num w:numId="30">
    <w:abstractNumId w:val="20"/>
  </w:num>
  <w:num w:numId="31">
    <w:abstractNumId w:val="31"/>
  </w:num>
  <w:num w:numId="32">
    <w:abstractNumId w:val="36"/>
  </w:num>
  <w:num w:numId="33">
    <w:abstractNumId w:val="14"/>
  </w:num>
  <w:num w:numId="34">
    <w:abstractNumId w:val="26"/>
  </w:num>
  <w:num w:numId="35">
    <w:abstractNumId w:val="5"/>
  </w:num>
  <w:num w:numId="36">
    <w:abstractNumId w:val="8"/>
  </w:num>
  <w:num w:numId="37">
    <w:abstractNumId w:val="2"/>
  </w:num>
  <w:num w:numId="38">
    <w:abstractNumId w:val="30"/>
  </w:num>
  <w:num w:numId="39">
    <w:abstractNumId w:val="23"/>
  </w:num>
  <w:num w:numId="4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63B"/>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A65"/>
    <w:rsid w:val="0009185A"/>
    <w:rsid w:val="00091A92"/>
    <w:rsid w:val="000929B8"/>
    <w:rsid w:val="00093C49"/>
    <w:rsid w:val="00094050"/>
    <w:rsid w:val="00095A80"/>
    <w:rsid w:val="00096724"/>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B682D"/>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6A0"/>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339F"/>
    <w:rsid w:val="00114E96"/>
    <w:rsid w:val="00115828"/>
    <w:rsid w:val="00115E0A"/>
    <w:rsid w:val="0011644A"/>
    <w:rsid w:val="001167B3"/>
    <w:rsid w:val="00117332"/>
    <w:rsid w:val="001204DD"/>
    <w:rsid w:val="00122456"/>
    <w:rsid w:val="00122839"/>
    <w:rsid w:val="001237AC"/>
    <w:rsid w:val="00123A30"/>
    <w:rsid w:val="00123FC0"/>
    <w:rsid w:val="00124665"/>
    <w:rsid w:val="00124E12"/>
    <w:rsid w:val="0012673D"/>
    <w:rsid w:val="001269B8"/>
    <w:rsid w:val="00127099"/>
    <w:rsid w:val="00130783"/>
    <w:rsid w:val="00132B71"/>
    <w:rsid w:val="00133579"/>
    <w:rsid w:val="0013427A"/>
    <w:rsid w:val="00135400"/>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4C7"/>
    <w:rsid w:val="001F1987"/>
    <w:rsid w:val="001F23BD"/>
    <w:rsid w:val="001F2649"/>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65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E05"/>
    <w:rsid w:val="00250E54"/>
    <w:rsid w:val="00251AD6"/>
    <w:rsid w:val="00252BBC"/>
    <w:rsid w:val="00252C17"/>
    <w:rsid w:val="0025307F"/>
    <w:rsid w:val="0025448E"/>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BD1"/>
    <w:rsid w:val="00271CF1"/>
    <w:rsid w:val="00273177"/>
    <w:rsid w:val="00275074"/>
    <w:rsid w:val="002758A4"/>
    <w:rsid w:val="002763E9"/>
    <w:rsid w:val="00276736"/>
    <w:rsid w:val="002816C0"/>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58F3"/>
    <w:rsid w:val="002A607D"/>
    <w:rsid w:val="002B0878"/>
    <w:rsid w:val="002B132E"/>
    <w:rsid w:val="002B257E"/>
    <w:rsid w:val="002B2813"/>
    <w:rsid w:val="002B2D29"/>
    <w:rsid w:val="002B5DA0"/>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4D7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93C"/>
    <w:rsid w:val="00313CB0"/>
    <w:rsid w:val="00313F96"/>
    <w:rsid w:val="0031473C"/>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4E96"/>
    <w:rsid w:val="0034535E"/>
    <w:rsid w:val="00345405"/>
    <w:rsid w:val="00345BCF"/>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EF8"/>
    <w:rsid w:val="00374126"/>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358"/>
    <w:rsid w:val="003F5547"/>
    <w:rsid w:val="003F5C40"/>
    <w:rsid w:val="003F6E12"/>
    <w:rsid w:val="003F75ED"/>
    <w:rsid w:val="004002B7"/>
    <w:rsid w:val="00400F31"/>
    <w:rsid w:val="004035FF"/>
    <w:rsid w:val="00404844"/>
    <w:rsid w:val="00406B4D"/>
    <w:rsid w:val="0041443C"/>
    <w:rsid w:val="004154F7"/>
    <w:rsid w:val="004165AB"/>
    <w:rsid w:val="00416D44"/>
    <w:rsid w:val="00416EB8"/>
    <w:rsid w:val="004172D6"/>
    <w:rsid w:val="004176FF"/>
    <w:rsid w:val="00421A27"/>
    <w:rsid w:val="00421D0A"/>
    <w:rsid w:val="004238B8"/>
    <w:rsid w:val="004241C5"/>
    <w:rsid w:val="004244AF"/>
    <w:rsid w:val="00424FA7"/>
    <w:rsid w:val="00425397"/>
    <w:rsid w:val="00425D78"/>
    <w:rsid w:val="00426428"/>
    <w:rsid w:val="004266A2"/>
    <w:rsid w:val="00426A87"/>
    <w:rsid w:val="004309D8"/>
    <w:rsid w:val="004313D1"/>
    <w:rsid w:val="00431FD5"/>
    <w:rsid w:val="00432110"/>
    <w:rsid w:val="00433EBE"/>
    <w:rsid w:val="00434406"/>
    <w:rsid w:val="00437A1D"/>
    <w:rsid w:val="00440FED"/>
    <w:rsid w:val="00441194"/>
    <w:rsid w:val="00441B0A"/>
    <w:rsid w:val="00441B92"/>
    <w:rsid w:val="00442607"/>
    <w:rsid w:val="00442AEF"/>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BE1"/>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5484"/>
    <w:rsid w:val="00587229"/>
    <w:rsid w:val="00587503"/>
    <w:rsid w:val="005877C3"/>
    <w:rsid w:val="00587F7F"/>
    <w:rsid w:val="00590784"/>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A50"/>
    <w:rsid w:val="005B1FF6"/>
    <w:rsid w:val="005B2B51"/>
    <w:rsid w:val="005B34D4"/>
    <w:rsid w:val="005B3C6D"/>
    <w:rsid w:val="005B4045"/>
    <w:rsid w:val="005B49A7"/>
    <w:rsid w:val="005B5685"/>
    <w:rsid w:val="005B609E"/>
    <w:rsid w:val="005B6DF6"/>
    <w:rsid w:val="005B6EA6"/>
    <w:rsid w:val="005B780E"/>
    <w:rsid w:val="005B7B7D"/>
    <w:rsid w:val="005C0F71"/>
    <w:rsid w:val="005C1948"/>
    <w:rsid w:val="005C245F"/>
    <w:rsid w:val="005C263C"/>
    <w:rsid w:val="005C2679"/>
    <w:rsid w:val="005C3E8A"/>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1CF6"/>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ABA"/>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9B3"/>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348"/>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9F8"/>
    <w:rsid w:val="00771A92"/>
    <w:rsid w:val="00772569"/>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B0352"/>
    <w:rsid w:val="007B0397"/>
    <w:rsid w:val="007B2B14"/>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C2"/>
    <w:rsid w:val="007E6999"/>
    <w:rsid w:val="007E79C5"/>
    <w:rsid w:val="007F0036"/>
    <w:rsid w:val="007F0CDC"/>
    <w:rsid w:val="007F143A"/>
    <w:rsid w:val="007F171F"/>
    <w:rsid w:val="007F1B17"/>
    <w:rsid w:val="007F2845"/>
    <w:rsid w:val="007F41A0"/>
    <w:rsid w:val="007F43BC"/>
    <w:rsid w:val="007F44D7"/>
    <w:rsid w:val="007F4740"/>
    <w:rsid w:val="007F5CEB"/>
    <w:rsid w:val="00800229"/>
    <w:rsid w:val="008006C6"/>
    <w:rsid w:val="00800C52"/>
    <w:rsid w:val="00800DC4"/>
    <w:rsid w:val="0080153E"/>
    <w:rsid w:val="0080501F"/>
    <w:rsid w:val="0080742D"/>
    <w:rsid w:val="008100AC"/>
    <w:rsid w:val="0081151E"/>
    <w:rsid w:val="00812498"/>
    <w:rsid w:val="0081255B"/>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2834"/>
    <w:rsid w:val="00894FDC"/>
    <w:rsid w:val="008960BE"/>
    <w:rsid w:val="008A0916"/>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92"/>
    <w:rsid w:val="008C57D6"/>
    <w:rsid w:val="008C603A"/>
    <w:rsid w:val="008C71C8"/>
    <w:rsid w:val="008D167D"/>
    <w:rsid w:val="008D261F"/>
    <w:rsid w:val="008D2B53"/>
    <w:rsid w:val="008D3640"/>
    <w:rsid w:val="008D492A"/>
    <w:rsid w:val="008D4B58"/>
    <w:rsid w:val="008D4B8A"/>
    <w:rsid w:val="008D6541"/>
    <w:rsid w:val="008D700C"/>
    <w:rsid w:val="008D7D7B"/>
    <w:rsid w:val="008E0F52"/>
    <w:rsid w:val="008E183F"/>
    <w:rsid w:val="008E2316"/>
    <w:rsid w:val="008E26F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A66"/>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A52"/>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3B"/>
    <w:rsid w:val="00991093"/>
    <w:rsid w:val="0099163B"/>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137"/>
    <w:rsid w:val="009D0E75"/>
    <w:rsid w:val="009D17D4"/>
    <w:rsid w:val="009D19BC"/>
    <w:rsid w:val="009D2348"/>
    <w:rsid w:val="009D2F0C"/>
    <w:rsid w:val="009D3578"/>
    <w:rsid w:val="009D3A5F"/>
    <w:rsid w:val="009D5193"/>
    <w:rsid w:val="009D5C32"/>
    <w:rsid w:val="009D6472"/>
    <w:rsid w:val="009D79F4"/>
    <w:rsid w:val="009E001F"/>
    <w:rsid w:val="009E0F34"/>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C26"/>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A2F"/>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591D"/>
    <w:rsid w:val="00A7618B"/>
    <w:rsid w:val="00A7640B"/>
    <w:rsid w:val="00A7778B"/>
    <w:rsid w:val="00A803BC"/>
    <w:rsid w:val="00A80969"/>
    <w:rsid w:val="00A80C68"/>
    <w:rsid w:val="00A814CB"/>
    <w:rsid w:val="00A8459C"/>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5B6"/>
    <w:rsid w:val="00AC0AB6"/>
    <w:rsid w:val="00AC0C71"/>
    <w:rsid w:val="00AC10AD"/>
    <w:rsid w:val="00AC1E55"/>
    <w:rsid w:val="00AC429F"/>
    <w:rsid w:val="00AC5F27"/>
    <w:rsid w:val="00AC60B4"/>
    <w:rsid w:val="00AC719C"/>
    <w:rsid w:val="00AD00C5"/>
    <w:rsid w:val="00AD085F"/>
    <w:rsid w:val="00AD165F"/>
    <w:rsid w:val="00AD2794"/>
    <w:rsid w:val="00AD2DC5"/>
    <w:rsid w:val="00AD3455"/>
    <w:rsid w:val="00AD3CAD"/>
    <w:rsid w:val="00AD4E11"/>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D7B"/>
    <w:rsid w:val="00BA6548"/>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20C"/>
    <w:rsid w:val="00BD598A"/>
    <w:rsid w:val="00BD692E"/>
    <w:rsid w:val="00BD75B4"/>
    <w:rsid w:val="00BD7BFE"/>
    <w:rsid w:val="00BD7D14"/>
    <w:rsid w:val="00BE02B4"/>
    <w:rsid w:val="00BE0A4E"/>
    <w:rsid w:val="00BE1553"/>
    <w:rsid w:val="00BE23F8"/>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208F"/>
    <w:rsid w:val="00C02367"/>
    <w:rsid w:val="00C02E65"/>
    <w:rsid w:val="00C03309"/>
    <w:rsid w:val="00C04A55"/>
    <w:rsid w:val="00C067D5"/>
    <w:rsid w:val="00C072FE"/>
    <w:rsid w:val="00C12E39"/>
    <w:rsid w:val="00C1339A"/>
    <w:rsid w:val="00C14164"/>
    <w:rsid w:val="00C15D8E"/>
    <w:rsid w:val="00C16FE0"/>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649"/>
    <w:rsid w:val="00C43807"/>
    <w:rsid w:val="00C43FF0"/>
    <w:rsid w:val="00C44641"/>
    <w:rsid w:val="00C45EF5"/>
    <w:rsid w:val="00C46B7E"/>
    <w:rsid w:val="00C50A4E"/>
    <w:rsid w:val="00C50CE4"/>
    <w:rsid w:val="00C51A73"/>
    <w:rsid w:val="00C520B1"/>
    <w:rsid w:val="00C522D6"/>
    <w:rsid w:val="00C52FA3"/>
    <w:rsid w:val="00C53BBB"/>
    <w:rsid w:val="00C54020"/>
    <w:rsid w:val="00C5406F"/>
    <w:rsid w:val="00C545C5"/>
    <w:rsid w:val="00C54A94"/>
    <w:rsid w:val="00C55566"/>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35EE"/>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53BF"/>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216B"/>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773"/>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6F5F"/>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6F0"/>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3DC8"/>
    <w:rsid w:val="00F34350"/>
    <w:rsid w:val="00F34444"/>
    <w:rsid w:val="00F34F36"/>
    <w:rsid w:val="00F360A6"/>
    <w:rsid w:val="00F36F33"/>
    <w:rsid w:val="00F4065A"/>
    <w:rsid w:val="00F40F19"/>
    <w:rsid w:val="00F4275C"/>
    <w:rsid w:val="00F45693"/>
    <w:rsid w:val="00F47983"/>
    <w:rsid w:val="00F47C8B"/>
    <w:rsid w:val="00F506DF"/>
    <w:rsid w:val="00F51F04"/>
    <w:rsid w:val="00F52339"/>
    <w:rsid w:val="00F5277A"/>
    <w:rsid w:val="00F532E8"/>
    <w:rsid w:val="00F537FF"/>
    <w:rsid w:val="00F53F50"/>
    <w:rsid w:val="00F54405"/>
    <w:rsid w:val="00F560FE"/>
    <w:rsid w:val="00F605B6"/>
    <w:rsid w:val="00F60879"/>
    <w:rsid w:val="00F6111C"/>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379"/>
    <w:rsid w:val="00FB31C3"/>
    <w:rsid w:val="00FB4A7A"/>
    <w:rsid w:val="00FB4B8A"/>
    <w:rsid w:val="00FB5152"/>
    <w:rsid w:val="00FB59FD"/>
    <w:rsid w:val="00FB680E"/>
    <w:rsid w:val="00FC0065"/>
    <w:rsid w:val="00FC3AEE"/>
    <w:rsid w:val="00FC6238"/>
    <w:rsid w:val="00FC78AD"/>
    <w:rsid w:val="00FD0D70"/>
    <w:rsid w:val="00FD1E00"/>
    <w:rsid w:val="00FD33FC"/>
    <w:rsid w:val="00FD3730"/>
    <w:rsid w:val="00FD3A9B"/>
    <w:rsid w:val="00FD3ADE"/>
    <w:rsid w:val="00FD3B08"/>
    <w:rsid w:val="00FD3F69"/>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5AIRPNAIUNRU-1830940522-3365</_dlc_DocId>
    <_dlc_DocIdUrl xmlns="71c5aaf6-e6ce-465b-b873-5148d2a4c105">
      <Url>https://nokia.sharepoint.com/sites/c5g/5gradio/_layouts/15/DocIdRedir.aspx?ID=5AIRPNAIUNRU-1830940522-3365</Url>
      <Description>5AIRPNAIUNRU-1830940522-3365</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5F171-1F8D-4B5D-B50F-968A2D5CA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ebabf6ce-2443-438c-9946-ecc878e7654a"/>
    <ds:schemaRef ds:uri="http://www.w3.org/XML/1998/namespace"/>
  </ds:schemaRefs>
</ds:datastoreItem>
</file>

<file path=customXml/itemProps6.xml><?xml version="1.0" encoding="utf-8"?>
<ds:datastoreItem xmlns:ds="http://schemas.openxmlformats.org/officeDocument/2006/customXml" ds:itemID="{FBE9CAC0-E3BC-4D0C-B123-95620E7DB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1259</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2</cp:revision>
  <cp:lastPrinted>2016-06-20T11:35:00Z</cp:lastPrinted>
  <dcterms:created xsi:type="dcterms:W3CDTF">2018-05-11T18:56:00Z</dcterms:created>
  <dcterms:modified xsi:type="dcterms:W3CDTF">2018-05-11T18:56:00Z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b9e05772-cbff-474e-9386-63348b17f86b</vt:lpwstr>
  </property>
</Properties>
</file>