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6FE968FF" w:rsidR="0040502E" w:rsidRPr="00EE76A9" w:rsidRDefault="006831BD"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11672A">
        <w:rPr>
          <w:noProof w:val="0"/>
          <w:sz w:val="24"/>
          <w:lang w:val="en-GB"/>
        </w:rPr>
        <w:t>1 meeting #93</w:t>
      </w:r>
      <w:r w:rsidR="0040502E" w:rsidRPr="007B7496">
        <w:rPr>
          <w:bCs/>
          <w:noProof w:val="0"/>
          <w:sz w:val="24"/>
          <w:lang w:val="en-GB"/>
        </w:rPr>
        <w:tab/>
      </w:r>
      <w:r w:rsidR="00FB337A" w:rsidRPr="00FB337A">
        <w:rPr>
          <w:bCs/>
          <w:noProof w:val="0"/>
          <w:sz w:val="24"/>
          <w:lang w:val="en-GB" w:eastAsia="ja-JP"/>
        </w:rPr>
        <w:t>R1-</w:t>
      </w:r>
      <w:r w:rsidR="004E7DA1" w:rsidRPr="00FB337A">
        <w:rPr>
          <w:bCs/>
          <w:noProof w:val="0"/>
          <w:sz w:val="24"/>
          <w:lang w:val="en-GB" w:eastAsia="ja-JP"/>
        </w:rPr>
        <w:t>18</w:t>
      </w:r>
      <w:r w:rsidR="0011672A">
        <w:rPr>
          <w:bCs/>
          <w:noProof w:val="0"/>
          <w:sz w:val="24"/>
          <w:lang w:val="en-GB" w:eastAsia="ja-JP"/>
        </w:rPr>
        <w:t>0</w:t>
      </w:r>
      <w:r w:rsidR="009B5352">
        <w:rPr>
          <w:bCs/>
          <w:noProof w:val="0"/>
          <w:sz w:val="24"/>
          <w:lang w:val="en-GB" w:eastAsia="ja-JP"/>
        </w:rPr>
        <w:t>7171</w:t>
      </w:r>
    </w:p>
    <w:p w14:paraId="578787D6" w14:textId="686DF7A5" w:rsidR="000D620A" w:rsidRPr="007B7496" w:rsidRDefault="0011672A" w:rsidP="000D620A">
      <w:pPr>
        <w:pStyle w:val="Header"/>
        <w:rPr>
          <w:bCs/>
          <w:noProof w:val="0"/>
          <w:sz w:val="24"/>
          <w:lang w:val="en-GB" w:eastAsia="ja-JP"/>
        </w:rPr>
      </w:pPr>
      <w:r>
        <w:rPr>
          <w:noProof w:val="0"/>
          <w:sz w:val="24"/>
          <w:lang w:val="en-GB"/>
        </w:rPr>
        <w:t>Busan</w:t>
      </w:r>
      <w:r w:rsidR="004E7DA1" w:rsidRPr="004E7DA1">
        <w:rPr>
          <w:noProof w:val="0"/>
          <w:sz w:val="24"/>
          <w:lang w:val="en-GB"/>
        </w:rPr>
        <w:t xml:space="preserve">, </w:t>
      </w:r>
      <w:r w:rsidR="007F57E8" w:rsidRPr="007F57E8">
        <w:rPr>
          <w:noProof w:val="0"/>
          <w:sz w:val="24"/>
          <w:lang w:val="en-GB"/>
        </w:rPr>
        <w:t>Republic of Korea</w:t>
      </w:r>
      <w:r>
        <w:rPr>
          <w:noProof w:val="0"/>
          <w:sz w:val="24"/>
          <w:lang w:val="en-GB"/>
        </w:rPr>
        <w:t>, May 21</w:t>
      </w:r>
      <w:r w:rsidRPr="0011672A">
        <w:rPr>
          <w:noProof w:val="0"/>
          <w:sz w:val="24"/>
          <w:vertAlign w:val="superscript"/>
          <w:lang w:val="en-GB"/>
        </w:rPr>
        <w:t>st</w:t>
      </w:r>
      <w:r>
        <w:rPr>
          <w:noProof w:val="0"/>
          <w:sz w:val="24"/>
          <w:lang w:val="en-GB"/>
        </w:rPr>
        <w:t xml:space="preserve"> – 25</w:t>
      </w:r>
      <w:r w:rsidRPr="0011672A">
        <w:rPr>
          <w:noProof w:val="0"/>
          <w:sz w:val="24"/>
          <w:vertAlign w:val="superscript"/>
          <w:lang w:val="en-GB"/>
        </w:rPr>
        <w:t>th</w:t>
      </w:r>
      <w:r w:rsidR="004E7DA1" w:rsidRPr="004E7DA1">
        <w:rPr>
          <w:noProof w:val="0"/>
          <w:sz w:val="24"/>
          <w:lang w:val="en-GB"/>
        </w:rPr>
        <w:t>, 2018</w:t>
      </w:r>
      <w:bookmarkEnd w:id="0"/>
      <w:bookmarkEnd w:id="1"/>
    </w:p>
    <w:p w14:paraId="10752044" w14:textId="7FC08665" w:rsidR="00EE60EC" w:rsidRPr="002E76E9" w:rsidRDefault="00EE60EC" w:rsidP="00EE60EC">
      <w:pPr>
        <w:pStyle w:val="CRCoverPage"/>
        <w:rPr>
          <w:rFonts w:cs="Arial"/>
          <w:b/>
          <w:bCs/>
          <w:sz w:val="24"/>
          <w:lang w:val="en-US" w:eastAsia="ja-JP"/>
        </w:rPr>
      </w:pPr>
      <w:r w:rsidRPr="002E76E9">
        <w:rPr>
          <w:rFonts w:cs="Arial"/>
          <w:b/>
          <w:bCs/>
          <w:sz w:val="24"/>
          <w:lang w:val="en-US"/>
        </w:rPr>
        <w:t>Agenda item:</w:t>
      </w:r>
      <w:r w:rsidRPr="002E76E9">
        <w:rPr>
          <w:rFonts w:cs="Arial"/>
          <w:b/>
          <w:bCs/>
          <w:sz w:val="24"/>
          <w:lang w:val="en-US"/>
        </w:rPr>
        <w:tab/>
      </w:r>
      <w:r w:rsidRPr="002E76E9">
        <w:rPr>
          <w:rFonts w:cs="Arial"/>
          <w:b/>
          <w:bCs/>
          <w:sz w:val="24"/>
          <w:lang w:val="en-US"/>
        </w:rPr>
        <w:tab/>
        <w:t>7.1.1</w:t>
      </w:r>
      <w:r>
        <w:rPr>
          <w:rFonts w:cs="Arial"/>
          <w:b/>
          <w:bCs/>
          <w:sz w:val="24"/>
          <w:lang w:val="en-US"/>
        </w:rPr>
        <w:t>.</w:t>
      </w:r>
      <w:r w:rsidR="009B5352">
        <w:rPr>
          <w:rFonts w:cs="Arial"/>
          <w:b/>
          <w:bCs/>
          <w:sz w:val="24"/>
          <w:lang w:val="en-US"/>
        </w:rPr>
        <w:t>2</w:t>
      </w:r>
      <w:r w:rsidR="00B26F07">
        <w:rPr>
          <w:rFonts w:cs="Arial"/>
          <w:b/>
          <w:bCs/>
          <w:sz w:val="24"/>
          <w:lang w:val="en-US"/>
        </w:rPr>
        <w:t>.1</w:t>
      </w:r>
    </w:p>
    <w:p w14:paraId="7863829A" w14:textId="77777777" w:rsidR="00EE60EC" w:rsidRPr="002E76E9" w:rsidRDefault="00EE60EC" w:rsidP="00EE60EC">
      <w:pPr>
        <w:tabs>
          <w:tab w:val="left" w:pos="1985"/>
        </w:tabs>
        <w:ind w:left="1985" w:hanging="1985"/>
        <w:rPr>
          <w:rFonts w:ascii="Arial" w:hAnsi="Arial" w:cs="Arial"/>
          <w:b/>
          <w:bCs/>
          <w:sz w:val="24"/>
          <w:lang w:val="en-US"/>
        </w:rPr>
      </w:pPr>
      <w:r w:rsidRPr="002E76E9">
        <w:rPr>
          <w:rFonts w:ascii="Arial" w:hAnsi="Arial" w:cs="Arial"/>
          <w:b/>
          <w:bCs/>
          <w:sz w:val="24"/>
          <w:lang w:val="en-US"/>
        </w:rPr>
        <w:t>Source:</w:t>
      </w:r>
      <w:r w:rsidRPr="002E76E9">
        <w:rPr>
          <w:rFonts w:ascii="Arial" w:hAnsi="Arial" w:cs="Arial"/>
          <w:b/>
          <w:bCs/>
          <w:sz w:val="24"/>
          <w:lang w:val="en-US"/>
        </w:rPr>
        <w:tab/>
      </w:r>
      <w:bookmarkStart w:id="3" w:name="OLE_LINK1"/>
      <w:bookmarkStart w:id="4" w:name="OLE_LINK2"/>
      <w:r w:rsidRPr="002E76E9">
        <w:rPr>
          <w:rFonts w:ascii="Arial" w:hAnsi="Arial" w:cs="Arial"/>
          <w:b/>
          <w:bCs/>
          <w:sz w:val="24"/>
          <w:lang w:val="en-US"/>
        </w:rPr>
        <w:t>Nokia</w:t>
      </w:r>
      <w:bookmarkEnd w:id="3"/>
      <w:bookmarkEnd w:id="4"/>
      <w:r w:rsidRPr="002E76E9">
        <w:rPr>
          <w:rFonts w:ascii="Arial" w:hAnsi="Arial" w:cs="Arial"/>
          <w:b/>
          <w:bCs/>
          <w:sz w:val="24"/>
          <w:lang w:val="en-US"/>
        </w:rPr>
        <w:t>, Nokia Shanghai Bell</w:t>
      </w:r>
    </w:p>
    <w:p w14:paraId="1C964D1A" w14:textId="5E8621BC" w:rsidR="00EE60EC" w:rsidRPr="006C67C3" w:rsidRDefault="00EE60EC" w:rsidP="00EE60EC">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F63AE">
        <w:rPr>
          <w:rFonts w:ascii="Arial" w:hAnsi="Arial" w:cs="Arial"/>
          <w:b/>
          <w:bCs/>
          <w:sz w:val="24"/>
        </w:rPr>
        <w:t>Remaining issues related to PBCH</w:t>
      </w:r>
      <w:r>
        <w:rPr>
          <w:rFonts w:ascii="Arial" w:hAnsi="Arial" w:cs="Arial"/>
          <w:b/>
          <w:bCs/>
          <w:sz w:val="24"/>
        </w:rPr>
        <w:t xml:space="preserve"> </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04FBC7A" w14:textId="7D8BABD1" w:rsidR="00D8357B" w:rsidRPr="00B56354" w:rsidRDefault="0065740C" w:rsidP="00C7316D">
      <w:pPr>
        <w:spacing w:after="120"/>
        <w:jc w:val="both"/>
        <w:rPr>
          <w:rFonts w:cs="Times New Roman"/>
          <w:lang w:val="en-US"/>
        </w:rPr>
      </w:pPr>
      <w:r w:rsidRPr="006C67C3">
        <w:rPr>
          <w:rFonts w:ascii="Times New Roman" w:hAnsi="Times New Roman"/>
          <w:bCs/>
          <w:sz w:val="20"/>
          <w:szCs w:val="20"/>
          <w:lang w:val="en-US"/>
        </w:rPr>
        <w:t xml:space="preserve">In </w:t>
      </w:r>
      <w:r w:rsidR="00C7316D">
        <w:rPr>
          <w:rFonts w:ascii="Times New Roman" w:hAnsi="Times New Roman"/>
          <w:bCs/>
          <w:sz w:val="20"/>
          <w:szCs w:val="20"/>
          <w:lang w:val="en-US"/>
        </w:rPr>
        <w:t>this paper we address ope</w:t>
      </w:r>
      <w:r w:rsidR="00443BF1">
        <w:rPr>
          <w:rFonts w:ascii="Times New Roman" w:hAnsi="Times New Roman"/>
          <w:bCs/>
          <w:sz w:val="20"/>
          <w:szCs w:val="20"/>
          <w:lang w:val="en-US"/>
        </w:rPr>
        <w:t>n issues</w:t>
      </w:r>
      <w:r w:rsidR="00C7316D">
        <w:rPr>
          <w:rFonts w:ascii="Times New Roman" w:hAnsi="Times New Roman"/>
          <w:bCs/>
          <w:sz w:val="20"/>
          <w:szCs w:val="20"/>
          <w:lang w:val="en-US"/>
        </w:rPr>
        <w:t xml:space="preserve"> related to PBCH.</w:t>
      </w:r>
    </w:p>
    <w:p w14:paraId="7C8BC337" w14:textId="1F196671" w:rsidR="00E56ADC" w:rsidRDefault="006831BD" w:rsidP="00E56ADC">
      <w:pPr>
        <w:pStyle w:val="Heading1"/>
      </w:pPr>
      <w:r>
        <w:t>2</w:t>
      </w:r>
      <w:r w:rsidR="00E56ADC">
        <w:tab/>
      </w:r>
      <w:r w:rsidR="00C7316D">
        <w:t>On cell-defining SSB indication</w:t>
      </w:r>
    </w:p>
    <w:p w14:paraId="35A82267" w14:textId="2C7BCAAE" w:rsidR="006F63AE" w:rsidRDefault="006F63AE" w:rsidP="00BA34B9">
      <w:pPr>
        <w:rPr>
          <w:rFonts w:ascii="Times New Roman" w:hAnsi="Times New Roman" w:cs="Times New Roman"/>
          <w:sz w:val="20"/>
          <w:lang w:val="en-US"/>
        </w:rPr>
      </w:pPr>
      <w:r>
        <w:rPr>
          <w:rFonts w:ascii="Times New Roman" w:hAnsi="Times New Roman" w:cs="Times New Roman"/>
          <w:sz w:val="20"/>
          <w:lang w:val="en-US"/>
        </w:rPr>
        <w:t>In RAN1#92 working assumption regarding the cell-defining SSB were made, which were then confirmed in la</w:t>
      </w:r>
      <w:r w:rsidR="00C7316D">
        <w:rPr>
          <w:rFonts w:ascii="Times New Roman" w:hAnsi="Times New Roman" w:cs="Times New Roman"/>
          <w:sz w:val="20"/>
          <w:lang w:val="en-US"/>
        </w:rPr>
        <w:t>t</w:t>
      </w:r>
      <w:r>
        <w:rPr>
          <w:rFonts w:ascii="Times New Roman" w:hAnsi="Times New Roman" w:cs="Times New Roman"/>
          <w:sz w:val="20"/>
          <w:lang w:val="en-US"/>
        </w:rPr>
        <w:t xml:space="preserve">er meeting, RAN1#92bis, as follows </w:t>
      </w:r>
    </w:p>
    <w:tbl>
      <w:tblPr>
        <w:tblStyle w:val="TableGrid"/>
        <w:tblW w:w="0" w:type="auto"/>
        <w:tblLook w:val="04A0" w:firstRow="1" w:lastRow="0" w:firstColumn="1" w:lastColumn="0" w:noHBand="0" w:noVBand="1"/>
      </w:tblPr>
      <w:tblGrid>
        <w:gridCol w:w="9629"/>
      </w:tblGrid>
      <w:tr w:rsidR="006F63AE" w:rsidRPr="00884182" w14:paraId="06E8922E" w14:textId="77777777" w:rsidTr="004C6E82">
        <w:tc>
          <w:tcPr>
            <w:tcW w:w="9629" w:type="dxa"/>
          </w:tcPr>
          <w:p w14:paraId="02B32933" w14:textId="77777777" w:rsidR="006F63AE" w:rsidRPr="006F63AE" w:rsidRDefault="006F63AE" w:rsidP="004C6E82">
            <w:pPr>
              <w:spacing w:after="0" w:line="240" w:lineRule="auto"/>
              <w:ind w:left="720" w:hanging="720"/>
              <w:rPr>
                <w:rFonts w:ascii="Times" w:eastAsia="Batang" w:hAnsi="Times" w:cs="Times New Roman"/>
                <w:b/>
                <w:sz w:val="20"/>
                <w:szCs w:val="20"/>
                <w:lang w:eastAsia="x-none"/>
              </w:rPr>
            </w:pPr>
            <w:r w:rsidRPr="006F63AE">
              <w:rPr>
                <w:rFonts w:ascii="Times" w:eastAsia="Batang" w:hAnsi="Times" w:cs="Times New Roman"/>
                <w:sz w:val="20"/>
                <w:szCs w:val="20"/>
                <w:highlight w:val="green"/>
                <w:lang w:eastAsia="x-none"/>
              </w:rPr>
              <w:t>Agreements</w:t>
            </w:r>
            <w:r w:rsidRPr="006F63AE">
              <w:rPr>
                <w:rFonts w:ascii="Times" w:eastAsia="Batang" w:hAnsi="Times" w:cs="Times New Roman"/>
                <w:b/>
                <w:sz w:val="20"/>
                <w:szCs w:val="20"/>
                <w:lang w:eastAsia="x-none"/>
              </w:rPr>
              <w:t>:</w:t>
            </w:r>
          </w:p>
          <w:p w14:paraId="2E403D14" w14:textId="77777777" w:rsidR="006F63AE" w:rsidRPr="006F63AE" w:rsidRDefault="006F63AE" w:rsidP="00A02CC5">
            <w:pPr>
              <w:numPr>
                <w:ilvl w:val="0"/>
                <w:numId w:val="5"/>
              </w:numPr>
              <w:spacing w:after="0" w:line="240" w:lineRule="auto"/>
              <w:ind w:left="1440"/>
              <w:rPr>
                <w:rFonts w:ascii="Times" w:eastAsia="Batang" w:hAnsi="Times" w:cs="Times New Roman"/>
                <w:sz w:val="20"/>
                <w:szCs w:val="20"/>
              </w:rPr>
            </w:pPr>
            <w:r w:rsidRPr="006F63AE">
              <w:rPr>
                <w:rFonts w:ascii="Times" w:eastAsia="Batang" w:hAnsi="Times" w:cs="Times New Roman"/>
                <w:sz w:val="20"/>
                <w:szCs w:val="20"/>
              </w:rPr>
              <w:t>Confirm working assumption on signalling tables for indication of cell-defining SSB</w:t>
            </w:r>
          </w:p>
          <w:p w14:paraId="717400E8" w14:textId="77777777" w:rsidR="006F63AE" w:rsidRPr="006F63AE" w:rsidRDefault="006F63AE" w:rsidP="004C6E82">
            <w:pPr>
              <w:spacing w:after="0" w:line="240" w:lineRule="auto"/>
              <w:ind w:left="720" w:hanging="720"/>
              <w:rPr>
                <w:rFonts w:ascii="Times" w:eastAsia="Batang" w:hAnsi="Times" w:cs="Times New Roman"/>
                <w:b/>
                <w:sz w:val="20"/>
                <w:szCs w:val="24"/>
                <w:lang w:eastAsia="x-none"/>
              </w:rPr>
            </w:pPr>
          </w:p>
          <w:p w14:paraId="0A53B08E" w14:textId="77777777" w:rsidR="006F63AE" w:rsidRPr="006F63AE" w:rsidRDefault="006F63AE" w:rsidP="004C6E82">
            <w:pPr>
              <w:spacing w:after="0" w:line="240" w:lineRule="auto"/>
              <w:ind w:left="720" w:hanging="720"/>
              <w:rPr>
                <w:rFonts w:ascii="Times" w:eastAsia="Batang" w:hAnsi="Times" w:cs="Times New Roman"/>
                <w:b/>
                <w:sz w:val="20"/>
                <w:szCs w:val="20"/>
                <w:lang w:eastAsia="x-none"/>
              </w:rPr>
            </w:pPr>
            <w:r w:rsidRPr="006F63AE">
              <w:rPr>
                <w:rFonts w:ascii="Times" w:eastAsia="Batang" w:hAnsi="Times" w:cs="Times New Roman"/>
                <w:sz w:val="20"/>
                <w:szCs w:val="20"/>
                <w:highlight w:val="green"/>
                <w:lang w:eastAsia="x-none"/>
              </w:rPr>
              <w:t>Agreements</w:t>
            </w:r>
            <w:r w:rsidRPr="006F63AE">
              <w:rPr>
                <w:rFonts w:ascii="Times" w:eastAsia="Batang" w:hAnsi="Times" w:cs="Times New Roman"/>
                <w:b/>
                <w:sz w:val="20"/>
                <w:szCs w:val="20"/>
                <w:lang w:eastAsia="x-none"/>
              </w:rPr>
              <w:t>:</w:t>
            </w:r>
          </w:p>
          <w:p w14:paraId="47A8FD32" w14:textId="77777777" w:rsidR="006F63AE" w:rsidRPr="006F63AE" w:rsidRDefault="006F63AE" w:rsidP="00A02CC5">
            <w:pPr>
              <w:numPr>
                <w:ilvl w:val="0"/>
                <w:numId w:val="6"/>
              </w:numPr>
              <w:overflowPunct w:val="0"/>
              <w:autoSpaceDE w:val="0"/>
              <w:autoSpaceDN w:val="0"/>
              <w:adjustRightInd w:val="0"/>
              <w:spacing w:after="120" w:line="240" w:lineRule="auto"/>
              <w:contextualSpacing/>
              <w:jc w:val="both"/>
              <w:textAlignment w:val="baseline"/>
              <w:rPr>
                <w:rFonts w:ascii="Times" w:eastAsia="SimSun" w:hAnsi="Times" w:cs="Times"/>
                <w:sz w:val="20"/>
                <w:szCs w:val="20"/>
                <w:lang w:eastAsia="x-none"/>
              </w:rPr>
            </w:pPr>
            <w:r w:rsidRPr="006F63AE">
              <w:rPr>
                <w:rFonts w:ascii="Times" w:eastAsia="SimSun" w:hAnsi="Times" w:cs="Times"/>
                <w:sz w:val="20"/>
                <w:szCs w:val="20"/>
                <w:lang w:eastAsia="x-none"/>
              </w:rPr>
              <w:t>Confirm working assumption on step size X=1 (for cell-defining SSB)</w:t>
            </w:r>
          </w:p>
          <w:p w14:paraId="39063730" w14:textId="77777777" w:rsidR="006F63AE" w:rsidRPr="006F63AE" w:rsidRDefault="006F63AE" w:rsidP="004C6E82">
            <w:pPr>
              <w:spacing w:after="0" w:line="240" w:lineRule="auto"/>
              <w:ind w:left="720" w:hanging="720"/>
              <w:rPr>
                <w:rFonts w:ascii="Times" w:eastAsia="Batang" w:hAnsi="Times" w:cs="Times New Roman"/>
                <w:sz w:val="20"/>
                <w:szCs w:val="20"/>
                <w:lang w:eastAsia="x-none"/>
              </w:rPr>
            </w:pPr>
            <w:r w:rsidRPr="006F63AE">
              <w:rPr>
                <w:rFonts w:ascii="Times" w:eastAsia="Batang" w:hAnsi="Times" w:cs="Times New Roman"/>
                <w:sz w:val="20"/>
                <w:szCs w:val="20"/>
                <w:highlight w:val="green"/>
                <w:lang w:eastAsia="x-none"/>
              </w:rPr>
              <w:t>Agreements</w:t>
            </w:r>
            <w:r w:rsidRPr="006F63AE">
              <w:rPr>
                <w:rFonts w:ascii="Times" w:eastAsia="Batang" w:hAnsi="Times" w:cs="Times New Roman"/>
                <w:sz w:val="20"/>
                <w:szCs w:val="20"/>
                <w:lang w:eastAsia="x-none"/>
              </w:rPr>
              <w:t>:</w:t>
            </w:r>
          </w:p>
          <w:p w14:paraId="3E8005FA" w14:textId="77777777" w:rsidR="006F63AE" w:rsidRPr="006F63AE" w:rsidRDefault="006F63AE" w:rsidP="00A02CC5">
            <w:pPr>
              <w:numPr>
                <w:ilvl w:val="0"/>
                <w:numId w:val="5"/>
              </w:numPr>
              <w:spacing w:after="0" w:line="240" w:lineRule="auto"/>
              <w:ind w:left="1440"/>
              <w:rPr>
                <w:rFonts w:ascii="Times" w:eastAsia="Batang" w:hAnsi="Times" w:cs="Times New Roman"/>
                <w:sz w:val="20"/>
                <w:szCs w:val="20"/>
                <w:lang w:eastAsia="x-none"/>
              </w:rPr>
            </w:pPr>
            <w:r w:rsidRPr="006F63AE">
              <w:rPr>
                <w:rFonts w:ascii="Times" w:eastAsia="Batang" w:hAnsi="Times" w:cs="Times New Roman"/>
                <w:sz w:val="20"/>
                <w:szCs w:val="20"/>
                <w:lang w:eastAsia="x-none"/>
              </w:rPr>
              <w:t>To adopt the following TP to 38.213, Section 13:</w:t>
            </w:r>
          </w:p>
          <w:p w14:paraId="507223FB" w14:textId="77777777" w:rsidR="006F63AE" w:rsidRPr="006F63AE" w:rsidRDefault="006F63AE" w:rsidP="004C6E82">
            <w:pPr>
              <w:spacing w:after="180" w:line="240" w:lineRule="auto"/>
              <w:ind w:left="720" w:hanging="720"/>
              <w:textAlignment w:val="bottom"/>
              <w:rPr>
                <w:rFonts w:ascii="Times New Roman" w:eastAsia="Batang" w:hAnsi="Times New Roman" w:cs="Times New Roman"/>
                <w:sz w:val="20"/>
                <w:szCs w:val="20"/>
              </w:rPr>
            </w:pPr>
            <w:r w:rsidRPr="006F63AE">
              <w:rPr>
                <w:rFonts w:ascii="Times New Roman" w:eastAsia="Batang" w:hAnsi="Times New Roman" w:cs="Times New Roman"/>
                <w:sz w:val="20"/>
                <w:szCs w:val="20"/>
              </w:rPr>
              <w:t xml:space="preserve">If a UE detects a first SS/PBCH block and determines that a control resource set for Type0-PDCCH common search space is not present, and for </w:t>
            </w:r>
            <w:r w:rsidRPr="006F63AE">
              <w:rPr>
                <w:rFonts w:ascii="Times New Roman" w:eastAsia="Batang" w:hAnsi="Times New Roman" w:cs="Times New Roman"/>
                <w:position w:val="-10"/>
                <w:sz w:val="20"/>
                <w:szCs w:val="20"/>
              </w:rPr>
              <w:object w:dxaOrig="1200" w:dyaOrig="315" w14:anchorId="2515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5pt;height:15.45pt" o:ole="">
                  <v:imagedata r:id="rId8" o:title=""/>
                </v:shape>
                <o:OLEObject Type="Embed" ProgID="Equation.3" ShapeID="_x0000_i1025" DrawAspect="Content" ObjectID="_1587576182" r:id="rId9"/>
              </w:object>
            </w:r>
            <w:r w:rsidRPr="006F63AE">
              <w:rPr>
                <w:rFonts w:ascii="Times New Roman" w:eastAsia="Batang" w:hAnsi="Times New Roman" w:cs="Times New Roman"/>
                <w:sz w:val="20"/>
                <w:szCs w:val="20"/>
              </w:rPr>
              <w:t xml:space="preserve"> for FR1 or for </w:t>
            </w:r>
            <w:r w:rsidRPr="006F63AE">
              <w:rPr>
                <w:rFonts w:ascii="Times New Roman" w:eastAsia="Batang" w:hAnsi="Times New Roman" w:cs="Times New Roman"/>
                <w:position w:val="-10"/>
                <w:sz w:val="20"/>
                <w:szCs w:val="20"/>
              </w:rPr>
              <w:object w:dxaOrig="1170" w:dyaOrig="315" w14:anchorId="3B2535CE">
                <v:shape id="_x0000_i1026" type="#_x0000_t75" style="width:58.75pt;height:15.45pt" o:ole="">
                  <v:imagedata r:id="rId10" o:title=""/>
                </v:shape>
                <o:OLEObject Type="Embed" ProgID="Equation.3" ShapeID="_x0000_i1026" DrawAspect="Content" ObjectID="_1587576183" r:id="rId11"/>
              </w:object>
            </w:r>
            <w:r w:rsidRPr="006F63AE">
              <w:rPr>
                <w:rFonts w:ascii="Times New Roman" w:eastAsia="Batang" w:hAnsi="Times New Roman" w:cs="Times New Roman"/>
                <w:sz w:val="20"/>
                <w:szCs w:val="20"/>
              </w:rPr>
              <w:t xml:space="preserve"> for FR2, the UE determines the </w:t>
            </w:r>
            <w:r w:rsidRPr="006F63AE">
              <w:rPr>
                <w:rFonts w:ascii="Times New Roman" w:eastAsia="Batang" w:hAnsi="Times New Roman" w:cs="Times New Roman"/>
                <w:color w:val="FF0000"/>
                <w:sz w:val="20"/>
                <w:szCs w:val="20"/>
                <w:u w:val="single"/>
              </w:rPr>
              <w:t>nearest (in the corresponding frequency direction)</w:t>
            </w:r>
            <w:r w:rsidRPr="006F63AE">
              <w:rPr>
                <w:rFonts w:ascii="Times New Roman" w:eastAsia="Batang" w:hAnsi="Times New Roman" w:cs="Times New Roman"/>
                <w:sz w:val="20"/>
                <w:szCs w:val="20"/>
              </w:rPr>
              <w:t xml:space="preserve"> global synchronization channel number (GSCN) of a second SS/PBCH block having a control resource set for an associated Type0-PDCCH common search space as </w:t>
            </w:r>
            <w:r w:rsidRPr="006F63AE">
              <w:rPr>
                <w:rFonts w:ascii="Times New Roman" w:eastAsia="Batang" w:hAnsi="Times New Roman" w:cs="Times New Roman"/>
                <w:position w:val="-10"/>
                <w:sz w:val="20"/>
                <w:szCs w:val="20"/>
              </w:rPr>
              <w:object w:dxaOrig="1395" w:dyaOrig="345" w14:anchorId="1D8DE9DE">
                <v:shape id="_x0000_i1027" type="#_x0000_t75" style="width:69.8pt;height:17.25pt" o:ole="">
                  <v:imagedata r:id="rId12" o:title=""/>
                </v:shape>
                <o:OLEObject Type="Embed" ProgID="Equation.3" ShapeID="_x0000_i1027" DrawAspect="Content" ObjectID="_1587576184" r:id="rId13"/>
              </w:object>
            </w:r>
            <w:r w:rsidRPr="006F63AE">
              <w:rPr>
                <w:rFonts w:ascii="Times New Roman" w:eastAsia="Batang" w:hAnsi="Times New Roman" w:cs="Times New Roman"/>
                <w:sz w:val="20"/>
                <w:szCs w:val="20"/>
              </w:rPr>
              <w:t xml:space="preserve">. </w:t>
            </w:r>
            <w:r w:rsidRPr="006F63AE">
              <w:rPr>
                <w:rFonts w:ascii="Times New Roman" w:eastAsia="Batang" w:hAnsi="Times New Roman" w:cs="Times New Roman"/>
                <w:position w:val="-10"/>
                <w:sz w:val="20"/>
                <w:szCs w:val="20"/>
              </w:rPr>
              <w:object w:dxaOrig="720" w:dyaOrig="345" w14:anchorId="6851AECE">
                <v:shape id="_x0000_i1028" type="#_x0000_t75" style="width:36.65pt;height:17.25pt" o:ole="">
                  <v:imagedata r:id="rId14" o:title=""/>
                </v:shape>
                <o:OLEObject Type="Embed" ProgID="Equation.3" ShapeID="_x0000_i1028" DrawAspect="Content" ObjectID="_1587576185" r:id="rId15"/>
              </w:object>
            </w:r>
            <w:r w:rsidRPr="006F63AE">
              <w:rPr>
                <w:rFonts w:ascii="Times New Roman" w:eastAsia="Batang" w:hAnsi="Times New Roman" w:cs="Times New Roman"/>
                <w:sz w:val="20"/>
                <w:szCs w:val="20"/>
              </w:rPr>
              <w:t xml:space="preserve"> is the GSCN of the first SS/PBCH block and </w:t>
            </w:r>
            <w:r w:rsidRPr="006F63AE">
              <w:rPr>
                <w:rFonts w:ascii="Times New Roman" w:eastAsia="Batang" w:hAnsi="Times New Roman" w:cs="Times New Roman"/>
                <w:position w:val="-10"/>
                <w:sz w:val="20"/>
                <w:szCs w:val="20"/>
              </w:rPr>
              <w:object w:dxaOrig="570" w:dyaOrig="345" w14:anchorId="20AC07C7">
                <v:shape id="_x0000_i1029" type="#_x0000_t75" style="width:27.85pt;height:17.25pt" o:ole="">
                  <v:imagedata r:id="rId16" o:title=""/>
                </v:shape>
                <o:OLEObject Type="Embed" ProgID="Equation.3" ShapeID="_x0000_i1029" DrawAspect="Content" ObjectID="_1587576186" r:id="rId17"/>
              </w:object>
            </w:r>
            <w:r w:rsidRPr="006F63AE">
              <w:rPr>
                <w:rFonts w:ascii="Times New Roman" w:eastAsia="Batang" w:hAnsi="Times New Roman" w:cs="Times New Roman"/>
                <w:sz w:val="20"/>
                <w:szCs w:val="20"/>
              </w:rPr>
              <w:t xml:space="preserve"> is a GSCN offset provided by Table 13-16 for FR1 and Table 13-17 for FR2. </w:t>
            </w:r>
          </w:p>
          <w:p w14:paraId="45DB3E0F" w14:textId="77777777" w:rsidR="006F63AE" w:rsidRPr="00884182" w:rsidRDefault="006F63AE" w:rsidP="004C6E82">
            <w:pPr>
              <w:overflowPunct w:val="0"/>
              <w:autoSpaceDE w:val="0"/>
              <w:autoSpaceDN w:val="0"/>
              <w:adjustRightInd w:val="0"/>
              <w:spacing w:before="240" w:after="120" w:line="240" w:lineRule="auto"/>
              <w:jc w:val="both"/>
              <w:rPr>
                <w:rFonts w:eastAsia="MS Mincho" w:cs="Times New Roman"/>
                <w:sz w:val="20"/>
                <w:szCs w:val="20"/>
                <w:lang w:eastAsia="ja-JP"/>
              </w:rPr>
            </w:pPr>
          </w:p>
        </w:tc>
      </w:tr>
    </w:tbl>
    <w:p w14:paraId="46310436" w14:textId="289251B8" w:rsidR="00670306" w:rsidRDefault="00670306" w:rsidP="00BA34B9">
      <w:pPr>
        <w:rPr>
          <w:rFonts w:ascii="Times New Roman" w:hAnsi="Times New Roman" w:cs="Times New Roman"/>
          <w:sz w:val="20"/>
          <w:lang w:val="en-US"/>
        </w:rPr>
      </w:pPr>
    </w:p>
    <w:p w14:paraId="6FC9ED46" w14:textId="5A624017" w:rsidR="00C7316D" w:rsidRDefault="006F63AE" w:rsidP="006F63AE">
      <w:pPr>
        <w:rPr>
          <w:rFonts w:ascii="Times New Roman" w:hAnsi="Times New Roman" w:cs="Times New Roman"/>
          <w:sz w:val="20"/>
          <w:lang w:val="en-US"/>
        </w:rPr>
      </w:pPr>
      <w:r>
        <w:rPr>
          <w:rFonts w:ascii="Times New Roman" w:hAnsi="Times New Roman" w:cs="Times New Roman"/>
          <w:sz w:val="20"/>
          <w:lang w:val="en-US"/>
        </w:rPr>
        <w:t xml:space="preserve">In context of this functionality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_Ref513659880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Pr>
          <w:rFonts w:ascii="Times New Roman" w:hAnsi="Times New Roman" w:cs="Times New Roman"/>
          <w:sz w:val="20"/>
          <w:lang w:val="en-US"/>
        </w:rPr>
        <w:t>[3]</w:t>
      </w:r>
      <w:r>
        <w:rPr>
          <w:rFonts w:ascii="Times New Roman" w:hAnsi="Times New Roman" w:cs="Times New Roman"/>
          <w:sz w:val="20"/>
          <w:lang w:val="en-US"/>
        </w:rPr>
        <w:fldChar w:fldCharType="end"/>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_Ref513659881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Pr>
          <w:rFonts w:ascii="Times New Roman" w:hAnsi="Times New Roman" w:cs="Times New Roman"/>
          <w:sz w:val="20"/>
          <w:lang w:val="en-US"/>
        </w:rPr>
        <w:t>[4]</w:t>
      </w:r>
      <w:r>
        <w:rPr>
          <w:rFonts w:ascii="Times New Roman" w:hAnsi="Times New Roman" w:cs="Times New Roman"/>
          <w:sz w:val="20"/>
          <w:lang w:val="en-US"/>
        </w:rPr>
        <w:fldChar w:fldCharType="end"/>
      </w:r>
      <w:r>
        <w:rPr>
          <w:rFonts w:ascii="Times New Roman" w:hAnsi="Times New Roman" w:cs="Times New Roman"/>
          <w:sz w:val="20"/>
          <w:lang w:val="en-US"/>
        </w:rPr>
        <w:t xml:space="preserve"> a concern was raised that there could be risk due to fraudulent use of said indication, that some less educated UE implementations, would be completely prevented finding the target PLMN. This was raised mainly in context of the indication that informs the UE of range where no cell-defining SSB is found. Considering the typical cellular landscape, covering different frequency bands and RATs, and accounting that the intent of the device is to find service as fast as possible (to merit the user experience), while it might delay, it does not seem likely that blocking a certain, limited, range would be able to completely prevent UE finding desired PLMN. I.e. UE finding any valid cell of the target PLMN could be assumed to be able to obtain proper neighbor cell information, enabling UE to gain access also to the cells covered in the (fraudulently) blocked range. </w:t>
      </w:r>
      <w:r w:rsidR="004A101E">
        <w:rPr>
          <w:rFonts w:ascii="Times New Roman" w:hAnsi="Times New Roman" w:cs="Times New Roman"/>
          <w:sz w:val="20"/>
          <w:lang w:val="en-US"/>
        </w:rPr>
        <w:t>However</w:t>
      </w:r>
      <w:r>
        <w:rPr>
          <w:rFonts w:ascii="Times New Roman" w:hAnsi="Times New Roman" w:cs="Times New Roman"/>
          <w:sz w:val="20"/>
          <w:lang w:val="en-US"/>
        </w:rPr>
        <w:t xml:space="preserve">, it of course could be considered that there are more sources with fraudulent indication. In this case, </w:t>
      </w:r>
      <w:r w:rsidR="00C7316D">
        <w:rPr>
          <w:rFonts w:ascii="Times New Roman" w:hAnsi="Times New Roman" w:cs="Times New Roman"/>
          <w:sz w:val="20"/>
          <w:lang w:val="en-US"/>
        </w:rPr>
        <w:t xml:space="preserve">like discussed in last meeting, </w:t>
      </w:r>
      <w:r w:rsidR="004A101E">
        <w:rPr>
          <w:rFonts w:ascii="Times New Roman" w:hAnsi="Times New Roman" w:cs="Times New Roman"/>
          <w:sz w:val="20"/>
          <w:lang w:val="en-US"/>
        </w:rPr>
        <w:t xml:space="preserve">when </w:t>
      </w:r>
      <w:r w:rsidR="00C7316D">
        <w:rPr>
          <w:rFonts w:ascii="Times New Roman" w:hAnsi="Times New Roman" w:cs="Times New Roman"/>
          <w:sz w:val="20"/>
          <w:lang w:val="en-US"/>
        </w:rPr>
        <w:t>two or more sources</w:t>
      </w:r>
      <w:r>
        <w:rPr>
          <w:rFonts w:ascii="Times New Roman" w:hAnsi="Times New Roman" w:cs="Times New Roman"/>
          <w:sz w:val="20"/>
          <w:lang w:val="en-US"/>
        </w:rPr>
        <w:t xml:space="preserve"> could be (fraudulently) configured to</w:t>
      </w:r>
      <w:r w:rsidR="00C7316D">
        <w:rPr>
          <w:rFonts w:ascii="Times New Roman" w:hAnsi="Times New Roman" w:cs="Times New Roman"/>
          <w:sz w:val="20"/>
          <w:lang w:val="en-US"/>
        </w:rPr>
        <w:t xml:space="preserve"> cross reference to each other, </w:t>
      </w:r>
      <w:r w:rsidR="004A101E">
        <w:rPr>
          <w:rFonts w:ascii="Times New Roman" w:hAnsi="Times New Roman" w:cs="Times New Roman"/>
          <w:sz w:val="20"/>
          <w:lang w:val="en-US"/>
        </w:rPr>
        <w:t>would result</w:t>
      </w:r>
      <w:r w:rsidR="00C7316D">
        <w:rPr>
          <w:rFonts w:ascii="Times New Roman" w:hAnsi="Times New Roman" w:cs="Times New Roman"/>
          <w:sz w:val="20"/>
          <w:lang w:val="en-US"/>
        </w:rPr>
        <w:t xml:space="preserve"> a loop</w:t>
      </w:r>
      <w:r w:rsidR="004A101E">
        <w:rPr>
          <w:rFonts w:ascii="Times New Roman" w:hAnsi="Times New Roman" w:cs="Times New Roman"/>
          <w:sz w:val="20"/>
          <w:lang w:val="en-US"/>
        </w:rPr>
        <w:t>, for less advance UE implementations</w:t>
      </w:r>
      <w:r w:rsidR="00C7316D">
        <w:rPr>
          <w:rFonts w:ascii="Times New Roman" w:hAnsi="Times New Roman" w:cs="Times New Roman"/>
          <w:sz w:val="20"/>
          <w:lang w:val="en-US"/>
        </w:rPr>
        <w:t>. To prevent and raise awareness on the concern of this type of behavior, some text could be added to specification, either formative or informative, to alleviate concerns for the negative impact to user experience.</w:t>
      </w:r>
    </w:p>
    <w:p w14:paraId="724B56D3" w14:textId="360D7055" w:rsidR="006F63AE" w:rsidRDefault="00C7316D" w:rsidP="006F63AE">
      <w:pPr>
        <w:rPr>
          <w:rFonts w:ascii="Times New Roman" w:hAnsi="Times New Roman" w:cs="Times New Roman"/>
          <w:sz w:val="20"/>
          <w:lang w:val="en-US"/>
        </w:rPr>
      </w:pPr>
      <w:r w:rsidRPr="00C7316D">
        <w:rPr>
          <w:rFonts w:ascii="Times New Roman" w:hAnsi="Times New Roman" w:cs="Times New Roman"/>
          <w:b/>
          <w:sz w:val="20"/>
          <w:lang w:val="en-US"/>
        </w:rPr>
        <w:t>Observation:</w:t>
      </w:r>
      <w:r>
        <w:rPr>
          <w:rFonts w:ascii="Times New Roman" w:hAnsi="Times New Roman" w:cs="Times New Roman"/>
          <w:sz w:val="20"/>
          <w:lang w:val="en-US"/>
        </w:rPr>
        <w:t xml:space="preserve"> Some wording could be introduced to specification, to alleviate concerns </w:t>
      </w:r>
      <w:r w:rsidR="004A101E">
        <w:rPr>
          <w:rFonts w:ascii="Times New Roman" w:hAnsi="Times New Roman" w:cs="Times New Roman"/>
          <w:sz w:val="20"/>
          <w:lang w:val="en-US"/>
        </w:rPr>
        <w:t xml:space="preserve">of fraudulent use of cell-defining SSB </w:t>
      </w:r>
      <w:r>
        <w:rPr>
          <w:rFonts w:ascii="Times New Roman" w:hAnsi="Times New Roman" w:cs="Times New Roman"/>
          <w:sz w:val="20"/>
          <w:lang w:val="en-US"/>
        </w:rPr>
        <w:t>for preventing UE finding target PLMN.</w:t>
      </w:r>
      <w:r w:rsidR="006F63AE">
        <w:rPr>
          <w:rFonts w:ascii="Times New Roman" w:hAnsi="Times New Roman" w:cs="Times New Roman"/>
          <w:sz w:val="20"/>
          <w:lang w:val="en-US"/>
        </w:rPr>
        <w:t xml:space="preserve">  </w:t>
      </w:r>
    </w:p>
    <w:p w14:paraId="14ACF072" w14:textId="77777777" w:rsidR="004A101E" w:rsidRDefault="004A101E" w:rsidP="006F63AE">
      <w:pPr>
        <w:rPr>
          <w:rFonts w:ascii="Times New Roman" w:hAnsi="Times New Roman" w:cs="Times New Roman"/>
          <w:sz w:val="20"/>
          <w:lang w:val="en-US"/>
        </w:rPr>
      </w:pPr>
    </w:p>
    <w:p w14:paraId="20C9302D" w14:textId="463F4B62" w:rsidR="004A101E" w:rsidRDefault="004A101E" w:rsidP="004A101E">
      <w:pPr>
        <w:pStyle w:val="Heading1"/>
      </w:pPr>
      <w:r>
        <w:lastRenderedPageBreak/>
        <w:t>3</w:t>
      </w:r>
      <w:r>
        <w:tab/>
        <w:t xml:space="preserve">On </w:t>
      </w:r>
      <w:r w:rsidR="000707B9">
        <w:t>synchronisation ass</w:t>
      </w:r>
      <w:bookmarkStart w:id="5" w:name="_GoBack"/>
      <w:bookmarkEnd w:id="5"/>
      <w:r w:rsidR="000707B9">
        <w:t>umptions</w:t>
      </w:r>
    </w:p>
    <w:p w14:paraId="62881D15" w14:textId="276EB3FA" w:rsidR="000707B9" w:rsidRDefault="004A101E" w:rsidP="004A101E">
      <w:pPr>
        <w:rPr>
          <w:rFonts w:ascii="Times New Roman" w:hAnsi="Times New Roman" w:cs="Times New Roman"/>
          <w:sz w:val="20"/>
          <w:lang w:val="en-US"/>
        </w:rPr>
      </w:pPr>
      <w:r>
        <w:rPr>
          <w:rFonts w:ascii="Times New Roman" w:hAnsi="Times New Roman" w:cs="Times New Roman"/>
          <w:sz w:val="20"/>
          <w:lang w:val="en-US"/>
        </w:rPr>
        <w:t>In RAN1#92</w:t>
      </w:r>
      <w:r w:rsidR="00327415">
        <w:rPr>
          <w:rFonts w:ascii="Times New Roman" w:hAnsi="Times New Roman" w:cs="Times New Roman"/>
          <w:sz w:val="20"/>
          <w:lang w:val="en-US"/>
        </w:rPr>
        <w:t>bis the issue of increased handover delay for certain RACH configurations (period</w:t>
      </w:r>
      <w:r w:rsidR="00443BF1">
        <w:rPr>
          <w:rFonts w:ascii="Times New Roman" w:hAnsi="Times New Roman" w:cs="Times New Roman"/>
          <w:sz w:val="20"/>
          <w:lang w:val="en-US"/>
        </w:rPr>
        <w:t>)</w:t>
      </w:r>
      <w:r w:rsidR="00327415">
        <w:rPr>
          <w:rFonts w:ascii="Times New Roman" w:hAnsi="Times New Roman" w:cs="Times New Roman"/>
          <w:sz w:val="20"/>
          <w:lang w:val="en-US"/>
        </w:rPr>
        <w:t xml:space="preserve">, due to the UE to need read PBCH information to obtain sufficient synchronization (SFN) </w:t>
      </w:r>
      <w:r w:rsidR="00443BF1">
        <w:rPr>
          <w:rFonts w:ascii="Times New Roman" w:hAnsi="Times New Roman" w:cs="Times New Roman"/>
          <w:sz w:val="20"/>
          <w:lang w:val="en-US"/>
        </w:rPr>
        <w:t xml:space="preserve">was discussed </w:t>
      </w:r>
      <w:r w:rsidR="00443BF1">
        <w:rPr>
          <w:rFonts w:ascii="Times New Roman" w:hAnsi="Times New Roman" w:cs="Times New Roman"/>
          <w:sz w:val="20"/>
          <w:lang w:val="en-US"/>
        </w:rPr>
        <w:fldChar w:fldCharType="begin"/>
      </w:r>
      <w:r w:rsidR="00443BF1">
        <w:rPr>
          <w:rFonts w:ascii="Times New Roman" w:hAnsi="Times New Roman" w:cs="Times New Roman"/>
          <w:sz w:val="20"/>
          <w:lang w:val="en-US"/>
        </w:rPr>
        <w:instrText xml:space="preserve"> REF _Ref513718612 \r \h </w:instrText>
      </w:r>
      <w:r w:rsidR="00443BF1">
        <w:rPr>
          <w:rFonts w:ascii="Times New Roman" w:hAnsi="Times New Roman" w:cs="Times New Roman"/>
          <w:sz w:val="20"/>
          <w:lang w:val="en-US"/>
        </w:rPr>
      </w:r>
      <w:r w:rsidR="00443BF1">
        <w:rPr>
          <w:rFonts w:ascii="Times New Roman" w:hAnsi="Times New Roman" w:cs="Times New Roman"/>
          <w:sz w:val="20"/>
          <w:lang w:val="en-US"/>
        </w:rPr>
        <w:fldChar w:fldCharType="separate"/>
      </w:r>
      <w:r w:rsidR="00443BF1">
        <w:rPr>
          <w:rFonts w:ascii="Times New Roman" w:hAnsi="Times New Roman" w:cs="Times New Roman"/>
          <w:sz w:val="20"/>
          <w:lang w:val="en-US"/>
        </w:rPr>
        <w:t>[3]</w:t>
      </w:r>
      <w:r w:rsidR="00443BF1">
        <w:rPr>
          <w:rFonts w:ascii="Times New Roman" w:hAnsi="Times New Roman" w:cs="Times New Roman"/>
          <w:sz w:val="20"/>
          <w:lang w:val="en-US"/>
        </w:rPr>
        <w:fldChar w:fldCharType="end"/>
      </w:r>
      <w:r w:rsidR="00443BF1">
        <w:rPr>
          <w:rFonts w:ascii="Times New Roman" w:hAnsi="Times New Roman" w:cs="Times New Roman"/>
          <w:sz w:val="20"/>
          <w:lang w:val="en-US"/>
        </w:rPr>
        <w:fldChar w:fldCharType="begin"/>
      </w:r>
      <w:r w:rsidR="00443BF1">
        <w:rPr>
          <w:rFonts w:ascii="Times New Roman" w:hAnsi="Times New Roman" w:cs="Times New Roman"/>
          <w:sz w:val="20"/>
          <w:lang w:val="en-US"/>
        </w:rPr>
        <w:instrText xml:space="preserve"> REF _Ref513718613 \r \h </w:instrText>
      </w:r>
      <w:r w:rsidR="00443BF1">
        <w:rPr>
          <w:rFonts w:ascii="Times New Roman" w:hAnsi="Times New Roman" w:cs="Times New Roman"/>
          <w:sz w:val="20"/>
          <w:lang w:val="en-US"/>
        </w:rPr>
      </w:r>
      <w:r w:rsidR="00443BF1">
        <w:rPr>
          <w:rFonts w:ascii="Times New Roman" w:hAnsi="Times New Roman" w:cs="Times New Roman"/>
          <w:sz w:val="20"/>
          <w:lang w:val="en-US"/>
        </w:rPr>
        <w:fldChar w:fldCharType="separate"/>
      </w:r>
      <w:r w:rsidR="00443BF1">
        <w:rPr>
          <w:rFonts w:ascii="Times New Roman" w:hAnsi="Times New Roman" w:cs="Times New Roman"/>
          <w:sz w:val="20"/>
          <w:lang w:val="en-US"/>
        </w:rPr>
        <w:t>[4]</w:t>
      </w:r>
      <w:r w:rsidR="00443BF1">
        <w:rPr>
          <w:rFonts w:ascii="Times New Roman" w:hAnsi="Times New Roman" w:cs="Times New Roman"/>
          <w:sz w:val="20"/>
          <w:lang w:val="en-US"/>
        </w:rPr>
        <w:fldChar w:fldCharType="end"/>
      </w:r>
      <w:r w:rsidR="00327415">
        <w:rPr>
          <w:rFonts w:ascii="Times New Roman" w:hAnsi="Times New Roman" w:cs="Times New Roman"/>
          <w:sz w:val="20"/>
          <w:lang w:val="en-US"/>
        </w:rPr>
        <w:t xml:space="preserve">. Also the need to obtain slot level synchronization for CSI-RS sequence generation for L3 mobility measurements </w:t>
      </w:r>
      <w:r w:rsidR="00443BF1">
        <w:rPr>
          <w:rFonts w:ascii="Times New Roman" w:hAnsi="Times New Roman" w:cs="Times New Roman"/>
          <w:sz w:val="20"/>
          <w:lang w:val="en-US"/>
        </w:rPr>
        <w:t xml:space="preserve">was noted </w:t>
      </w:r>
      <w:r w:rsidR="00443BF1">
        <w:rPr>
          <w:rFonts w:ascii="Times New Roman" w:hAnsi="Times New Roman" w:cs="Times New Roman"/>
          <w:sz w:val="20"/>
          <w:lang w:val="en-US"/>
        </w:rPr>
        <w:fldChar w:fldCharType="begin"/>
      </w:r>
      <w:r w:rsidR="00443BF1">
        <w:rPr>
          <w:rFonts w:ascii="Times New Roman" w:hAnsi="Times New Roman" w:cs="Times New Roman"/>
          <w:sz w:val="20"/>
          <w:lang w:val="en-US"/>
        </w:rPr>
        <w:instrText xml:space="preserve"> REF _Ref513718612 \r \h </w:instrText>
      </w:r>
      <w:r w:rsidR="00443BF1">
        <w:rPr>
          <w:rFonts w:ascii="Times New Roman" w:hAnsi="Times New Roman" w:cs="Times New Roman"/>
          <w:sz w:val="20"/>
          <w:lang w:val="en-US"/>
        </w:rPr>
      </w:r>
      <w:r w:rsidR="00443BF1">
        <w:rPr>
          <w:rFonts w:ascii="Times New Roman" w:hAnsi="Times New Roman" w:cs="Times New Roman"/>
          <w:sz w:val="20"/>
          <w:lang w:val="en-US"/>
        </w:rPr>
        <w:fldChar w:fldCharType="separate"/>
      </w:r>
      <w:r w:rsidR="00443BF1">
        <w:rPr>
          <w:rFonts w:ascii="Times New Roman" w:hAnsi="Times New Roman" w:cs="Times New Roman"/>
          <w:sz w:val="20"/>
          <w:lang w:val="en-US"/>
        </w:rPr>
        <w:t>[3]</w:t>
      </w:r>
      <w:r w:rsidR="00443BF1">
        <w:rPr>
          <w:rFonts w:ascii="Times New Roman" w:hAnsi="Times New Roman" w:cs="Times New Roman"/>
          <w:sz w:val="20"/>
          <w:lang w:val="en-US"/>
        </w:rPr>
        <w:fldChar w:fldCharType="end"/>
      </w:r>
      <w:r w:rsidR="00443BF1">
        <w:rPr>
          <w:rFonts w:ascii="Times New Roman" w:hAnsi="Times New Roman" w:cs="Times New Roman"/>
          <w:sz w:val="20"/>
          <w:lang w:val="en-US"/>
        </w:rPr>
        <w:t>.</w:t>
      </w:r>
      <w:r w:rsidR="00327415">
        <w:rPr>
          <w:rFonts w:ascii="Times New Roman" w:hAnsi="Times New Roman" w:cs="Times New Roman"/>
          <w:sz w:val="20"/>
          <w:lang w:val="en-US"/>
        </w:rPr>
        <w:t xml:space="preserve"> </w:t>
      </w:r>
    </w:p>
    <w:p w14:paraId="7A074435" w14:textId="0C7FEA87" w:rsidR="000707B9" w:rsidRDefault="00443BF1" w:rsidP="004A101E">
      <w:pPr>
        <w:rPr>
          <w:rFonts w:ascii="Times New Roman" w:hAnsi="Times New Roman" w:cs="Times New Roman"/>
          <w:sz w:val="20"/>
          <w:lang w:val="en-US"/>
        </w:rPr>
      </w:pPr>
      <w:r>
        <w:rPr>
          <w:rFonts w:ascii="Times New Roman" w:hAnsi="Times New Roman" w:cs="Times New Roman"/>
          <w:sz w:val="20"/>
          <w:lang w:val="en-US"/>
        </w:rPr>
        <w:t xml:space="preserve">The open question was how this could be alleviated, especially for RACH configurations with longer periodicities. </w:t>
      </w:r>
    </w:p>
    <w:p w14:paraId="46EC97DD" w14:textId="4C75A645" w:rsidR="000707B9" w:rsidRDefault="000707B9" w:rsidP="004A101E">
      <w:pPr>
        <w:rPr>
          <w:rFonts w:ascii="Times New Roman" w:hAnsi="Times New Roman" w:cs="Times New Roman"/>
          <w:sz w:val="20"/>
          <w:lang w:val="en-US"/>
        </w:rPr>
      </w:pPr>
      <w:r>
        <w:rPr>
          <w:rFonts w:ascii="Times New Roman" w:hAnsi="Times New Roman" w:cs="Times New Roman"/>
          <w:sz w:val="20"/>
          <w:lang w:val="en-US"/>
        </w:rPr>
        <w:t xml:space="preserve">If SMTC </w:t>
      </w:r>
      <w:r w:rsidR="00443BF1">
        <w:rPr>
          <w:rFonts w:ascii="Times New Roman" w:hAnsi="Times New Roman" w:cs="Times New Roman"/>
          <w:sz w:val="20"/>
          <w:lang w:val="en-US"/>
        </w:rPr>
        <w:t>parameters</w:t>
      </w:r>
      <w:r>
        <w:rPr>
          <w:rFonts w:ascii="Times New Roman" w:hAnsi="Times New Roman" w:cs="Times New Roman"/>
          <w:sz w:val="20"/>
          <w:lang w:val="en-US"/>
        </w:rPr>
        <w:t xml:space="preserve"> </w:t>
      </w:r>
      <w:r w:rsidR="00443BF1">
        <w:rPr>
          <w:rFonts w:ascii="Times New Roman" w:hAnsi="Times New Roman" w:cs="Times New Roman"/>
          <w:sz w:val="20"/>
          <w:lang w:val="en-US"/>
        </w:rPr>
        <w:t>are</w:t>
      </w:r>
      <w:r>
        <w:rPr>
          <w:rFonts w:ascii="Times New Roman" w:hAnsi="Times New Roman" w:cs="Times New Roman"/>
          <w:sz w:val="20"/>
          <w:lang w:val="en-US"/>
        </w:rPr>
        <w:t xml:space="preserve"> not provided</w:t>
      </w:r>
      <w:r w:rsidR="00443BF1">
        <w:rPr>
          <w:rFonts w:ascii="Times New Roman" w:hAnsi="Times New Roman" w:cs="Times New Roman"/>
          <w:sz w:val="20"/>
          <w:lang w:val="en-US"/>
        </w:rPr>
        <w:t xml:space="preserve"> for a frequency layer</w:t>
      </w:r>
      <w:r>
        <w:rPr>
          <w:rFonts w:ascii="Times New Roman" w:hAnsi="Times New Roman" w:cs="Times New Roman"/>
          <w:sz w:val="20"/>
          <w:lang w:val="en-US"/>
        </w:rPr>
        <w:t xml:space="preserve">, UE may not assume any synchronization between cells on a frequency layer. In order to enable UE to make any assumptions,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would need to be set, and still UE would not be able to assume that cells are SFN and frame synchronized</w:t>
      </w:r>
      <w:r w:rsidR="00443BF1">
        <w:rPr>
          <w:rFonts w:ascii="Times New Roman" w:hAnsi="Times New Roman" w:cs="Times New Roman"/>
          <w:sz w:val="20"/>
          <w:lang w:val="en-US"/>
        </w:rPr>
        <w:t>, like raised in last meetings discussion</w:t>
      </w:r>
      <w:r>
        <w:rPr>
          <w:rFonts w:ascii="Times New Roman" w:hAnsi="Times New Roman" w:cs="Times New Roman"/>
          <w:sz w:val="20"/>
          <w:lang w:val="en-US"/>
        </w:rPr>
        <w:t xml:space="preserve">. </w:t>
      </w:r>
      <w:r w:rsidR="00327415">
        <w:rPr>
          <w:rFonts w:ascii="Times New Roman" w:hAnsi="Times New Roman" w:cs="Times New Roman"/>
          <w:sz w:val="20"/>
          <w:lang w:val="en-US"/>
        </w:rPr>
        <w:t xml:space="preserve">In this scenario the only mechanism available </w:t>
      </w:r>
      <w:r w:rsidR="00443BF1">
        <w:rPr>
          <w:rFonts w:ascii="Times New Roman" w:hAnsi="Times New Roman" w:cs="Times New Roman"/>
          <w:sz w:val="20"/>
          <w:lang w:val="en-US"/>
        </w:rPr>
        <w:t>(</w:t>
      </w:r>
      <w:r w:rsidR="00327415">
        <w:rPr>
          <w:rFonts w:ascii="Times New Roman" w:hAnsi="Times New Roman" w:cs="Times New Roman"/>
          <w:sz w:val="20"/>
          <w:lang w:val="en-US"/>
        </w:rPr>
        <w:t xml:space="preserve">without introducing </w:t>
      </w:r>
      <w:r w:rsidR="00443BF1">
        <w:rPr>
          <w:rFonts w:ascii="Times New Roman" w:hAnsi="Times New Roman" w:cs="Times New Roman"/>
          <w:sz w:val="20"/>
          <w:lang w:val="en-US"/>
        </w:rPr>
        <w:t xml:space="preserve">new </w:t>
      </w:r>
      <w:r w:rsidR="00327415">
        <w:rPr>
          <w:rFonts w:ascii="Times New Roman" w:hAnsi="Times New Roman" w:cs="Times New Roman"/>
          <w:sz w:val="20"/>
          <w:lang w:val="en-US"/>
        </w:rPr>
        <w:t>additional signaling</w:t>
      </w:r>
      <w:r w:rsidR="00443BF1">
        <w:rPr>
          <w:rFonts w:ascii="Times New Roman" w:hAnsi="Times New Roman" w:cs="Times New Roman"/>
          <w:sz w:val="20"/>
          <w:lang w:val="en-US"/>
        </w:rPr>
        <w:t>)</w:t>
      </w:r>
      <w:r w:rsidR="00327415">
        <w:rPr>
          <w:rFonts w:ascii="Times New Roman" w:hAnsi="Times New Roman" w:cs="Times New Roman"/>
          <w:sz w:val="20"/>
          <w:lang w:val="en-US"/>
        </w:rPr>
        <w:t xml:space="preserve">, would be to extend the assumption for </w:t>
      </w:r>
      <w:r w:rsidR="00327415" w:rsidRPr="00327415">
        <w:rPr>
          <w:rFonts w:ascii="Times New Roman" w:hAnsi="Times New Roman" w:cs="Times New Roman"/>
          <w:sz w:val="20"/>
          <w:lang w:val="en-US"/>
        </w:rPr>
        <w:t>‘</w:t>
      </w:r>
      <w:r w:rsidR="00327415" w:rsidRPr="00327415">
        <w:rPr>
          <w:rFonts w:ascii="Times New Roman" w:eastAsia="SimSun" w:hAnsi="Times New Roman" w:cs="Times New Roman"/>
          <w:i/>
          <w:iCs/>
          <w:sz w:val="17"/>
          <w:szCs w:val="17"/>
          <w:lang w:val="fi-FI"/>
        </w:rPr>
        <w:t>useServingCellTimingForSync</w:t>
      </w:r>
      <w:r w:rsidR="00327415" w:rsidRPr="00327415">
        <w:rPr>
          <w:rFonts w:ascii="Times New Roman" w:hAnsi="Times New Roman" w:cs="Times New Roman"/>
          <w:sz w:val="20"/>
          <w:lang w:val="en-US"/>
        </w:rPr>
        <w:t>’</w:t>
      </w:r>
      <w:r w:rsidR="00327415">
        <w:rPr>
          <w:rFonts w:ascii="Times New Roman" w:hAnsi="Times New Roman" w:cs="Times New Roman"/>
          <w:sz w:val="20"/>
          <w:lang w:val="en-US"/>
        </w:rPr>
        <w:t>so that UE may assume the cells to be also SFN synchronized (a</w:t>
      </w:r>
      <w:r w:rsidR="00443BF1">
        <w:rPr>
          <w:rFonts w:ascii="Times New Roman" w:hAnsi="Times New Roman" w:cs="Times New Roman"/>
          <w:sz w:val="20"/>
          <w:lang w:val="en-US"/>
        </w:rPr>
        <w:t xml:space="preserve">s raised in </w:t>
      </w:r>
      <w:r w:rsidR="00443BF1">
        <w:rPr>
          <w:rFonts w:ascii="Times New Roman" w:hAnsi="Times New Roman" w:cs="Times New Roman"/>
          <w:sz w:val="20"/>
          <w:lang w:val="en-US"/>
        </w:rPr>
        <w:fldChar w:fldCharType="begin"/>
      </w:r>
      <w:r w:rsidR="00443BF1">
        <w:rPr>
          <w:rFonts w:ascii="Times New Roman" w:hAnsi="Times New Roman" w:cs="Times New Roman"/>
          <w:sz w:val="20"/>
          <w:lang w:val="en-US"/>
        </w:rPr>
        <w:instrText xml:space="preserve"> REF _Ref513718613 \r \h </w:instrText>
      </w:r>
      <w:r w:rsidR="00443BF1">
        <w:rPr>
          <w:rFonts w:ascii="Times New Roman" w:hAnsi="Times New Roman" w:cs="Times New Roman"/>
          <w:sz w:val="20"/>
          <w:lang w:val="en-US"/>
        </w:rPr>
      </w:r>
      <w:r w:rsidR="00443BF1">
        <w:rPr>
          <w:rFonts w:ascii="Times New Roman" w:hAnsi="Times New Roman" w:cs="Times New Roman"/>
          <w:sz w:val="20"/>
          <w:lang w:val="en-US"/>
        </w:rPr>
        <w:fldChar w:fldCharType="separate"/>
      </w:r>
      <w:r w:rsidR="00443BF1">
        <w:rPr>
          <w:rFonts w:ascii="Times New Roman" w:hAnsi="Times New Roman" w:cs="Times New Roman"/>
          <w:sz w:val="20"/>
          <w:lang w:val="en-US"/>
        </w:rPr>
        <w:t>[4]</w:t>
      </w:r>
      <w:r w:rsidR="00443BF1">
        <w:rPr>
          <w:rFonts w:ascii="Times New Roman" w:hAnsi="Times New Roman" w:cs="Times New Roman"/>
          <w:sz w:val="20"/>
          <w:lang w:val="en-US"/>
        </w:rPr>
        <w:fldChar w:fldCharType="end"/>
      </w:r>
      <w:r w:rsidR="00C71D00">
        <w:rPr>
          <w:rFonts w:ascii="Times New Roman" w:hAnsi="Times New Roman" w:cs="Times New Roman"/>
          <w:sz w:val="20"/>
          <w:lang w:val="en-US"/>
        </w:rPr>
        <w:t>)</w:t>
      </w:r>
      <w:r w:rsidR="00327415">
        <w:rPr>
          <w:rFonts w:ascii="Times New Roman" w:hAnsi="Times New Roman" w:cs="Times New Roman"/>
          <w:sz w:val="20"/>
          <w:lang w:val="en-US"/>
        </w:rPr>
        <w:t>.</w:t>
      </w:r>
      <w:r w:rsidR="00443BF1">
        <w:rPr>
          <w:rFonts w:ascii="Times New Roman" w:hAnsi="Times New Roman" w:cs="Times New Roman"/>
          <w:sz w:val="20"/>
          <w:lang w:val="en-US"/>
        </w:rPr>
        <w:t xml:space="preserve"> </w:t>
      </w:r>
    </w:p>
    <w:p w14:paraId="47975DFA" w14:textId="604416AD" w:rsidR="00C71D00" w:rsidRDefault="00443BF1" w:rsidP="004A101E">
      <w:pPr>
        <w:rPr>
          <w:rFonts w:ascii="Times New Roman" w:hAnsi="Times New Roman" w:cs="Times New Roman"/>
          <w:sz w:val="20"/>
          <w:lang w:val="en-US"/>
        </w:rPr>
      </w:pPr>
      <w:r>
        <w:rPr>
          <w:rFonts w:ascii="Times New Roman" w:hAnsi="Times New Roman" w:cs="Times New Roman"/>
          <w:sz w:val="20"/>
          <w:lang w:val="en-US"/>
        </w:rPr>
        <w:t>In the case when</w:t>
      </w:r>
      <w:r w:rsidR="000707B9">
        <w:rPr>
          <w:rFonts w:ascii="Times New Roman" w:hAnsi="Times New Roman" w:cs="Times New Roman"/>
          <w:sz w:val="20"/>
          <w:lang w:val="en-US"/>
        </w:rPr>
        <w:t xml:space="preserve"> SMTC </w:t>
      </w:r>
      <w:r>
        <w:rPr>
          <w:rFonts w:ascii="Times New Roman" w:hAnsi="Times New Roman" w:cs="Times New Roman"/>
          <w:sz w:val="20"/>
          <w:lang w:val="en-US"/>
        </w:rPr>
        <w:t>parameters are</w:t>
      </w:r>
      <w:r w:rsidR="000707B9">
        <w:rPr>
          <w:rFonts w:ascii="Times New Roman" w:hAnsi="Times New Roman" w:cs="Times New Roman"/>
          <w:sz w:val="20"/>
          <w:lang w:val="en-US"/>
        </w:rPr>
        <w:t xml:space="preserve"> provided for a given frequency layer; this implies that network is synchronized with sufficient accuracy to ensure that SSBs of all cells (of interest) would occur inside the given time window (e.g. 5ms). This would not necessarily allow UE to make any strict assumptions of the symbol, slot nor frame timing alignment between cells.</w:t>
      </w:r>
      <w:r w:rsidR="008B2DDC">
        <w:rPr>
          <w:rFonts w:ascii="Times New Roman" w:hAnsi="Times New Roman" w:cs="Times New Roman"/>
          <w:sz w:val="20"/>
          <w:lang w:val="en-US"/>
        </w:rPr>
        <w:t xml:space="preserve"> The current definition of </w:t>
      </w:r>
      <w:r w:rsidR="008B2DDC" w:rsidRPr="00327415">
        <w:rPr>
          <w:rFonts w:ascii="Times New Roman" w:hAnsi="Times New Roman" w:cs="Times New Roman"/>
          <w:sz w:val="20"/>
          <w:lang w:val="en-US"/>
        </w:rPr>
        <w:t>‘</w:t>
      </w:r>
      <w:r w:rsidR="008B2DDC" w:rsidRPr="00327415">
        <w:rPr>
          <w:rFonts w:ascii="Times New Roman" w:eastAsia="SimSun" w:hAnsi="Times New Roman" w:cs="Times New Roman"/>
          <w:i/>
          <w:iCs/>
          <w:sz w:val="17"/>
          <w:szCs w:val="17"/>
          <w:lang w:val="fi-FI"/>
        </w:rPr>
        <w:t>useServingCellTimingForSync</w:t>
      </w:r>
      <w:r w:rsidR="008B2DDC" w:rsidRPr="00327415">
        <w:rPr>
          <w:rFonts w:ascii="Times New Roman" w:hAnsi="Times New Roman" w:cs="Times New Roman"/>
          <w:sz w:val="20"/>
          <w:lang w:val="en-US"/>
        </w:rPr>
        <w:t>’</w:t>
      </w:r>
      <w:r w:rsidR="008B2DDC">
        <w:rPr>
          <w:rFonts w:ascii="Times New Roman" w:hAnsi="Times New Roman" w:cs="Times New Roman"/>
          <w:sz w:val="20"/>
          <w:lang w:val="en-US"/>
        </w:rPr>
        <w:t xml:space="preserve"> would allow UE to assume sufficient slot and symbol level synchronization so that SSB index could be determined based on serving cell. </w:t>
      </w:r>
      <w:r w:rsidR="000707B9">
        <w:rPr>
          <w:rFonts w:ascii="Times New Roman" w:hAnsi="Times New Roman" w:cs="Times New Roman"/>
          <w:sz w:val="20"/>
          <w:lang w:val="en-US"/>
        </w:rPr>
        <w:t>One option to</w:t>
      </w:r>
      <w:r w:rsidR="00327415">
        <w:rPr>
          <w:rFonts w:ascii="Times New Roman" w:hAnsi="Times New Roman" w:cs="Times New Roman"/>
          <w:sz w:val="20"/>
          <w:lang w:val="en-US"/>
        </w:rPr>
        <w:t xml:space="preserve"> simplify the UE operation in these cases would be to allow UE to assume the cells always to be SFN synchronized when SMTC configuration is provided</w:t>
      </w:r>
      <w:r w:rsidR="008B2DDC">
        <w:rPr>
          <w:rFonts w:ascii="Times New Roman" w:hAnsi="Times New Roman" w:cs="Times New Roman"/>
          <w:sz w:val="20"/>
          <w:lang w:val="en-US"/>
        </w:rPr>
        <w:t xml:space="preserve">, which in certain perspective aligns with suggestion raised in </w:t>
      </w:r>
      <w:r w:rsidR="008B2DDC">
        <w:rPr>
          <w:rFonts w:ascii="Times New Roman" w:hAnsi="Times New Roman" w:cs="Times New Roman"/>
          <w:sz w:val="20"/>
          <w:lang w:val="en-US"/>
        </w:rPr>
        <w:fldChar w:fldCharType="begin"/>
      </w:r>
      <w:r w:rsidR="008B2DDC">
        <w:rPr>
          <w:rFonts w:ascii="Times New Roman" w:hAnsi="Times New Roman" w:cs="Times New Roman"/>
          <w:sz w:val="20"/>
          <w:lang w:val="en-US"/>
        </w:rPr>
        <w:instrText xml:space="preserve"> REF _Ref513718612 \r \h </w:instrText>
      </w:r>
      <w:r w:rsidR="008B2DDC">
        <w:rPr>
          <w:rFonts w:ascii="Times New Roman" w:hAnsi="Times New Roman" w:cs="Times New Roman"/>
          <w:sz w:val="20"/>
          <w:lang w:val="en-US"/>
        </w:rPr>
      </w:r>
      <w:r w:rsidR="008B2DDC">
        <w:rPr>
          <w:rFonts w:ascii="Times New Roman" w:hAnsi="Times New Roman" w:cs="Times New Roman"/>
          <w:sz w:val="20"/>
          <w:lang w:val="en-US"/>
        </w:rPr>
        <w:fldChar w:fldCharType="separate"/>
      </w:r>
      <w:r w:rsidR="008B2DDC">
        <w:rPr>
          <w:rFonts w:ascii="Times New Roman" w:hAnsi="Times New Roman" w:cs="Times New Roman"/>
          <w:sz w:val="20"/>
          <w:lang w:val="en-US"/>
        </w:rPr>
        <w:t>[3]</w:t>
      </w:r>
      <w:r w:rsidR="008B2DDC">
        <w:rPr>
          <w:rFonts w:ascii="Times New Roman" w:hAnsi="Times New Roman" w:cs="Times New Roman"/>
          <w:sz w:val="20"/>
          <w:lang w:val="en-US"/>
        </w:rPr>
        <w:fldChar w:fldCharType="end"/>
      </w:r>
      <w:r w:rsidR="008B2DDC">
        <w:rPr>
          <w:rFonts w:ascii="Times New Roman" w:hAnsi="Times New Roman" w:cs="Times New Roman"/>
          <w:sz w:val="20"/>
          <w:lang w:val="en-US"/>
        </w:rPr>
        <w:t>, to</w:t>
      </w:r>
      <w:r w:rsidR="00AE32FC">
        <w:rPr>
          <w:rFonts w:ascii="Times New Roman" w:hAnsi="Times New Roman" w:cs="Times New Roman"/>
          <w:sz w:val="20"/>
          <w:lang w:val="en-US"/>
        </w:rPr>
        <w:t xml:space="preserve"> </w:t>
      </w:r>
      <w:r w:rsidR="008B2DDC">
        <w:rPr>
          <w:rFonts w:ascii="Times New Roman" w:hAnsi="Times New Roman" w:cs="Times New Roman"/>
          <w:sz w:val="20"/>
          <w:lang w:val="en-US"/>
        </w:rPr>
        <w:t>allow UE assume that for TDD cells would also be also SFN synchronized. While this</w:t>
      </w:r>
      <w:r w:rsidR="00AE32FC">
        <w:rPr>
          <w:rFonts w:ascii="Times New Roman" w:hAnsi="Times New Roman" w:cs="Times New Roman"/>
          <w:sz w:val="20"/>
          <w:lang w:val="en-US"/>
        </w:rPr>
        <w:t xml:space="preserve"> would attractive solution, and </w:t>
      </w:r>
      <w:r w:rsidR="008B2DDC">
        <w:rPr>
          <w:rFonts w:ascii="Times New Roman" w:hAnsi="Times New Roman" w:cs="Times New Roman"/>
          <w:sz w:val="20"/>
          <w:lang w:val="en-US"/>
        </w:rPr>
        <w:t>it should not restrict</w:t>
      </w:r>
      <w:r w:rsidR="00AE32FC">
        <w:rPr>
          <w:rFonts w:ascii="Times New Roman" w:hAnsi="Times New Roman" w:cs="Times New Roman"/>
          <w:sz w:val="20"/>
          <w:lang w:val="en-US"/>
        </w:rPr>
        <w:t xml:space="preserve"> initial envisioned</w:t>
      </w:r>
      <w:r w:rsidR="008B2DDC">
        <w:rPr>
          <w:rFonts w:ascii="Times New Roman" w:hAnsi="Times New Roman" w:cs="Times New Roman"/>
          <w:sz w:val="20"/>
          <w:lang w:val="en-US"/>
        </w:rPr>
        <w:t xml:space="preserve"> deployment approaches</w:t>
      </w:r>
      <w:r w:rsidR="00645B17">
        <w:rPr>
          <w:rFonts w:ascii="Times New Roman" w:hAnsi="Times New Roman" w:cs="Times New Roman"/>
          <w:sz w:val="20"/>
          <w:lang w:val="en-US"/>
        </w:rPr>
        <w:t xml:space="preserve">, it might be preferable not to preclude options to deploy without SFN synchronization. </w:t>
      </w:r>
      <w:r w:rsidR="00327415">
        <w:rPr>
          <w:rFonts w:ascii="Times New Roman" w:hAnsi="Times New Roman" w:cs="Times New Roman"/>
          <w:sz w:val="20"/>
          <w:lang w:val="en-US"/>
        </w:rPr>
        <w:t xml:space="preserve">Other options would be to extended the assumption for </w:t>
      </w:r>
      <w:r w:rsidR="00327415" w:rsidRPr="00327415">
        <w:rPr>
          <w:rFonts w:ascii="Times New Roman" w:hAnsi="Times New Roman" w:cs="Times New Roman"/>
          <w:sz w:val="20"/>
          <w:lang w:val="en-US"/>
        </w:rPr>
        <w:t>‘</w:t>
      </w:r>
      <w:r w:rsidR="00327415" w:rsidRPr="00327415">
        <w:rPr>
          <w:rFonts w:ascii="Times New Roman" w:eastAsia="SimSun" w:hAnsi="Times New Roman" w:cs="Times New Roman"/>
          <w:i/>
          <w:iCs/>
          <w:sz w:val="17"/>
          <w:szCs w:val="17"/>
          <w:lang w:val="fi-FI"/>
        </w:rPr>
        <w:t>useServingCellTimingForSync</w:t>
      </w:r>
      <w:r w:rsidR="00327415" w:rsidRPr="00327415">
        <w:rPr>
          <w:rFonts w:ascii="Times New Roman" w:hAnsi="Times New Roman" w:cs="Times New Roman"/>
          <w:sz w:val="20"/>
          <w:lang w:val="en-US"/>
        </w:rPr>
        <w:t>’</w:t>
      </w:r>
      <w:r w:rsidR="00645B17">
        <w:rPr>
          <w:rFonts w:ascii="Times New Roman" w:hAnsi="Times New Roman" w:cs="Times New Roman"/>
          <w:sz w:val="20"/>
          <w:lang w:val="en-US"/>
        </w:rPr>
        <w:t xml:space="preserve"> to cover also SFN alignment.</w:t>
      </w:r>
    </w:p>
    <w:p w14:paraId="61FEF0AD" w14:textId="54C0BCF5" w:rsidR="000707B9" w:rsidRDefault="00C71D00" w:rsidP="004A101E">
      <w:pPr>
        <w:rPr>
          <w:rFonts w:ascii="Times New Roman" w:hAnsi="Times New Roman" w:cs="Times New Roman"/>
          <w:sz w:val="20"/>
          <w:lang w:val="en-US"/>
        </w:rPr>
      </w:pPr>
      <w:r>
        <w:rPr>
          <w:rFonts w:ascii="Times New Roman" w:hAnsi="Times New Roman" w:cs="Times New Roman"/>
          <w:sz w:val="20"/>
          <w:lang w:val="en-US"/>
        </w:rPr>
        <w:t>It would seem that in scenarios where</w:t>
      </w:r>
      <w:r w:rsidR="00327415">
        <w:rPr>
          <w:rFonts w:ascii="Times New Roman" w:hAnsi="Times New Roman" w:cs="Times New Roman"/>
          <w:sz w:val="20"/>
          <w:lang w:val="en-US"/>
        </w:rPr>
        <w:t xml:space="preserve">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 xml:space="preserve"> could be set, it could also be assumed that network is synchronizated/aligned in SFN level. For scenarios wer</w:t>
      </w:r>
      <w:r w:rsidR="00645B17">
        <w:rPr>
          <w:rFonts w:ascii="Times New Roman" w:hAnsi="Times New Roman" w:cs="Times New Roman"/>
          <w:sz w:val="20"/>
          <w:lang w:val="en-US"/>
        </w:rPr>
        <w:t>e this is not possible, and</w:t>
      </w:r>
      <w:r>
        <w:rPr>
          <w:rFonts w:ascii="Times New Roman" w:hAnsi="Times New Roman" w:cs="Times New Roman"/>
          <w:sz w:val="20"/>
          <w:lang w:val="en-US"/>
        </w:rPr>
        <w:t xml:space="preserve"> RACH configuration </w:t>
      </w:r>
      <w:r w:rsidR="00645B17">
        <w:rPr>
          <w:rFonts w:ascii="Times New Roman" w:hAnsi="Times New Roman" w:cs="Times New Roman"/>
          <w:sz w:val="20"/>
          <w:lang w:val="en-US"/>
        </w:rPr>
        <w:t xml:space="preserve">with ≥10ms period is used, </w:t>
      </w:r>
      <w:r>
        <w:rPr>
          <w:rFonts w:ascii="Times New Roman" w:hAnsi="Times New Roman" w:cs="Times New Roman"/>
          <w:sz w:val="20"/>
          <w:lang w:val="en-US"/>
        </w:rPr>
        <w:t>that the delay for reading the PBCH could be tolerated</w:t>
      </w:r>
      <w:r w:rsidR="00645B17">
        <w:rPr>
          <w:rFonts w:ascii="Times New Roman" w:hAnsi="Times New Roman" w:cs="Times New Roman"/>
          <w:sz w:val="20"/>
          <w:lang w:val="en-US"/>
        </w:rPr>
        <w:t>.</w:t>
      </w:r>
    </w:p>
    <w:p w14:paraId="4C82AE7E" w14:textId="41EC86C0" w:rsidR="00645B17" w:rsidRDefault="00645B17" w:rsidP="00645B17">
      <w:pPr>
        <w:rPr>
          <w:rFonts w:ascii="Times New Roman" w:hAnsi="Times New Roman" w:cs="Times New Roman"/>
          <w:sz w:val="20"/>
          <w:lang w:val="en-US"/>
        </w:rPr>
      </w:pPr>
      <w:r w:rsidRPr="00645B17">
        <w:rPr>
          <w:rFonts w:ascii="Times New Roman" w:hAnsi="Times New Roman" w:cs="Times New Roman"/>
          <w:b/>
          <w:sz w:val="20"/>
          <w:lang w:val="en-US"/>
        </w:rPr>
        <w:t>Observation:</w:t>
      </w:r>
      <w:r>
        <w:rPr>
          <w:rFonts w:ascii="Times New Roman" w:hAnsi="Times New Roman" w:cs="Times New Roman"/>
          <w:sz w:val="20"/>
          <w:lang w:val="en-US"/>
        </w:rPr>
        <w:t xml:space="preserve"> To enable removing the possible delay from PBCH reading for handover cases, the extend the UE assumption for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 xml:space="preserve"> (when set TRUE) to cover also SFN alignment between cells. If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 xml:space="preserve"> is not set, and </w:t>
      </w:r>
      <w:r w:rsidR="001B1F5E">
        <w:rPr>
          <w:rFonts w:ascii="Times New Roman" w:hAnsi="Times New Roman" w:cs="Times New Roman"/>
          <w:sz w:val="20"/>
          <w:lang w:val="en-US"/>
        </w:rPr>
        <w:t xml:space="preserve">if </w:t>
      </w:r>
      <w:r>
        <w:rPr>
          <w:rFonts w:ascii="Times New Roman" w:hAnsi="Times New Roman" w:cs="Times New Roman"/>
          <w:sz w:val="20"/>
          <w:lang w:val="en-US"/>
        </w:rPr>
        <w:t>RACH requires understanding of the SFN, UE is expected to obtain the PBCH.</w:t>
      </w:r>
    </w:p>
    <w:p w14:paraId="0476F225" w14:textId="67772144" w:rsidR="00645B17" w:rsidRPr="00FB337A" w:rsidRDefault="00645B17" w:rsidP="004A101E">
      <w:pPr>
        <w:rPr>
          <w:rFonts w:ascii="Times New Roman" w:hAnsi="Times New Roman" w:cs="Times New Roman"/>
          <w:sz w:val="20"/>
          <w:lang w:val="en-US"/>
        </w:rPr>
      </w:pPr>
    </w:p>
    <w:p w14:paraId="146E439C" w14:textId="5E5BA3C1" w:rsidR="00A46456" w:rsidRDefault="00443BF1" w:rsidP="005503B8">
      <w:pPr>
        <w:pStyle w:val="Heading1"/>
      </w:pPr>
      <w:r>
        <w:t>4</w:t>
      </w:r>
      <w:r w:rsidR="005503B8">
        <w:tab/>
        <w:t>Conclusions</w:t>
      </w:r>
    </w:p>
    <w:p w14:paraId="74BA1FE5" w14:textId="4C38F815"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sidR="009042FD">
        <w:rPr>
          <w:rFonts w:ascii="Times New Roman" w:hAnsi="Times New Roman" w:cs="Times New Roman"/>
          <w:sz w:val="20"/>
          <w:lang w:val="en-US"/>
        </w:rPr>
        <w:t xml:space="preserve">power difference between SS/PBCH block and </w:t>
      </w:r>
      <w:r w:rsidR="004065A6">
        <w:rPr>
          <w:rFonts w:ascii="Times New Roman" w:hAnsi="Times New Roman" w:cs="Times New Roman"/>
          <w:sz w:val="20"/>
          <w:lang w:val="en-US"/>
        </w:rPr>
        <w:t xml:space="preserve"> </w:t>
      </w:r>
      <w:r w:rsidR="00FB337A">
        <w:rPr>
          <w:rFonts w:ascii="Times New Roman" w:hAnsi="Times New Roman" w:cs="Times New Roman"/>
          <w:sz w:val="20"/>
          <w:lang w:val="en-US"/>
        </w:rPr>
        <w:t xml:space="preserve">PDCCH </w:t>
      </w:r>
      <w:r w:rsidR="004065A6">
        <w:rPr>
          <w:rFonts w:ascii="Times New Roman" w:hAnsi="Times New Roman" w:cs="Times New Roman"/>
          <w:sz w:val="20"/>
          <w:lang w:val="en-US"/>
        </w:rPr>
        <w:t>scheduling broadcast channels QCL’ed with</w:t>
      </w:r>
      <w:r w:rsidR="009042FD">
        <w:rPr>
          <w:rFonts w:ascii="Times New Roman" w:hAnsi="Times New Roman" w:cs="Times New Roman"/>
          <w:sz w:val="20"/>
          <w:lang w:val="en-US"/>
        </w:rPr>
        <w:t xml:space="preserve"> SS/PBCH block. Based on the discussion we make following observations and proposals:</w:t>
      </w:r>
    </w:p>
    <w:p w14:paraId="40920DF4" w14:textId="1D67C9F6" w:rsidR="004A101E" w:rsidRDefault="004A101E" w:rsidP="00BC6E18">
      <w:pPr>
        <w:rPr>
          <w:rFonts w:ascii="Times New Roman" w:hAnsi="Times New Roman" w:cs="Times New Roman"/>
          <w:sz w:val="20"/>
          <w:lang w:val="en-US"/>
        </w:rPr>
      </w:pPr>
      <w:r>
        <w:rPr>
          <w:rFonts w:ascii="Times New Roman" w:hAnsi="Times New Roman" w:cs="Times New Roman"/>
          <w:sz w:val="20"/>
          <w:lang w:val="en-US"/>
        </w:rPr>
        <w:t>On the fraudulent use of cell-defining SSB indication we make following conclusion/observation:</w:t>
      </w:r>
    </w:p>
    <w:p w14:paraId="50C9DD56" w14:textId="623168A2" w:rsidR="00901147" w:rsidRDefault="00901147" w:rsidP="00901147">
      <w:pPr>
        <w:rPr>
          <w:rFonts w:ascii="Times New Roman" w:hAnsi="Times New Roman" w:cs="Times New Roman"/>
          <w:sz w:val="20"/>
          <w:lang w:val="en-US"/>
        </w:rPr>
      </w:pPr>
      <w:r w:rsidRPr="00C7316D">
        <w:rPr>
          <w:rFonts w:ascii="Times New Roman" w:hAnsi="Times New Roman" w:cs="Times New Roman"/>
          <w:b/>
          <w:sz w:val="20"/>
          <w:lang w:val="en-US"/>
        </w:rPr>
        <w:t>Observation:</w:t>
      </w:r>
      <w:r>
        <w:rPr>
          <w:rFonts w:ascii="Times New Roman" w:hAnsi="Times New Roman" w:cs="Times New Roman"/>
          <w:sz w:val="20"/>
          <w:lang w:val="en-US"/>
        </w:rPr>
        <w:t xml:space="preserve"> Some wording could be introduced to specification, to alleviate concerns of fraudulent use of cell-defining SSB for preventing UE finding target PLMN.  </w:t>
      </w:r>
    </w:p>
    <w:p w14:paraId="1C87EC24" w14:textId="3BBE1F75" w:rsidR="00645B17" w:rsidRDefault="00645B17" w:rsidP="00901147">
      <w:pPr>
        <w:rPr>
          <w:rFonts w:ascii="Times New Roman" w:hAnsi="Times New Roman" w:cs="Times New Roman"/>
          <w:sz w:val="20"/>
          <w:lang w:val="en-US"/>
        </w:rPr>
      </w:pPr>
      <w:r>
        <w:rPr>
          <w:rFonts w:ascii="Times New Roman" w:hAnsi="Times New Roman" w:cs="Times New Roman"/>
          <w:sz w:val="20"/>
          <w:lang w:val="en-US"/>
        </w:rPr>
        <w:t>For the synchronization assumptions and PBCH reading delay in handover, following observation is made:</w:t>
      </w:r>
    </w:p>
    <w:p w14:paraId="5BD389EB" w14:textId="77777777" w:rsidR="00645B17" w:rsidRDefault="00645B17" w:rsidP="00645B17">
      <w:pPr>
        <w:rPr>
          <w:rFonts w:ascii="Times New Roman" w:hAnsi="Times New Roman" w:cs="Times New Roman"/>
          <w:sz w:val="20"/>
          <w:lang w:val="en-US"/>
        </w:rPr>
      </w:pPr>
      <w:r w:rsidRPr="00645B17">
        <w:rPr>
          <w:rFonts w:ascii="Times New Roman" w:hAnsi="Times New Roman" w:cs="Times New Roman"/>
          <w:b/>
          <w:sz w:val="20"/>
          <w:lang w:val="en-US"/>
        </w:rPr>
        <w:t>Observation:</w:t>
      </w:r>
      <w:r>
        <w:rPr>
          <w:rFonts w:ascii="Times New Roman" w:hAnsi="Times New Roman" w:cs="Times New Roman"/>
          <w:sz w:val="20"/>
          <w:lang w:val="en-US"/>
        </w:rPr>
        <w:t xml:space="preserve"> To enable removing the possible delay from PBCH reading for handover cases, the extend the UE assumption for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 xml:space="preserve"> (when set TRUE) to cover also SFN alignment between cells. If </w:t>
      </w:r>
      <w:r w:rsidRPr="00327415">
        <w:rPr>
          <w:rFonts w:ascii="Times New Roman" w:hAnsi="Times New Roman" w:cs="Times New Roman"/>
          <w:sz w:val="20"/>
          <w:lang w:val="en-US"/>
        </w:rPr>
        <w:t>‘</w:t>
      </w:r>
      <w:r w:rsidRPr="00327415">
        <w:rPr>
          <w:rFonts w:ascii="Times New Roman" w:eastAsia="SimSun" w:hAnsi="Times New Roman" w:cs="Times New Roman"/>
          <w:i/>
          <w:iCs/>
          <w:sz w:val="17"/>
          <w:szCs w:val="17"/>
          <w:lang w:val="fi-FI"/>
        </w:rPr>
        <w:t>useServingCellTimingForSync</w:t>
      </w:r>
      <w:r w:rsidRPr="00327415">
        <w:rPr>
          <w:rFonts w:ascii="Times New Roman" w:hAnsi="Times New Roman" w:cs="Times New Roman"/>
          <w:sz w:val="20"/>
          <w:lang w:val="en-US"/>
        </w:rPr>
        <w:t>’</w:t>
      </w:r>
      <w:r>
        <w:rPr>
          <w:rFonts w:ascii="Times New Roman" w:hAnsi="Times New Roman" w:cs="Times New Roman"/>
          <w:sz w:val="20"/>
          <w:lang w:val="en-US"/>
        </w:rPr>
        <w:t xml:space="preserve"> is not set, and RACH requires understanding of the SFN, UE is expected to obtain the PBCH.</w:t>
      </w:r>
    </w:p>
    <w:p w14:paraId="52F0D3E1" w14:textId="77777777" w:rsidR="00645B17" w:rsidRDefault="00645B17" w:rsidP="00901147">
      <w:pPr>
        <w:rPr>
          <w:rFonts w:ascii="Times New Roman" w:hAnsi="Times New Roman" w:cs="Times New Roman"/>
          <w:sz w:val="20"/>
          <w:lang w:val="en-US"/>
        </w:rPr>
      </w:pP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6" w:name="_Hlk498596596"/>
      <w:r w:rsidRPr="00A51522">
        <w:lastRenderedPageBreak/>
        <w:t>References</w:t>
      </w:r>
      <w:bookmarkEnd w:id="6"/>
      <w:r w:rsidR="00A2459D" w:rsidRPr="00A51522">
        <w:t xml:space="preserve"> </w:t>
      </w:r>
    </w:p>
    <w:p w14:paraId="41CADF24" w14:textId="4B26E520" w:rsidR="00491524" w:rsidRDefault="00491524" w:rsidP="004F7E79">
      <w:pPr>
        <w:numPr>
          <w:ilvl w:val="0"/>
          <w:numId w:val="1"/>
        </w:numPr>
        <w:spacing w:after="80"/>
        <w:rPr>
          <w:rFonts w:ascii="Times New Roman" w:hAnsi="Times New Roman" w:cs="Times New Roman"/>
          <w:sz w:val="20"/>
        </w:rPr>
      </w:pPr>
      <w:bookmarkStart w:id="7" w:name="_Ref510458273"/>
      <w:r>
        <w:rPr>
          <w:rFonts w:ascii="Times New Roman" w:hAnsi="Times New Roman" w:cs="Times New Roman"/>
          <w:sz w:val="20"/>
        </w:rPr>
        <w:t>RAN1#92 Chairman Notes</w:t>
      </w:r>
      <w:bookmarkEnd w:id="7"/>
    </w:p>
    <w:p w14:paraId="2E30E3BA" w14:textId="7004AF8C" w:rsidR="006F63AE" w:rsidRDefault="006F63AE" w:rsidP="004F7E79">
      <w:pPr>
        <w:numPr>
          <w:ilvl w:val="0"/>
          <w:numId w:val="1"/>
        </w:numPr>
        <w:spacing w:after="80"/>
        <w:rPr>
          <w:rFonts w:ascii="Times New Roman" w:hAnsi="Times New Roman" w:cs="Times New Roman"/>
          <w:sz w:val="20"/>
        </w:rPr>
      </w:pPr>
      <w:r>
        <w:rPr>
          <w:rFonts w:ascii="Times New Roman" w:hAnsi="Times New Roman" w:cs="Times New Roman"/>
          <w:sz w:val="20"/>
        </w:rPr>
        <w:t>RAN1#92bis Chairman Notes</w:t>
      </w:r>
    </w:p>
    <w:p w14:paraId="7ECF9194" w14:textId="770618FF" w:rsidR="006F63AE" w:rsidRDefault="006F63AE" w:rsidP="00443BF1">
      <w:pPr>
        <w:numPr>
          <w:ilvl w:val="0"/>
          <w:numId w:val="1"/>
        </w:numPr>
        <w:spacing w:after="80"/>
        <w:rPr>
          <w:rFonts w:ascii="Times New Roman" w:hAnsi="Times New Roman" w:cs="Times New Roman"/>
          <w:sz w:val="20"/>
        </w:rPr>
      </w:pPr>
      <w:bookmarkStart w:id="8" w:name="_Ref513659880"/>
      <w:bookmarkStart w:id="9" w:name="_Ref513718612"/>
      <w:r w:rsidRPr="006F63AE">
        <w:rPr>
          <w:rFonts w:ascii="Times New Roman" w:hAnsi="Times New Roman" w:cs="Times New Roman"/>
          <w:sz w:val="20"/>
        </w:rPr>
        <w:t>R1-1804704</w:t>
      </w:r>
      <w:bookmarkEnd w:id="8"/>
      <w:r w:rsidR="00443BF1">
        <w:rPr>
          <w:rFonts w:ascii="Times New Roman" w:hAnsi="Times New Roman" w:cs="Times New Roman"/>
          <w:sz w:val="20"/>
        </w:rPr>
        <w:t>, ‘</w:t>
      </w:r>
      <w:r w:rsidR="00443BF1" w:rsidRPr="00443BF1">
        <w:rPr>
          <w:rFonts w:ascii="Times New Roman" w:hAnsi="Times New Roman" w:cs="Times New Roman"/>
          <w:sz w:val="20"/>
        </w:rPr>
        <w:t>Remaining Details of NR-PBCH</w:t>
      </w:r>
      <w:r w:rsidR="00443BF1">
        <w:rPr>
          <w:rFonts w:ascii="Times New Roman" w:hAnsi="Times New Roman" w:cs="Times New Roman"/>
          <w:sz w:val="20"/>
        </w:rPr>
        <w:t>’, Intel</w:t>
      </w:r>
      <w:bookmarkEnd w:id="9"/>
    </w:p>
    <w:p w14:paraId="2E99FCBC" w14:textId="4B2D8402" w:rsidR="006F63AE" w:rsidRDefault="006F63AE" w:rsidP="00443BF1">
      <w:pPr>
        <w:numPr>
          <w:ilvl w:val="0"/>
          <w:numId w:val="1"/>
        </w:numPr>
        <w:spacing w:after="80"/>
        <w:rPr>
          <w:rFonts w:ascii="Times New Roman" w:hAnsi="Times New Roman" w:cs="Times New Roman"/>
          <w:sz w:val="20"/>
        </w:rPr>
      </w:pPr>
      <w:bookmarkStart w:id="10" w:name="_Ref513659881"/>
      <w:bookmarkStart w:id="11" w:name="_Ref513718613"/>
      <w:r w:rsidRPr="006F63AE">
        <w:rPr>
          <w:rFonts w:ascii="Times New Roman" w:hAnsi="Times New Roman" w:cs="Times New Roman"/>
          <w:sz w:val="20"/>
          <w:lang w:val="en-US"/>
        </w:rPr>
        <w:t>R1-1805032</w:t>
      </w:r>
      <w:bookmarkEnd w:id="10"/>
      <w:r w:rsidR="00443BF1">
        <w:rPr>
          <w:rFonts w:ascii="Times New Roman" w:hAnsi="Times New Roman" w:cs="Times New Roman"/>
          <w:sz w:val="20"/>
          <w:lang w:val="en-US"/>
        </w:rPr>
        <w:t>, ‘</w:t>
      </w:r>
      <w:r w:rsidR="00443BF1" w:rsidRPr="00443BF1">
        <w:rPr>
          <w:rFonts w:ascii="Times New Roman" w:hAnsi="Times New Roman" w:cs="Times New Roman"/>
          <w:sz w:val="20"/>
          <w:lang w:val="en-US"/>
        </w:rPr>
        <w:t>Remaining issues on NR-PBCH</w:t>
      </w:r>
      <w:r w:rsidR="00443BF1">
        <w:rPr>
          <w:rFonts w:ascii="Times New Roman" w:hAnsi="Times New Roman" w:cs="Times New Roman"/>
          <w:sz w:val="20"/>
          <w:lang w:val="en-US"/>
        </w:rPr>
        <w:t>’, NTT DOCOMO</w:t>
      </w:r>
      <w:bookmarkEnd w:id="11"/>
    </w:p>
    <w:p w14:paraId="1F157078" w14:textId="77777777" w:rsidR="00A94AFB" w:rsidRPr="00CB34B0" w:rsidRDefault="00A94AFB" w:rsidP="00A94AFB">
      <w:pPr>
        <w:rPr>
          <w:rFonts w:ascii="Times New Roman" w:hAnsi="Times New Roman" w:cs="Times New Roman"/>
          <w:sz w:val="20"/>
          <w:lang w:val="en-US"/>
        </w:rPr>
      </w:pPr>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A542" w14:textId="77777777" w:rsidR="00D30D35" w:rsidRDefault="00D30D35">
      <w:r>
        <w:separator/>
      </w:r>
    </w:p>
  </w:endnote>
  <w:endnote w:type="continuationSeparator" w:id="0">
    <w:p w14:paraId="3B49F3FB" w14:textId="77777777" w:rsidR="00D30D35" w:rsidRDefault="00D30D35">
      <w:r>
        <w:continuationSeparator/>
      </w:r>
    </w:p>
  </w:endnote>
  <w:endnote w:type="continuationNotice" w:id="1">
    <w:p w14:paraId="6BF40451" w14:textId="77777777" w:rsidR="00D30D35" w:rsidRDefault="00D30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9D9B" w14:textId="77777777" w:rsidR="00D30D35" w:rsidRDefault="00D30D35">
      <w:r>
        <w:separator/>
      </w:r>
    </w:p>
  </w:footnote>
  <w:footnote w:type="continuationSeparator" w:id="0">
    <w:p w14:paraId="551030DB" w14:textId="77777777" w:rsidR="00D30D35" w:rsidRDefault="00D30D35">
      <w:r>
        <w:continuationSeparator/>
      </w:r>
    </w:p>
  </w:footnote>
  <w:footnote w:type="continuationNotice" w:id="1">
    <w:p w14:paraId="51ECCAB0" w14:textId="77777777" w:rsidR="00D30D35" w:rsidRDefault="00D30D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525E8"/>
    <w:multiLevelType w:val="hybridMultilevel"/>
    <w:tmpl w:val="C68A3014"/>
    <w:lvl w:ilvl="0" w:tplc="54D040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4C963D3"/>
    <w:multiLevelType w:val="hybridMultilevel"/>
    <w:tmpl w:val="5E0A293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7F5529D"/>
    <w:multiLevelType w:val="hybridMultilevel"/>
    <w:tmpl w:val="4B6CDBB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6"/>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B9"/>
    <w:rsid w:val="000707CA"/>
    <w:rsid w:val="0007208A"/>
    <w:rsid w:val="000720B3"/>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B7D"/>
    <w:rsid w:val="00093C49"/>
    <w:rsid w:val="00095A80"/>
    <w:rsid w:val="000973E1"/>
    <w:rsid w:val="00097ABD"/>
    <w:rsid w:val="000A01EF"/>
    <w:rsid w:val="000A0C27"/>
    <w:rsid w:val="000A1402"/>
    <w:rsid w:val="000A20BA"/>
    <w:rsid w:val="000A262C"/>
    <w:rsid w:val="000A3C8D"/>
    <w:rsid w:val="000A40EC"/>
    <w:rsid w:val="000A4B85"/>
    <w:rsid w:val="000A54EE"/>
    <w:rsid w:val="000A57B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7123"/>
    <w:rsid w:val="001103BD"/>
    <w:rsid w:val="00110A1F"/>
    <w:rsid w:val="00111208"/>
    <w:rsid w:val="00111808"/>
    <w:rsid w:val="001125B5"/>
    <w:rsid w:val="0011339F"/>
    <w:rsid w:val="00114E96"/>
    <w:rsid w:val="00115613"/>
    <w:rsid w:val="00115C1A"/>
    <w:rsid w:val="0011672A"/>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1F5E"/>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6873"/>
    <w:rsid w:val="002673E6"/>
    <w:rsid w:val="00267587"/>
    <w:rsid w:val="00271459"/>
    <w:rsid w:val="00271589"/>
    <w:rsid w:val="00271973"/>
    <w:rsid w:val="00272991"/>
    <w:rsid w:val="00273177"/>
    <w:rsid w:val="00275074"/>
    <w:rsid w:val="002763E9"/>
    <w:rsid w:val="00276736"/>
    <w:rsid w:val="002770D6"/>
    <w:rsid w:val="00277C1E"/>
    <w:rsid w:val="0028070B"/>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1F9"/>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41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5A6"/>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BF1"/>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24"/>
    <w:rsid w:val="00491BE4"/>
    <w:rsid w:val="00491C50"/>
    <w:rsid w:val="00491DB2"/>
    <w:rsid w:val="00492877"/>
    <w:rsid w:val="00493AB8"/>
    <w:rsid w:val="00493B66"/>
    <w:rsid w:val="00495E53"/>
    <w:rsid w:val="00496DC2"/>
    <w:rsid w:val="00496E75"/>
    <w:rsid w:val="00497466"/>
    <w:rsid w:val="004A014C"/>
    <w:rsid w:val="004A01EF"/>
    <w:rsid w:val="004A0AA8"/>
    <w:rsid w:val="004A101E"/>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43B"/>
    <w:rsid w:val="004E362B"/>
    <w:rsid w:val="004E3681"/>
    <w:rsid w:val="004E3D74"/>
    <w:rsid w:val="004E4F56"/>
    <w:rsid w:val="004E784B"/>
    <w:rsid w:val="004E7D41"/>
    <w:rsid w:val="004E7DA1"/>
    <w:rsid w:val="004F0224"/>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121"/>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2715"/>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560E"/>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3E0"/>
    <w:rsid w:val="0061567B"/>
    <w:rsid w:val="00616913"/>
    <w:rsid w:val="0061700D"/>
    <w:rsid w:val="00620244"/>
    <w:rsid w:val="0062152A"/>
    <w:rsid w:val="00623583"/>
    <w:rsid w:val="0062462F"/>
    <w:rsid w:val="00624BA1"/>
    <w:rsid w:val="00625CA2"/>
    <w:rsid w:val="006262D0"/>
    <w:rsid w:val="0062647B"/>
    <w:rsid w:val="006265E1"/>
    <w:rsid w:val="0062661B"/>
    <w:rsid w:val="00630118"/>
    <w:rsid w:val="00630957"/>
    <w:rsid w:val="006310AE"/>
    <w:rsid w:val="00632196"/>
    <w:rsid w:val="00633BF2"/>
    <w:rsid w:val="00633F67"/>
    <w:rsid w:val="006345C3"/>
    <w:rsid w:val="006362F9"/>
    <w:rsid w:val="006373CD"/>
    <w:rsid w:val="00637B6B"/>
    <w:rsid w:val="00640C67"/>
    <w:rsid w:val="0064165D"/>
    <w:rsid w:val="006433BD"/>
    <w:rsid w:val="00643784"/>
    <w:rsid w:val="00644186"/>
    <w:rsid w:val="00644A21"/>
    <w:rsid w:val="00645B17"/>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0306"/>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1BD"/>
    <w:rsid w:val="00685B9B"/>
    <w:rsid w:val="006867B6"/>
    <w:rsid w:val="00690E2E"/>
    <w:rsid w:val="00691DA7"/>
    <w:rsid w:val="00692814"/>
    <w:rsid w:val="006932E7"/>
    <w:rsid w:val="00693347"/>
    <w:rsid w:val="0069334C"/>
    <w:rsid w:val="00695C8E"/>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63A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499"/>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7F57E8"/>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2DDC"/>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36ED"/>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147"/>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37F60"/>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5352"/>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2CC5"/>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2FC"/>
    <w:rsid w:val="00AE3DE1"/>
    <w:rsid w:val="00AF0EFE"/>
    <w:rsid w:val="00AF2D54"/>
    <w:rsid w:val="00AF3458"/>
    <w:rsid w:val="00AF3F7B"/>
    <w:rsid w:val="00AF4199"/>
    <w:rsid w:val="00AF42B4"/>
    <w:rsid w:val="00AF4B8A"/>
    <w:rsid w:val="00AF4F1B"/>
    <w:rsid w:val="00AF5EC6"/>
    <w:rsid w:val="00AF62C0"/>
    <w:rsid w:val="00AF6A0C"/>
    <w:rsid w:val="00AF6C80"/>
    <w:rsid w:val="00AF6E8A"/>
    <w:rsid w:val="00AF7213"/>
    <w:rsid w:val="00AF7495"/>
    <w:rsid w:val="00AF7D92"/>
    <w:rsid w:val="00B00B25"/>
    <w:rsid w:val="00B011CC"/>
    <w:rsid w:val="00B04048"/>
    <w:rsid w:val="00B0440D"/>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6F07"/>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0379"/>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32B47"/>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562FD"/>
    <w:rsid w:val="00C611EC"/>
    <w:rsid w:val="00C61D4B"/>
    <w:rsid w:val="00C62B0A"/>
    <w:rsid w:val="00C634C4"/>
    <w:rsid w:val="00C63F08"/>
    <w:rsid w:val="00C64415"/>
    <w:rsid w:val="00C64520"/>
    <w:rsid w:val="00C64BD7"/>
    <w:rsid w:val="00C6528C"/>
    <w:rsid w:val="00C659E5"/>
    <w:rsid w:val="00C65B95"/>
    <w:rsid w:val="00C661E8"/>
    <w:rsid w:val="00C70084"/>
    <w:rsid w:val="00C70DC4"/>
    <w:rsid w:val="00C70E45"/>
    <w:rsid w:val="00C71D00"/>
    <w:rsid w:val="00C7235B"/>
    <w:rsid w:val="00C72E18"/>
    <w:rsid w:val="00C7316D"/>
    <w:rsid w:val="00C731AD"/>
    <w:rsid w:val="00C7380B"/>
    <w:rsid w:val="00C74421"/>
    <w:rsid w:val="00C75F2F"/>
    <w:rsid w:val="00C75FEE"/>
    <w:rsid w:val="00C764CE"/>
    <w:rsid w:val="00C76F1D"/>
    <w:rsid w:val="00C77771"/>
    <w:rsid w:val="00C77D26"/>
    <w:rsid w:val="00C802E4"/>
    <w:rsid w:val="00C809E1"/>
    <w:rsid w:val="00C84D39"/>
    <w:rsid w:val="00C85217"/>
    <w:rsid w:val="00C85277"/>
    <w:rsid w:val="00C85D76"/>
    <w:rsid w:val="00C86F9C"/>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6FA6"/>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171F"/>
    <w:rsid w:val="00D223DB"/>
    <w:rsid w:val="00D2279F"/>
    <w:rsid w:val="00D22AF1"/>
    <w:rsid w:val="00D22E93"/>
    <w:rsid w:val="00D236A7"/>
    <w:rsid w:val="00D242DA"/>
    <w:rsid w:val="00D24C2A"/>
    <w:rsid w:val="00D26448"/>
    <w:rsid w:val="00D264CE"/>
    <w:rsid w:val="00D26670"/>
    <w:rsid w:val="00D27A8B"/>
    <w:rsid w:val="00D27B8B"/>
    <w:rsid w:val="00D30D35"/>
    <w:rsid w:val="00D31B6E"/>
    <w:rsid w:val="00D3232B"/>
    <w:rsid w:val="00D3239F"/>
    <w:rsid w:val="00D324A4"/>
    <w:rsid w:val="00D324CE"/>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0DA"/>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357B"/>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261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0EC"/>
    <w:rsid w:val="00EE64D4"/>
    <w:rsid w:val="00EE76A9"/>
    <w:rsid w:val="00EE799E"/>
    <w:rsid w:val="00EE7CA8"/>
    <w:rsid w:val="00EE7FA7"/>
    <w:rsid w:val="00EF1093"/>
    <w:rsid w:val="00EF15B1"/>
    <w:rsid w:val="00EF1FCB"/>
    <w:rsid w:val="00EF21C3"/>
    <w:rsid w:val="00EF2E6B"/>
    <w:rsid w:val="00EF329B"/>
    <w:rsid w:val="00EF40F3"/>
    <w:rsid w:val="00EF453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5148"/>
    <w:rsid w:val="00F560FE"/>
    <w:rsid w:val="00F567DD"/>
    <w:rsid w:val="00F56F8D"/>
    <w:rsid w:val="00F571E0"/>
    <w:rsid w:val="00F6092F"/>
    <w:rsid w:val="00F6111C"/>
    <w:rsid w:val="00F614C0"/>
    <w:rsid w:val="00F61647"/>
    <w:rsid w:val="00F657CF"/>
    <w:rsid w:val="00F669EC"/>
    <w:rsid w:val="00F66A00"/>
    <w:rsid w:val="00F67DF6"/>
    <w:rsid w:val="00F67F00"/>
    <w:rsid w:val="00F70974"/>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0D8B"/>
    <w:rsid w:val="00FA16A0"/>
    <w:rsid w:val="00FA35D3"/>
    <w:rsid w:val="00FA413A"/>
    <w:rsid w:val="00FA4144"/>
    <w:rsid w:val="00FA4DDF"/>
    <w:rsid w:val="00FA6E7F"/>
    <w:rsid w:val="00FA7114"/>
    <w:rsid w:val="00FB065D"/>
    <w:rsid w:val="00FB2379"/>
    <w:rsid w:val="00FB337A"/>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1F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06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1F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7017009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43410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99553">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38C37-1087-471C-87AF-39EAE8C5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2018-05-11T17:36:00Z</dcterms:created>
  <dcterms:modified xsi:type="dcterms:W3CDTF">2018-05-11T17:36:00Z</dcterms:modified>
</cp:coreProperties>
</file>