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81B31" w14:textId="5659941B"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sidR="00605AA3">
        <w:rPr>
          <w:rFonts w:ascii="Arial" w:hAnsi="Arial" w:cs="Arial"/>
          <w:b/>
          <w:sz w:val="24"/>
          <w:szCs w:val="24"/>
        </w:rPr>
        <w:t>9</w:t>
      </w:r>
      <w:r w:rsidR="00926064">
        <w:rPr>
          <w:rFonts w:ascii="Arial" w:hAnsi="Arial" w:cs="Arial"/>
          <w:b/>
          <w:sz w:val="24"/>
          <w:szCs w:val="24"/>
        </w:rPr>
        <w:t>3</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w:t>
      </w:r>
      <w:r w:rsidR="006D513B">
        <w:rPr>
          <w:rFonts w:ascii="Arial" w:hAnsi="Arial" w:cs="Arial"/>
          <w:b/>
          <w:sz w:val="24"/>
          <w:szCs w:val="24"/>
        </w:rPr>
        <w:t>80</w:t>
      </w:r>
      <w:r w:rsidR="00F649EB">
        <w:rPr>
          <w:rFonts w:ascii="Arial" w:hAnsi="Arial" w:cs="Arial"/>
          <w:b/>
          <w:sz w:val="24"/>
          <w:szCs w:val="24"/>
        </w:rPr>
        <w:t>7116</w:t>
      </w:r>
    </w:p>
    <w:p w14:paraId="563872CF" w14:textId="18D6B512" w:rsidR="00605AA3" w:rsidRDefault="00926064" w:rsidP="005648A0">
      <w:pPr>
        <w:tabs>
          <w:tab w:val="right" w:pos="9630"/>
        </w:tabs>
        <w:spacing w:after="0"/>
        <w:jc w:val="both"/>
        <w:rPr>
          <w:rFonts w:ascii="Arial" w:hAnsi="Arial" w:cs="Arial"/>
          <w:b/>
          <w:sz w:val="24"/>
          <w:szCs w:val="24"/>
        </w:rPr>
      </w:pPr>
      <w:r>
        <w:rPr>
          <w:rFonts w:ascii="Arial" w:hAnsi="Arial" w:cs="Arial"/>
          <w:b/>
          <w:sz w:val="24"/>
          <w:szCs w:val="24"/>
        </w:rPr>
        <w:t>May</w:t>
      </w:r>
      <w:r w:rsidR="00124D44">
        <w:rPr>
          <w:rFonts w:ascii="Arial" w:hAnsi="Arial" w:cs="Arial"/>
          <w:b/>
          <w:sz w:val="24"/>
          <w:szCs w:val="24"/>
        </w:rPr>
        <w:t xml:space="preserve"> </w:t>
      </w:r>
      <w:r>
        <w:rPr>
          <w:rFonts w:ascii="Arial" w:hAnsi="Arial" w:cs="Arial"/>
          <w:b/>
          <w:sz w:val="24"/>
          <w:szCs w:val="24"/>
        </w:rPr>
        <w:t>21</w:t>
      </w:r>
      <w:r w:rsidRPr="00926064">
        <w:rPr>
          <w:rFonts w:ascii="Arial" w:hAnsi="Arial" w:cs="Arial"/>
          <w:b/>
          <w:sz w:val="24"/>
          <w:szCs w:val="24"/>
          <w:vertAlign w:val="superscript"/>
        </w:rPr>
        <w:t>st</w:t>
      </w:r>
      <w:r>
        <w:rPr>
          <w:rFonts w:ascii="Arial" w:hAnsi="Arial" w:cs="Arial"/>
          <w:b/>
          <w:sz w:val="24"/>
          <w:szCs w:val="24"/>
        </w:rPr>
        <w:t xml:space="preserve"> </w:t>
      </w:r>
      <w:r w:rsidR="006D513B">
        <w:rPr>
          <w:rFonts w:ascii="Arial" w:hAnsi="Arial" w:cs="Arial"/>
          <w:b/>
          <w:sz w:val="24"/>
          <w:szCs w:val="24"/>
        </w:rPr>
        <w:t>–</w:t>
      </w:r>
      <w:r w:rsidR="006D513B" w:rsidRPr="003732BA">
        <w:rPr>
          <w:rFonts w:ascii="Arial" w:hAnsi="Arial" w:cs="Arial"/>
          <w:b/>
          <w:sz w:val="24"/>
          <w:szCs w:val="24"/>
        </w:rPr>
        <w:t xml:space="preserve"> </w:t>
      </w:r>
      <w:r w:rsidR="006D513B">
        <w:rPr>
          <w:rFonts w:ascii="Arial" w:hAnsi="Arial" w:cs="Arial"/>
          <w:b/>
          <w:sz w:val="24"/>
          <w:szCs w:val="24"/>
        </w:rPr>
        <w:t>2</w:t>
      </w:r>
      <w:r>
        <w:rPr>
          <w:rFonts w:ascii="Arial" w:hAnsi="Arial" w:cs="Arial"/>
          <w:b/>
          <w:sz w:val="24"/>
          <w:szCs w:val="24"/>
        </w:rPr>
        <w:t>5</w:t>
      </w:r>
      <w:r w:rsidR="00124D44" w:rsidRPr="00124D44">
        <w:rPr>
          <w:rFonts w:ascii="Arial" w:hAnsi="Arial" w:cs="Arial"/>
          <w:b/>
          <w:sz w:val="24"/>
          <w:szCs w:val="24"/>
          <w:vertAlign w:val="superscript"/>
        </w:rPr>
        <w:t>th</w:t>
      </w:r>
      <w:r w:rsidR="00124D44">
        <w:rPr>
          <w:rFonts w:ascii="Arial" w:hAnsi="Arial" w:cs="Arial"/>
          <w:b/>
          <w:sz w:val="24"/>
          <w:szCs w:val="24"/>
        </w:rPr>
        <w:t xml:space="preserve"> </w:t>
      </w:r>
      <w:r w:rsidR="006D513B">
        <w:rPr>
          <w:rFonts w:ascii="Arial" w:hAnsi="Arial" w:cs="Arial"/>
          <w:b/>
          <w:sz w:val="24"/>
          <w:szCs w:val="24"/>
        </w:rPr>
        <w:t>2018</w:t>
      </w:r>
    </w:p>
    <w:p w14:paraId="1866D85A" w14:textId="42EEF495" w:rsidR="009611DA" w:rsidRPr="00FD021C" w:rsidRDefault="00926064" w:rsidP="005648A0">
      <w:pPr>
        <w:tabs>
          <w:tab w:val="right" w:pos="9630"/>
        </w:tabs>
        <w:spacing w:after="0"/>
        <w:jc w:val="both"/>
        <w:rPr>
          <w:rFonts w:ascii="Arial" w:hAnsi="Arial" w:cs="Arial"/>
          <w:b/>
          <w:sz w:val="24"/>
          <w:szCs w:val="24"/>
        </w:rPr>
      </w:pPr>
      <w:r>
        <w:rPr>
          <w:rFonts w:ascii="Arial" w:hAnsi="Arial" w:cs="Arial"/>
          <w:b/>
          <w:sz w:val="24"/>
          <w:szCs w:val="24"/>
        </w:rPr>
        <w:t>Busan</w:t>
      </w:r>
      <w:r w:rsidR="009611DA" w:rsidRPr="00CA6BDF">
        <w:rPr>
          <w:rFonts w:ascii="Arial" w:hAnsi="Arial" w:cs="Arial"/>
          <w:b/>
          <w:sz w:val="24"/>
          <w:szCs w:val="24"/>
        </w:rPr>
        <w:t xml:space="preserve">, </w:t>
      </w:r>
      <w:r>
        <w:rPr>
          <w:rFonts w:ascii="Arial" w:hAnsi="Arial" w:cs="Arial"/>
          <w:b/>
          <w:sz w:val="24"/>
          <w:szCs w:val="24"/>
        </w:rPr>
        <w:t>Korea</w:t>
      </w:r>
    </w:p>
    <w:p w14:paraId="26881B34" w14:textId="77777777" w:rsidR="0068226B" w:rsidRPr="000A64D8" w:rsidRDefault="0068226B" w:rsidP="00480B03">
      <w:pPr>
        <w:pStyle w:val="Footer"/>
        <w:jc w:val="both"/>
        <w:rPr>
          <w:noProof w:val="0"/>
        </w:rPr>
      </w:pPr>
    </w:p>
    <w:p w14:paraId="26881B35" w14:textId="25B9BE9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16CD2">
        <w:rPr>
          <w:rFonts w:ascii="Arial" w:hAnsi="Arial"/>
          <w:sz w:val="24"/>
        </w:rPr>
        <w:t>6</w:t>
      </w:r>
      <w:r w:rsidR="009A1DC8" w:rsidRPr="009A1DC8">
        <w:rPr>
          <w:rFonts w:ascii="Arial" w:hAnsi="Arial"/>
          <w:sz w:val="24"/>
        </w:rPr>
        <w:t>.2.</w:t>
      </w:r>
      <w:r w:rsidR="00124D44">
        <w:rPr>
          <w:rFonts w:ascii="Arial" w:hAnsi="Arial"/>
          <w:sz w:val="24"/>
        </w:rPr>
        <w:t>7</w:t>
      </w:r>
      <w:r w:rsidR="009A1DC8" w:rsidRPr="009A1DC8">
        <w:rPr>
          <w:rFonts w:ascii="Arial" w:hAnsi="Arial"/>
          <w:sz w:val="24"/>
        </w:rPr>
        <w:t>.</w:t>
      </w:r>
      <w:r w:rsidR="00926064">
        <w:rPr>
          <w:rFonts w:ascii="Arial" w:hAnsi="Arial"/>
          <w:sz w:val="24"/>
        </w:rPr>
        <w:t>3</w:t>
      </w:r>
      <w:r w:rsidR="00265BBD">
        <w:rPr>
          <w:rFonts w:ascii="Arial" w:hAnsi="Arial"/>
          <w:sz w:val="24"/>
        </w:rPr>
        <w:t>.</w:t>
      </w:r>
      <w:r w:rsidR="005E181F">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27DC284F"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26064">
        <w:rPr>
          <w:rFonts w:ascii="Arial" w:hAnsi="Arial"/>
          <w:sz w:val="22"/>
        </w:rPr>
        <w:t>Remaining issues on u</w:t>
      </w:r>
      <w:r w:rsidR="005E181F">
        <w:rPr>
          <w:rFonts w:ascii="Arial" w:hAnsi="Arial"/>
          <w:sz w:val="24"/>
        </w:rPr>
        <w:t>p</w:t>
      </w:r>
      <w:r w:rsidR="00AE0208">
        <w:rPr>
          <w:rFonts w:ascii="Arial" w:hAnsi="Arial"/>
          <w:sz w:val="24"/>
        </w:rPr>
        <w:t>l</w:t>
      </w:r>
      <w:r w:rsidR="00926064">
        <w:rPr>
          <w:rFonts w:ascii="Arial" w:hAnsi="Arial"/>
          <w:sz w:val="24"/>
        </w:rPr>
        <w:t xml:space="preserve">ink aspects of </w:t>
      </w:r>
      <w:r w:rsidR="00622D53">
        <w:rPr>
          <w:rFonts w:ascii="Arial" w:hAnsi="Arial"/>
          <w:sz w:val="24"/>
        </w:rPr>
        <w:t>TDD</w:t>
      </w:r>
      <w:r w:rsidR="00926064">
        <w:rPr>
          <w:rFonts w:ascii="Arial" w:hAnsi="Arial"/>
          <w:sz w:val="24"/>
        </w:rPr>
        <w:t xml:space="preserve"> NB-IoT</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3D29814B" w14:textId="5CD38C3C" w:rsidR="00D91D0C" w:rsidRDefault="002C1E49" w:rsidP="00D91D0C">
      <w:pPr>
        <w:pStyle w:val="ListParagraph"/>
        <w:spacing w:after="180"/>
        <w:ind w:left="0"/>
        <w:jc w:val="both"/>
        <w:rPr>
          <w:rFonts w:ascii="Times New Roman" w:hAnsi="Times New Roman"/>
          <w:sz w:val="20"/>
          <w:szCs w:val="20"/>
          <w:lang w:val="en-GB"/>
        </w:rPr>
      </w:pPr>
      <w:r w:rsidRPr="00D91D0C">
        <w:rPr>
          <w:rFonts w:ascii="Times New Roman" w:hAnsi="Times New Roman"/>
          <w:sz w:val="20"/>
          <w:szCs w:val="20"/>
          <w:lang w:val="en-GB"/>
        </w:rPr>
        <w:t xml:space="preserve">In this contribution, we </w:t>
      </w:r>
      <w:r w:rsidR="006F00EC">
        <w:rPr>
          <w:rFonts w:ascii="Times New Roman" w:hAnsi="Times New Roman"/>
          <w:sz w:val="20"/>
          <w:szCs w:val="20"/>
          <w:lang w:val="en-GB"/>
        </w:rPr>
        <w:t>will</w:t>
      </w:r>
      <w:r w:rsidR="00D91D0C">
        <w:rPr>
          <w:rFonts w:ascii="Times New Roman" w:hAnsi="Times New Roman"/>
          <w:sz w:val="20"/>
          <w:szCs w:val="20"/>
          <w:lang w:val="en-GB"/>
        </w:rPr>
        <w:t xml:space="preserve"> discuss </w:t>
      </w:r>
      <w:r w:rsidR="00605AA3" w:rsidRPr="00D91D0C">
        <w:rPr>
          <w:rFonts w:ascii="Times New Roman" w:hAnsi="Times New Roman"/>
          <w:sz w:val="20"/>
          <w:szCs w:val="20"/>
          <w:lang w:val="en-GB"/>
        </w:rPr>
        <w:t xml:space="preserve">the </w:t>
      </w:r>
      <w:r w:rsidR="006F00EC">
        <w:rPr>
          <w:rFonts w:ascii="Times New Roman" w:hAnsi="Times New Roman"/>
          <w:sz w:val="20"/>
          <w:szCs w:val="20"/>
          <w:lang w:val="en-GB"/>
        </w:rPr>
        <w:t xml:space="preserve">following remaining design details </w:t>
      </w:r>
      <w:r w:rsidR="00D91D0C">
        <w:rPr>
          <w:rFonts w:ascii="Times New Roman" w:hAnsi="Times New Roman"/>
          <w:sz w:val="20"/>
          <w:szCs w:val="20"/>
          <w:lang w:val="en-GB"/>
        </w:rPr>
        <w:t>f</w:t>
      </w:r>
      <w:r w:rsidR="006F00EC">
        <w:rPr>
          <w:rFonts w:ascii="Times New Roman" w:hAnsi="Times New Roman"/>
          <w:sz w:val="20"/>
          <w:szCs w:val="20"/>
          <w:lang w:val="en-GB"/>
        </w:rPr>
        <w:t>or</w:t>
      </w:r>
      <w:r w:rsidR="00D91D0C">
        <w:rPr>
          <w:rFonts w:ascii="Times New Roman" w:hAnsi="Times New Roman"/>
          <w:sz w:val="20"/>
          <w:szCs w:val="20"/>
          <w:lang w:val="en-GB"/>
        </w:rPr>
        <w:t xml:space="preserve"> </w:t>
      </w:r>
      <w:r w:rsidR="00010EF9" w:rsidRPr="00D91D0C">
        <w:rPr>
          <w:rFonts w:ascii="Times New Roman" w:hAnsi="Times New Roman"/>
          <w:sz w:val="20"/>
          <w:szCs w:val="20"/>
          <w:lang w:val="en-GB"/>
        </w:rPr>
        <w:t>NPRACH</w:t>
      </w:r>
      <w:r w:rsidR="00A6527F" w:rsidRPr="00D91D0C">
        <w:rPr>
          <w:rFonts w:ascii="Times New Roman" w:hAnsi="Times New Roman"/>
          <w:sz w:val="20"/>
          <w:szCs w:val="20"/>
          <w:lang w:val="en-GB"/>
        </w:rPr>
        <w:t xml:space="preserve"> and </w:t>
      </w:r>
      <w:r w:rsidR="008D0CE4" w:rsidRPr="00D91D0C">
        <w:rPr>
          <w:rFonts w:ascii="Times New Roman" w:hAnsi="Times New Roman"/>
          <w:sz w:val="20"/>
          <w:szCs w:val="20"/>
          <w:lang w:val="en-GB"/>
        </w:rPr>
        <w:t>NP</w:t>
      </w:r>
      <w:r w:rsidR="00010EF9" w:rsidRPr="00D91D0C">
        <w:rPr>
          <w:rFonts w:ascii="Times New Roman" w:hAnsi="Times New Roman"/>
          <w:sz w:val="20"/>
          <w:szCs w:val="20"/>
          <w:lang w:val="en-GB"/>
        </w:rPr>
        <w:t>USCH</w:t>
      </w:r>
    </w:p>
    <w:p w14:paraId="2FC9D89B" w14:textId="1E84F449" w:rsidR="006F00EC" w:rsidRPr="006F00EC" w:rsidRDefault="006F00EC" w:rsidP="006F00EC">
      <w:pPr>
        <w:numPr>
          <w:ilvl w:val="0"/>
          <w:numId w:val="21"/>
        </w:numPr>
        <w:overflowPunct/>
        <w:autoSpaceDE/>
        <w:autoSpaceDN/>
        <w:adjustRightInd/>
        <w:contextualSpacing/>
        <w:jc w:val="both"/>
        <w:textAlignment w:val="auto"/>
        <w:rPr>
          <w:lang w:val="en-GB"/>
        </w:rPr>
      </w:pPr>
      <w:r w:rsidRPr="006F00EC">
        <w:rPr>
          <w:lang w:val="en-GB"/>
        </w:rPr>
        <w:t xml:space="preserve">NPRACH </w:t>
      </w:r>
      <w:r>
        <w:rPr>
          <w:lang w:val="en-GB"/>
        </w:rPr>
        <w:t>format</w:t>
      </w:r>
      <w:r w:rsidRPr="006F00EC">
        <w:rPr>
          <w:lang w:val="en-GB"/>
        </w:rPr>
        <w:t xml:space="preserve"> for TDD UL/DL configuration #</w:t>
      </w:r>
      <w:r>
        <w:rPr>
          <w:lang w:val="en-GB"/>
        </w:rPr>
        <w:t>3 and #6</w:t>
      </w:r>
    </w:p>
    <w:p w14:paraId="78BC7BFC" w14:textId="3CE6106E" w:rsidR="006F00EC" w:rsidRDefault="006F00EC" w:rsidP="006F00EC">
      <w:pPr>
        <w:numPr>
          <w:ilvl w:val="0"/>
          <w:numId w:val="21"/>
        </w:numPr>
        <w:overflowPunct/>
        <w:autoSpaceDE/>
        <w:autoSpaceDN/>
        <w:adjustRightInd/>
        <w:contextualSpacing/>
        <w:jc w:val="both"/>
        <w:textAlignment w:val="auto"/>
        <w:rPr>
          <w:lang w:val="en-GB"/>
        </w:rPr>
      </w:pPr>
      <w:r w:rsidRPr="006F00EC">
        <w:rPr>
          <w:lang w:val="en-GB"/>
        </w:rPr>
        <w:t>Pseudo</w:t>
      </w:r>
      <w:r w:rsidRPr="006F00EC">
        <w:rPr>
          <w:rFonts w:hint="eastAsia"/>
          <w:lang w:val="en-GB"/>
        </w:rPr>
        <w:t>-random hopping pattern</w:t>
      </w:r>
      <w:r>
        <w:rPr>
          <w:lang w:val="en-GB"/>
        </w:rPr>
        <w:t xml:space="preserve"> for NPRACH</w:t>
      </w:r>
    </w:p>
    <w:p w14:paraId="611112D7" w14:textId="5426856E" w:rsidR="006F00EC" w:rsidRDefault="006F00EC" w:rsidP="006F00EC">
      <w:pPr>
        <w:numPr>
          <w:ilvl w:val="0"/>
          <w:numId w:val="21"/>
        </w:numPr>
        <w:overflowPunct/>
        <w:autoSpaceDE/>
        <w:autoSpaceDN/>
        <w:adjustRightInd/>
        <w:contextualSpacing/>
        <w:jc w:val="both"/>
        <w:textAlignment w:val="auto"/>
        <w:rPr>
          <w:lang w:val="en-GB"/>
        </w:rPr>
      </w:pPr>
      <w:r>
        <w:rPr>
          <w:rFonts w:hint="eastAsia"/>
          <w:lang w:val="en-GB"/>
        </w:rPr>
        <w:t>DMRS for NPUSCH format 1 and 2</w:t>
      </w:r>
    </w:p>
    <w:p w14:paraId="64D9C286" w14:textId="50C46B5D" w:rsidR="007C2360" w:rsidRDefault="007C2360" w:rsidP="006F00EC">
      <w:pPr>
        <w:numPr>
          <w:ilvl w:val="0"/>
          <w:numId w:val="21"/>
        </w:numPr>
        <w:overflowPunct/>
        <w:autoSpaceDE/>
        <w:autoSpaceDN/>
        <w:adjustRightInd/>
        <w:contextualSpacing/>
        <w:jc w:val="both"/>
        <w:textAlignment w:val="auto"/>
        <w:rPr>
          <w:lang w:val="en-GB"/>
        </w:rPr>
      </w:pPr>
      <w:r>
        <w:rPr>
          <w:lang w:val="en-GB"/>
        </w:rPr>
        <w:t>Non-anchor carrier for msg3 transmission</w:t>
      </w:r>
    </w:p>
    <w:p w14:paraId="7460A59B" w14:textId="592F8EEB" w:rsidR="006F00EC" w:rsidRPr="006F00EC" w:rsidRDefault="006F00EC" w:rsidP="006F00EC">
      <w:pPr>
        <w:numPr>
          <w:ilvl w:val="0"/>
          <w:numId w:val="21"/>
        </w:numPr>
        <w:overflowPunct/>
        <w:autoSpaceDE/>
        <w:autoSpaceDN/>
        <w:adjustRightInd/>
        <w:contextualSpacing/>
        <w:jc w:val="both"/>
        <w:textAlignment w:val="auto"/>
        <w:rPr>
          <w:lang w:val="en-GB"/>
        </w:rPr>
      </w:pPr>
      <w:r>
        <w:rPr>
          <w:lang w:val="en-GB"/>
        </w:rPr>
        <w:t>UL transmission gap</w:t>
      </w:r>
    </w:p>
    <w:p w14:paraId="012EED93" w14:textId="03DD2A64" w:rsidR="00AA6E3C" w:rsidRDefault="00A6527F" w:rsidP="00D91D0C">
      <w:pPr>
        <w:pStyle w:val="Heading1"/>
      </w:pPr>
      <w:r>
        <w:t>NP</w:t>
      </w:r>
      <w:r w:rsidR="007F3EB6">
        <w:t>R</w:t>
      </w:r>
      <w:r w:rsidR="00AE0208">
        <w:t>ACH</w:t>
      </w:r>
      <w:r w:rsidR="006F00EC">
        <w:t xml:space="preserve"> format for TDD UL/DL configuration #3 and #6</w:t>
      </w:r>
    </w:p>
    <w:p w14:paraId="468070C7" w14:textId="3A817180" w:rsidR="006F00EC" w:rsidRDefault="006F00EC" w:rsidP="00C471F2">
      <w:pPr>
        <w:jc w:val="both"/>
        <w:rPr>
          <w:lang w:eastAsia="zh-CN"/>
        </w:rPr>
      </w:pPr>
      <w:r>
        <w:rPr>
          <w:rFonts w:hint="eastAsia"/>
          <w:lang w:eastAsia="zh-CN"/>
        </w:rPr>
        <w:t xml:space="preserve">In RAN1#92bis meeting, the </w:t>
      </w:r>
      <w:r>
        <w:rPr>
          <w:lang w:eastAsia="zh-CN"/>
        </w:rPr>
        <w:t xml:space="preserve">following agreement on the mapping of NPRACH format to TDD UL/DL configurations was achieved. The NPRACH formats for TDD UL/DL configuration #3 and #6 have not yet agreed. </w:t>
      </w:r>
    </w:p>
    <w:p w14:paraId="2EB1B7E9" w14:textId="77777777" w:rsidR="006F00EC" w:rsidRDefault="006F00EC" w:rsidP="006F00EC">
      <w:pPr>
        <w:rPr>
          <w:rFonts w:eastAsia="Yu Mincho"/>
          <w:lang w:eastAsia="ja-JP"/>
        </w:rPr>
      </w:pPr>
      <w:r>
        <w:rPr>
          <w:rFonts w:eastAsia="Yu Mincho"/>
          <w:highlight w:val="green"/>
          <w:lang w:eastAsia="ja-JP"/>
        </w:rPr>
        <w:t>Agreement</w:t>
      </w:r>
    </w:p>
    <w:p w14:paraId="72E93CC9" w14:textId="77777777" w:rsidR="006F00EC" w:rsidRPr="006F00EC" w:rsidRDefault="006F00EC" w:rsidP="006F00EC">
      <w:pPr>
        <w:numPr>
          <w:ilvl w:val="0"/>
          <w:numId w:val="21"/>
        </w:numPr>
        <w:overflowPunct/>
        <w:autoSpaceDE/>
        <w:autoSpaceDN/>
        <w:adjustRightInd/>
        <w:contextualSpacing/>
        <w:jc w:val="both"/>
        <w:textAlignment w:val="auto"/>
        <w:rPr>
          <w:lang w:val="en-GB"/>
        </w:rPr>
      </w:pPr>
      <w:r w:rsidRPr="006F00EC">
        <w:rPr>
          <w:lang w:val="en-GB"/>
        </w:rPr>
        <w:t>Mapping table for TDD UL/DL configuration and TDD NPRACH formats is list in Table X</w:t>
      </w:r>
    </w:p>
    <w:p w14:paraId="78CDCE5F" w14:textId="77777777" w:rsidR="006F00EC" w:rsidRDefault="006F00EC" w:rsidP="006F00EC">
      <w:pPr>
        <w:numPr>
          <w:ilvl w:val="0"/>
          <w:numId w:val="25"/>
        </w:numPr>
        <w:overflowPunct/>
        <w:autoSpaceDE/>
        <w:autoSpaceDN/>
        <w:adjustRightInd/>
        <w:spacing w:after="0"/>
        <w:textAlignment w:val="auto"/>
        <w:rPr>
          <w:rFonts w:eastAsia="Yu Mincho"/>
          <w:lang w:val="en-GB" w:eastAsia="ja-JP"/>
        </w:rPr>
      </w:pPr>
      <w:r>
        <w:rPr>
          <w:rFonts w:eastAsia="Yu Mincho"/>
          <w:lang w:eastAsia="ja-JP"/>
        </w:rPr>
        <w:t>FFS configuration 6 if it is supported</w:t>
      </w:r>
    </w:p>
    <w:p w14:paraId="0A730D53" w14:textId="77777777" w:rsidR="006F00EC" w:rsidRDefault="006F00EC" w:rsidP="006F00EC">
      <w:pPr>
        <w:numPr>
          <w:ilvl w:val="0"/>
          <w:numId w:val="25"/>
        </w:numPr>
        <w:overflowPunct/>
        <w:autoSpaceDE/>
        <w:autoSpaceDN/>
        <w:adjustRightInd/>
        <w:spacing w:after="0"/>
        <w:textAlignment w:val="auto"/>
        <w:rPr>
          <w:rFonts w:eastAsia="Yu Mincho"/>
          <w:lang w:eastAsia="ja-JP"/>
        </w:rPr>
      </w:pPr>
      <w:r>
        <w:rPr>
          <w:rFonts w:eastAsia="Yu Mincho"/>
          <w:lang w:eastAsia="ja-JP"/>
        </w:rPr>
        <w:t>Transmit Format 0 and Format 0-a in all NPRACH subframes, and aligned with subframe boundary</w:t>
      </w:r>
    </w:p>
    <w:p w14:paraId="7AD2D189" w14:textId="77777777" w:rsidR="006F00EC" w:rsidRDefault="006F00EC" w:rsidP="006F00EC">
      <w:pPr>
        <w:spacing w:beforeLines="50" w:before="120" w:after="120"/>
        <w:jc w:val="center"/>
        <w:rPr>
          <w:rFonts w:eastAsia="Batang"/>
        </w:rPr>
      </w:pPr>
      <w:r>
        <w:t xml:space="preserve">Table </w:t>
      </w:r>
      <w:r>
        <w:rPr>
          <w:lang w:eastAsia="zh-CN"/>
        </w:rPr>
        <w:t>X</w:t>
      </w:r>
      <w:r>
        <w:t xml:space="preserve"> Mapping table for UL/DL configuration and NPRACH format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1"/>
        <w:gridCol w:w="1068"/>
        <w:gridCol w:w="1164"/>
        <w:gridCol w:w="981"/>
        <w:gridCol w:w="1170"/>
        <w:gridCol w:w="1358"/>
      </w:tblGrid>
      <w:tr w:rsidR="006F00EC" w14:paraId="396D8D41" w14:textId="77777777" w:rsidTr="006F00EC">
        <w:trPr>
          <w:trHeight w:val="448"/>
          <w:jc w:val="center"/>
        </w:trPr>
        <w:tc>
          <w:tcPr>
            <w:tcW w:w="1641" w:type="dxa"/>
            <w:tcBorders>
              <w:top w:val="single" w:sz="4" w:space="0" w:color="000000"/>
              <w:left w:val="single" w:sz="4" w:space="0" w:color="000000"/>
              <w:bottom w:val="single" w:sz="4" w:space="0" w:color="000000"/>
              <w:right w:val="single" w:sz="4" w:space="0" w:color="000000"/>
            </w:tcBorders>
            <w:hideMark/>
          </w:tcPr>
          <w:p w14:paraId="04BD714E" w14:textId="77777777" w:rsidR="006F00EC" w:rsidRDefault="006F00EC">
            <w:r>
              <w:t xml:space="preserve">UL/DL </w:t>
            </w:r>
            <w:proofErr w:type="gramStart"/>
            <w:r>
              <w:t>Configuration  index</w:t>
            </w:r>
            <w:proofErr w:type="gramEnd"/>
          </w:p>
        </w:tc>
        <w:tc>
          <w:tcPr>
            <w:tcW w:w="1068" w:type="dxa"/>
            <w:tcBorders>
              <w:top w:val="single" w:sz="4" w:space="0" w:color="000000"/>
              <w:left w:val="single" w:sz="4" w:space="0" w:color="000000"/>
              <w:bottom w:val="single" w:sz="4" w:space="0" w:color="000000"/>
              <w:right w:val="single" w:sz="4" w:space="0" w:color="000000"/>
            </w:tcBorders>
            <w:hideMark/>
          </w:tcPr>
          <w:p w14:paraId="72B06C9D" w14:textId="77777777" w:rsidR="006F00EC" w:rsidRDefault="006F00EC">
            <w:r>
              <w:t>Format 0</w:t>
            </w:r>
          </w:p>
        </w:tc>
        <w:tc>
          <w:tcPr>
            <w:tcW w:w="1164" w:type="dxa"/>
            <w:tcBorders>
              <w:top w:val="single" w:sz="4" w:space="0" w:color="000000"/>
              <w:left w:val="single" w:sz="4" w:space="0" w:color="000000"/>
              <w:bottom w:val="single" w:sz="4" w:space="0" w:color="000000"/>
              <w:right w:val="single" w:sz="4" w:space="0" w:color="000000"/>
            </w:tcBorders>
            <w:hideMark/>
          </w:tcPr>
          <w:p w14:paraId="7543B479" w14:textId="77777777" w:rsidR="006F00EC" w:rsidRDefault="006F00EC">
            <w:r>
              <w:t>Format 1</w:t>
            </w:r>
          </w:p>
        </w:tc>
        <w:tc>
          <w:tcPr>
            <w:tcW w:w="981" w:type="dxa"/>
            <w:tcBorders>
              <w:top w:val="single" w:sz="4" w:space="0" w:color="000000"/>
              <w:left w:val="single" w:sz="4" w:space="0" w:color="000000"/>
              <w:bottom w:val="single" w:sz="4" w:space="0" w:color="000000"/>
              <w:right w:val="single" w:sz="4" w:space="0" w:color="000000"/>
            </w:tcBorders>
            <w:hideMark/>
          </w:tcPr>
          <w:p w14:paraId="416F8676" w14:textId="77777777" w:rsidR="006F00EC" w:rsidRDefault="006F00EC">
            <w:r>
              <w:t>Format 2</w:t>
            </w:r>
          </w:p>
        </w:tc>
        <w:tc>
          <w:tcPr>
            <w:tcW w:w="1170" w:type="dxa"/>
            <w:tcBorders>
              <w:top w:val="single" w:sz="4" w:space="0" w:color="000000"/>
              <w:left w:val="single" w:sz="4" w:space="0" w:color="000000"/>
              <w:bottom w:val="single" w:sz="4" w:space="0" w:color="000000"/>
              <w:right w:val="single" w:sz="4" w:space="0" w:color="000000"/>
            </w:tcBorders>
            <w:hideMark/>
          </w:tcPr>
          <w:p w14:paraId="6E86241F" w14:textId="77777777" w:rsidR="006F00EC" w:rsidRDefault="006F00EC">
            <w:r>
              <w:t>Format 0-a</w:t>
            </w:r>
          </w:p>
        </w:tc>
        <w:tc>
          <w:tcPr>
            <w:tcW w:w="1358" w:type="dxa"/>
            <w:tcBorders>
              <w:top w:val="single" w:sz="4" w:space="0" w:color="000000"/>
              <w:left w:val="single" w:sz="4" w:space="0" w:color="000000"/>
              <w:bottom w:val="single" w:sz="4" w:space="0" w:color="000000"/>
              <w:right w:val="single" w:sz="4" w:space="0" w:color="000000"/>
            </w:tcBorders>
            <w:hideMark/>
          </w:tcPr>
          <w:p w14:paraId="2B24AF80" w14:textId="77777777" w:rsidR="006F00EC" w:rsidRDefault="006F00EC">
            <w:r>
              <w:t>Format 1-a</w:t>
            </w:r>
          </w:p>
        </w:tc>
      </w:tr>
      <w:tr w:rsidR="006F00EC" w14:paraId="5DE086BD" w14:textId="77777777" w:rsidTr="006F00EC">
        <w:trPr>
          <w:trHeight w:val="448"/>
          <w:jc w:val="center"/>
        </w:trPr>
        <w:tc>
          <w:tcPr>
            <w:tcW w:w="1641" w:type="dxa"/>
            <w:tcBorders>
              <w:top w:val="single" w:sz="4" w:space="0" w:color="000000"/>
              <w:left w:val="single" w:sz="4" w:space="0" w:color="000000"/>
              <w:bottom w:val="single" w:sz="4" w:space="0" w:color="000000"/>
              <w:right w:val="single" w:sz="4" w:space="0" w:color="000000"/>
            </w:tcBorders>
            <w:hideMark/>
          </w:tcPr>
          <w:p w14:paraId="3AD0C297" w14:textId="77777777" w:rsidR="006F00EC" w:rsidRDefault="006F00EC">
            <w:pPr>
              <w:jc w:val="center"/>
            </w:pPr>
            <w:r>
              <w:t xml:space="preserve"> 1</w:t>
            </w:r>
          </w:p>
        </w:tc>
        <w:tc>
          <w:tcPr>
            <w:tcW w:w="1068" w:type="dxa"/>
            <w:tcBorders>
              <w:top w:val="single" w:sz="4" w:space="0" w:color="000000"/>
              <w:left w:val="single" w:sz="4" w:space="0" w:color="000000"/>
              <w:bottom w:val="single" w:sz="4" w:space="0" w:color="000000"/>
              <w:right w:val="single" w:sz="4" w:space="0" w:color="000000"/>
            </w:tcBorders>
            <w:hideMark/>
          </w:tcPr>
          <w:p w14:paraId="75C5FBBC" w14:textId="77777777" w:rsidR="006F00EC" w:rsidRDefault="006F00EC">
            <w:pPr>
              <w:jc w:val="center"/>
            </w:pPr>
            <w:r>
              <w:t>√</w:t>
            </w:r>
          </w:p>
        </w:tc>
        <w:tc>
          <w:tcPr>
            <w:tcW w:w="1164" w:type="dxa"/>
            <w:tcBorders>
              <w:top w:val="single" w:sz="4" w:space="0" w:color="000000"/>
              <w:left w:val="single" w:sz="4" w:space="0" w:color="000000"/>
              <w:bottom w:val="single" w:sz="4" w:space="0" w:color="000000"/>
              <w:right w:val="single" w:sz="4" w:space="0" w:color="000000"/>
            </w:tcBorders>
            <w:hideMark/>
          </w:tcPr>
          <w:p w14:paraId="4757562E" w14:textId="77777777" w:rsidR="006F00EC" w:rsidRDefault="006F00EC">
            <w:pPr>
              <w:jc w:val="center"/>
            </w:pPr>
            <w:r>
              <w:t>√</w:t>
            </w:r>
          </w:p>
        </w:tc>
        <w:tc>
          <w:tcPr>
            <w:tcW w:w="981" w:type="dxa"/>
            <w:tcBorders>
              <w:top w:val="single" w:sz="4" w:space="0" w:color="000000"/>
              <w:left w:val="single" w:sz="4" w:space="0" w:color="000000"/>
              <w:bottom w:val="single" w:sz="4" w:space="0" w:color="000000"/>
              <w:right w:val="single" w:sz="4" w:space="0" w:color="000000"/>
            </w:tcBorders>
          </w:tcPr>
          <w:p w14:paraId="7C91F85A" w14:textId="77777777" w:rsidR="006F00EC" w:rsidRDefault="006F00EC">
            <w:pPr>
              <w:jc w:val="center"/>
            </w:pPr>
          </w:p>
        </w:tc>
        <w:tc>
          <w:tcPr>
            <w:tcW w:w="1170" w:type="dxa"/>
            <w:tcBorders>
              <w:top w:val="single" w:sz="4" w:space="0" w:color="000000"/>
              <w:left w:val="single" w:sz="4" w:space="0" w:color="000000"/>
              <w:bottom w:val="single" w:sz="4" w:space="0" w:color="000000"/>
              <w:right w:val="single" w:sz="4" w:space="0" w:color="000000"/>
            </w:tcBorders>
            <w:hideMark/>
          </w:tcPr>
          <w:p w14:paraId="06F18624" w14:textId="77777777" w:rsidR="006F00EC" w:rsidRDefault="006F00EC">
            <w:pPr>
              <w:jc w:val="center"/>
            </w:pPr>
            <w:r>
              <w:t>√</w:t>
            </w:r>
          </w:p>
        </w:tc>
        <w:tc>
          <w:tcPr>
            <w:tcW w:w="1358" w:type="dxa"/>
            <w:tcBorders>
              <w:top w:val="single" w:sz="4" w:space="0" w:color="000000"/>
              <w:left w:val="single" w:sz="4" w:space="0" w:color="000000"/>
              <w:bottom w:val="single" w:sz="4" w:space="0" w:color="000000"/>
              <w:right w:val="single" w:sz="4" w:space="0" w:color="000000"/>
            </w:tcBorders>
            <w:hideMark/>
          </w:tcPr>
          <w:p w14:paraId="7AB3C6DA" w14:textId="77777777" w:rsidR="006F00EC" w:rsidRDefault="006F00EC">
            <w:pPr>
              <w:jc w:val="center"/>
            </w:pPr>
            <w:r>
              <w:t>√</w:t>
            </w:r>
          </w:p>
        </w:tc>
      </w:tr>
      <w:tr w:rsidR="006F00EC" w14:paraId="5D100387" w14:textId="77777777" w:rsidTr="006F00EC">
        <w:trPr>
          <w:trHeight w:val="448"/>
          <w:jc w:val="center"/>
        </w:trPr>
        <w:tc>
          <w:tcPr>
            <w:tcW w:w="1641" w:type="dxa"/>
            <w:tcBorders>
              <w:top w:val="single" w:sz="4" w:space="0" w:color="000000"/>
              <w:left w:val="single" w:sz="4" w:space="0" w:color="000000"/>
              <w:bottom w:val="single" w:sz="4" w:space="0" w:color="000000"/>
              <w:right w:val="single" w:sz="4" w:space="0" w:color="000000"/>
            </w:tcBorders>
            <w:hideMark/>
          </w:tcPr>
          <w:p w14:paraId="099DF015" w14:textId="77777777" w:rsidR="006F00EC" w:rsidRDefault="006F00EC">
            <w:pPr>
              <w:jc w:val="center"/>
            </w:pPr>
            <w:r>
              <w:t>2</w:t>
            </w:r>
          </w:p>
        </w:tc>
        <w:tc>
          <w:tcPr>
            <w:tcW w:w="1068" w:type="dxa"/>
            <w:tcBorders>
              <w:top w:val="single" w:sz="4" w:space="0" w:color="000000"/>
              <w:left w:val="single" w:sz="4" w:space="0" w:color="000000"/>
              <w:bottom w:val="single" w:sz="4" w:space="0" w:color="000000"/>
              <w:right w:val="single" w:sz="4" w:space="0" w:color="000000"/>
            </w:tcBorders>
            <w:hideMark/>
          </w:tcPr>
          <w:p w14:paraId="0B100CEE" w14:textId="77777777" w:rsidR="006F00EC" w:rsidRDefault="006F00EC">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01CCBBE4" w14:textId="77777777" w:rsidR="006F00EC" w:rsidRDefault="006F00EC">
            <w:pPr>
              <w:jc w:val="center"/>
            </w:pPr>
          </w:p>
        </w:tc>
        <w:tc>
          <w:tcPr>
            <w:tcW w:w="981" w:type="dxa"/>
            <w:tcBorders>
              <w:top w:val="single" w:sz="4" w:space="0" w:color="000000"/>
              <w:left w:val="single" w:sz="4" w:space="0" w:color="000000"/>
              <w:bottom w:val="single" w:sz="4" w:space="0" w:color="000000"/>
              <w:right w:val="single" w:sz="4" w:space="0" w:color="000000"/>
            </w:tcBorders>
          </w:tcPr>
          <w:p w14:paraId="2650BA80" w14:textId="77777777" w:rsidR="006F00EC" w:rsidRDefault="006F00EC">
            <w:pPr>
              <w:jc w:val="center"/>
            </w:pPr>
          </w:p>
        </w:tc>
        <w:tc>
          <w:tcPr>
            <w:tcW w:w="1170" w:type="dxa"/>
            <w:tcBorders>
              <w:top w:val="single" w:sz="4" w:space="0" w:color="000000"/>
              <w:left w:val="single" w:sz="4" w:space="0" w:color="000000"/>
              <w:bottom w:val="single" w:sz="4" w:space="0" w:color="000000"/>
              <w:right w:val="single" w:sz="4" w:space="0" w:color="000000"/>
            </w:tcBorders>
            <w:hideMark/>
          </w:tcPr>
          <w:p w14:paraId="020F7B7A" w14:textId="77777777" w:rsidR="006F00EC" w:rsidRDefault="006F00EC">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27009990" w14:textId="77777777" w:rsidR="006F00EC" w:rsidRDefault="006F00EC">
            <w:pPr>
              <w:jc w:val="center"/>
            </w:pPr>
          </w:p>
        </w:tc>
      </w:tr>
      <w:tr w:rsidR="006F00EC" w14:paraId="38FF91E9" w14:textId="77777777" w:rsidTr="006F00EC">
        <w:trPr>
          <w:trHeight w:val="448"/>
          <w:jc w:val="center"/>
        </w:trPr>
        <w:tc>
          <w:tcPr>
            <w:tcW w:w="1641" w:type="dxa"/>
            <w:tcBorders>
              <w:top w:val="single" w:sz="4" w:space="0" w:color="000000"/>
              <w:left w:val="single" w:sz="4" w:space="0" w:color="000000"/>
              <w:bottom w:val="single" w:sz="4" w:space="0" w:color="000000"/>
              <w:right w:val="single" w:sz="4" w:space="0" w:color="000000"/>
            </w:tcBorders>
            <w:hideMark/>
          </w:tcPr>
          <w:p w14:paraId="4A643732" w14:textId="77777777" w:rsidR="006F00EC" w:rsidRDefault="006F00EC">
            <w:pPr>
              <w:jc w:val="center"/>
            </w:pPr>
            <w:r>
              <w:t xml:space="preserve"> [3]</w:t>
            </w:r>
          </w:p>
        </w:tc>
        <w:tc>
          <w:tcPr>
            <w:tcW w:w="1068" w:type="dxa"/>
            <w:tcBorders>
              <w:top w:val="single" w:sz="4" w:space="0" w:color="000000"/>
              <w:left w:val="single" w:sz="4" w:space="0" w:color="000000"/>
              <w:bottom w:val="single" w:sz="4" w:space="0" w:color="000000"/>
              <w:right w:val="single" w:sz="4" w:space="0" w:color="000000"/>
            </w:tcBorders>
            <w:hideMark/>
          </w:tcPr>
          <w:p w14:paraId="01A65B40" w14:textId="77777777" w:rsidR="006F00EC" w:rsidRDefault="006F00EC">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660750CF" w14:textId="77777777" w:rsidR="006F00EC" w:rsidRDefault="006F00EC">
            <w:pPr>
              <w:jc w:val="center"/>
              <w:rPr>
                <w:rFonts w:eastAsia="Yu Mincho"/>
                <w:lang w:eastAsia="ja-JP"/>
              </w:rPr>
            </w:pPr>
          </w:p>
        </w:tc>
        <w:tc>
          <w:tcPr>
            <w:tcW w:w="981" w:type="dxa"/>
            <w:tcBorders>
              <w:top w:val="single" w:sz="4" w:space="0" w:color="000000"/>
              <w:left w:val="single" w:sz="4" w:space="0" w:color="000000"/>
              <w:bottom w:val="single" w:sz="4" w:space="0" w:color="000000"/>
              <w:right w:val="single" w:sz="4" w:space="0" w:color="000000"/>
            </w:tcBorders>
            <w:hideMark/>
          </w:tcPr>
          <w:p w14:paraId="41B3F5A2" w14:textId="77777777" w:rsidR="006F00EC" w:rsidRDefault="006F00EC">
            <w:pPr>
              <w:jc w:val="center"/>
              <w:rPr>
                <w:rFonts w:eastAsia="Batang"/>
              </w:rPr>
            </w:pPr>
            <w:bookmarkStart w:id="3" w:name="OLE_LINK1"/>
            <w:r>
              <w:t>[√</w:t>
            </w:r>
            <w:bookmarkEnd w:id="3"/>
            <w:r>
              <w:t>]</w:t>
            </w:r>
          </w:p>
        </w:tc>
        <w:tc>
          <w:tcPr>
            <w:tcW w:w="1170" w:type="dxa"/>
            <w:tcBorders>
              <w:top w:val="single" w:sz="4" w:space="0" w:color="000000"/>
              <w:left w:val="single" w:sz="4" w:space="0" w:color="000000"/>
              <w:bottom w:val="single" w:sz="4" w:space="0" w:color="000000"/>
              <w:right w:val="single" w:sz="4" w:space="0" w:color="000000"/>
            </w:tcBorders>
            <w:hideMark/>
          </w:tcPr>
          <w:p w14:paraId="2FE32464" w14:textId="77777777" w:rsidR="006F00EC" w:rsidRDefault="006F00EC">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37F7D051" w14:textId="77777777" w:rsidR="006F00EC" w:rsidRDefault="006F00EC">
            <w:pPr>
              <w:jc w:val="center"/>
              <w:rPr>
                <w:highlight w:val="yellow"/>
              </w:rPr>
            </w:pPr>
          </w:p>
        </w:tc>
      </w:tr>
      <w:tr w:rsidR="006F00EC" w14:paraId="174AA138" w14:textId="77777777" w:rsidTr="006F00EC">
        <w:trPr>
          <w:trHeight w:val="448"/>
          <w:jc w:val="center"/>
        </w:trPr>
        <w:tc>
          <w:tcPr>
            <w:tcW w:w="1641" w:type="dxa"/>
            <w:tcBorders>
              <w:top w:val="single" w:sz="4" w:space="0" w:color="000000"/>
              <w:left w:val="single" w:sz="4" w:space="0" w:color="000000"/>
              <w:bottom w:val="single" w:sz="4" w:space="0" w:color="000000"/>
              <w:right w:val="single" w:sz="4" w:space="0" w:color="000000"/>
            </w:tcBorders>
            <w:hideMark/>
          </w:tcPr>
          <w:p w14:paraId="3F8D735B" w14:textId="77777777" w:rsidR="006F00EC" w:rsidRDefault="006F00EC">
            <w:pPr>
              <w:jc w:val="center"/>
            </w:pPr>
            <w:r>
              <w:t>4</w:t>
            </w:r>
          </w:p>
        </w:tc>
        <w:tc>
          <w:tcPr>
            <w:tcW w:w="1068" w:type="dxa"/>
            <w:tcBorders>
              <w:top w:val="single" w:sz="4" w:space="0" w:color="000000"/>
              <w:left w:val="single" w:sz="4" w:space="0" w:color="000000"/>
              <w:bottom w:val="single" w:sz="4" w:space="0" w:color="000000"/>
              <w:right w:val="single" w:sz="4" w:space="0" w:color="000000"/>
            </w:tcBorders>
            <w:hideMark/>
          </w:tcPr>
          <w:p w14:paraId="308F507D" w14:textId="77777777" w:rsidR="006F00EC" w:rsidRDefault="006F00EC">
            <w:pPr>
              <w:jc w:val="center"/>
            </w:pPr>
            <w:r>
              <w:t>√</w:t>
            </w:r>
          </w:p>
        </w:tc>
        <w:tc>
          <w:tcPr>
            <w:tcW w:w="1164" w:type="dxa"/>
            <w:tcBorders>
              <w:top w:val="single" w:sz="4" w:space="0" w:color="000000"/>
              <w:left w:val="single" w:sz="4" w:space="0" w:color="000000"/>
              <w:bottom w:val="single" w:sz="4" w:space="0" w:color="000000"/>
              <w:right w:val="single" w:sz="4" w:space="0" w:color="000000"/>
            </w:tcBorders>
            <w:hideMark/>
          </w:tcPr>
          <w:p w14:paraId="050F8A81" w14:textId="77777777" w:rsidR="006F00EC" w:rsidRDefault="006F00EC">
            <w:pPr>
              <w:jc w:val="center"/>
            </w:pPr>
            <w:r>
              <w:t>√</w:t>
            </w:r>
          </w:p>
        </w:tc>
        <w:tc>
          <w:tcPr>
            <w:tcW w:w="981" w:type="dxa"/>
            <w:tcBorders>
              <w:top w:val="single" w:sz="4" w:space="0" w:color="000000"/>
              <w:left w:val="single" w:sz="4" w:space="0" w:color="000000"/>
              <w:bottom w:val="single" w:sz="4" w:space="0" w:color="000000"/>
              <w:right w:val="single" w:sz="4" w:space="0" w:color="000000"/>
            </w:tcBorders>
          </w:tcPr>
          <w:p w14:paraId="40412817" w14:textId="77777777" w:rsidR="006F00EC" w:rsidRDefault="006F00EC">
            <w:pPr>
              <w:jc w:val="center"/>
            </w:pPr>
          </w:p>
        </w:tc>
        <w:tc>
          <w:tcPr>
            <w:tcW w:w="1170" w:type="dxa"/>
            <w:tcBorders>
              <w:top w:val="single" w:sz="4" w:space="0" w:color="000000"/>
              <w:left w:val="single" w:sz="4" w:space="0" w:color="000000"/>
              <w:bottom w:val="single" w:sz="4" w:space="0" w:color="000000"/>
              <w:right w:val="single" w:sz="4" w:space="0" w:color="000000"/>
            </w:tcBorders>
            <w:hideMark/>
          </w:tcPr>
          <w:p w14:paraId="1EABE129" w14:textId="77777777" w:rsidR="006F00EC" w:rsidRDefault="006F00EC">
            <w:pPr>
              <w:jc w:val="center"/>
            </w:pPr>
            <w:r>
              <w:t>√</w:t>
            </w:r>
          </w:p>
        </w:tc>
        <w:tc>
          <w:tcPr>
            <w:tcW w:w="1358" w:type="dxa"/>
            <w:tcBorders>
              <w:top w:val="single" w:sz="4" w:space="0" w:color="000000"/>
              <w:left w:val="single" w:sz="4" w:space="0" w:color="000000"/>
              <w:bottom w:val="single" w:sz="4" w:space="0" w:color="000000"/>
              <w:right w:val="single" w:sz="4" w:space="0" w:color="000000"/>
            </w:tcBorders>
            <w:hideMark/>
          </w:tcPr>
          <w:p w14:paraId="42E99D76" w14:textId="77777777" w:rsidR="006F00EC" w:rsidRDefault="006F00EC">
            <w:pPr>
              <w:jc w:val="center"/>
            </w:pPr>
            <w:r>
              <w:t>√</w:t>
            </w:r>
          </w:p>
        </w:tc>
      </w:tr>
      <w:tr w:rsidR="006F00EC" w14:paraId="4F31CF56" w14:textId="77777777" w:rsidTr="006F00EC">
        <w:trPr>
          <w:trHeight w:val="448"/>
          <w:jc w:val="center"/>
        </w:trPr>
        <w:tc>
          <w:tcPr>
            <w:tcW w:w="1641" w:type="dxa"/>
            <w:tcBorders>
              <w:top w:val="single" w:sz="4" w:space="0" w:color="000000"/>
              <w:left w:val="single" w:sz="4" w:space="0" w:color="000000"/>
              <w:bottom w:val="single" w:sz="4" w:space="0" w:color="000000"/>
              <w:right w:val="single" w:sz="4" w:space="0" w:color="000000"/>
            </w:tcBorders>
            <w:hideMark/>
          </w:tcPr>
          <w:p w14:paraId="2517A3A8" w14:textId="77777777" w:rsidR="006F00EC" w:rsidRDefault="006F00EC">
            <w:pPr>
              <w:jc w:val="center"/>
            </w:pPr>
            <w:r>
              <w:t>5</w:t>
            </w:r>
          </w:p>
        </w:tc>
        <w:tc>
          <w:tcPr>
            <w:tcW w:w="1068" w:type="dxa"/>
            <w:tcBorders>
              <w:top w:val="single" w:sz="4" w:space="0" w:color="000000"/>
              <w:left w:val="single" w:sz="4" w:space="0" w:color="000000"/>
              <w:bottom w:val="single" w:sz="4" w:space="0" w:color="000000"/>
              <w:right w:val="single" w:sz="4" w:space="0" w:color="000000"/>
            </w:tcBorders>
            <w:hideMark/>
          </w:tcPr>
          <w:p w14:paraId="16EE345B" w14:textId="77777777" w:rsidR="006F00EC" w:rsidRDefault="006F00EC">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4B5B561C" w14:textId="77777777" w:rsidR="006F00EC" w:rsidRDefault="006F00EC">
            <w:pPr>
              <w:jc w:val="center"/>
            </w:pPr>
          </w:p>
        </w:tc>
        <w:tc>
          <w:tcPr>
            <w:tcW w:w="981" w:type="dxa"/>
            <w:tcBorders>
              <w:top w:val="single" w:sz="4" w:space="0" w:color="000000"/>
              <w:left w:val="single" w:sz="4" w:space="0" w:color="000000"/>
              <w:bottom w:val="single" w:sz="4" w:space="0" w:color="000000"/>
              <w:right w:val="single" w:sz="4" w:space="0" w:color="000000"/>
            </w:tcBorders>
          </w:tcPr>
          <w:p w14:paraId="0A033BDA" w14:textId="77777777" w:rsidR="006F00EC" w:rsidRDefault="006F00EC">
            <w:pPr>
              <w:jc w:val="center"/>
            </w:pPr>
          </w:p>
        </w:tc>
        <w:tc>
          <w:tcPr>
            <w:tcW w:w="1170" w:type="dxa"/>
            <w:tcBorders>
              <w:top w:val="single" w:sz="4" w:space="0" w:color="000000"/>
              <w:left w:val="single" w:sz="4" w:space="0" w:color="000000"/>
              <w:bottom w:val="single" w:sz="4" w:space="0" w:color="000000"/>
              <w:right w:val="single" w:sz="4" w:space="0" w:color="000000"/>
            </w:tcBorders>
            <w:hideMark/>
          </w:tcPr>
          <w:p w14:paraId="391BDF34" w14:textId="77777777" w:rsidR="006F00EC" w:rsidRDefault="006F00EC">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7D4EB2E4" w14:textId="77777777" w:rsidR="006F00EC" w:rsidRDefault="006F00EC">
            <w:pPr>
              <w:jc w:val="center"/>
            </w:pPr>
          </w:p>
        </w:tc>
      </w:tr>
    </w:tbl>
    <w:p w14:paraId="073B0628" w14:textId="651CC2D0" w:rsidR="006F00EC" w:rsidRDefault="006F00EC" w:rsidP="00C471F2">
      <w:pPr>
        <w:jc w:val="both"/>
        <w:rPr>
          <w:lang w:eastAsia="zh-CN"/>
        </w:rPr>
      </w:pPr>
    </w:p>
    <w:p w14:paraId="1B6A9249" w14:textId="018F7318" w:rsidR="006F00EC" w:rsidRDefault="006F00EC" w:rsidP="00C471F2">
      <w:pPr>
        <w:jc w:val="both"/>
        <w:rPr>
          <w:lang w:eastAsia="zh-CN"/>
        </w:rPr>
      </w:pPr>
      <w:r>
        <w:rPr>
          <w:rFonts w:hint="eastAsia"/>
          <w:lang w:eastAsia="zh-CN"/>
        </w:rPr>
        <w:t xml:space="preserve">For TDD UL/DL configuration #3, there are 3 </w:t>
      </w:r>
      <w:r>
        <w:rPr>
          <w:lang w:eastAsia="zh-CN"/>
        </w:rPr>
        <w:t>consecutive</w:t>
      </w:r>
      <w:r>
        <w:rPr>
          <w:rFonts w:hint="eastAsia"/>
          <w:lang w:eastAsia="zh-CN"/>
        </w:rPr>
        <w:t xml:space="preserve"> UL subframes per radio frame. </w:t>
      </w:r>
      <w:r>
        <w:rPr>
          <w:lang w:eastAsia="zh-CN"/>
        </w:rPr>
        <w:t>Therefore, NPRACH format 2 shall be supported. The open question is whether to support other formats, such as format 0 and 1.</w:t>
      </w:r>
      <w:r w:rsidR="009C3C66">
        <w:rPr>
          <w:lang w:eastAsia="zh-CN"/>
        </w:rPr>
        <w:t xml:space="preserve"> In our view, format 0 and 0-a can also be configured for TDD UL/DL configuration #3 similar to other UL/DL configurations. This is for the case when invalid NB-IoT uplink subframe is configured it is then not possible to use NRACH format 2. The support of NPRACH format 1 is not needed for TDD configuration #3 since the supported cell size for format 1 and 2 is same, i.e., around 40km. However, </w:t>
      </w:r>
      <w:r w:rsidR="009C3C66">
        <w:rPr>
          <w:lang w:eastAsia="zh-CN"/>
        </w:rPr>
        <w:lastRenderedPageBreak/>
        <w:t xml:space="preserve">the overhead of NPRACH format 1 is much larger than format 2. There </w:t>
      </w:r>
      <w:proofErr w:type="gramStart"/>
      <w:r w:rsidR="009C3C66">
        <w:rPr>
          <w:lang w:eastAsia="zh-CN"/>
        </w:rPr>
        <w:t>is  no</w:t>
      </w:r>
      <w:proofErr w:type="gramEnd"/>
      <w:r w:rsidR="009C3C66">
        <w:rPr>
          <w:lang w:eastAsia="zh-CN"/>
        </w:rPr>
        <w:t xml:space="preserve"> clear use case </w:t>
      </w:r>
      <w:r w:rsidR="00B773B3">
        <w:rPr>
          <w:lang w:eastAsia="zh-CN"/>
        </w:rPr>
        <w:t xml:space="preserve">for supporting NPRACH format 1 for TDD UL/DL configuration #3. </w:t>
      </w:r>
    </w:p>
    <w:p w14:paraId="40389F4D" w14:textId="1B20613D" w:rsidR="00B773B3" w:rsidRDefault="00B773B3" w:rsidP="00B773B3">
      <w:pPr>
        <w:spacing w:after="60"/>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The supported NPRACH format</w:t>
      </w:r>
      <w:r w:rsidR="002A5B42">
        <w:rPr>
          <w:b/>
          <w:lang w:val="en-GB"/>
        </w:rPr>
        <w:t>s</w:t>
      </w:r>
      <w:r>
        <w:rPr>
          <w:b/>
          <w:lang w:val="en-GB"/>
        </w:rPr>
        <w:t xml:space="preserve"> for TDD UL/DL configuration #3 </w:t>
      </w:r>
      <w:r w:rsidR="002A5B42">
        <w:rPr>
          <w:b/>
          <w:lang w:val="en-GB"/>
        </w:rPr>
        <w:t>are</w:t>
      </w:r>
      <w:r>
        <w:rPr>
          <w:b/>
          <w:lang w:val="en-GB"/>
        </w:rPr>
        <w:t xml:space="preserve"> 0, 2 and 0-a. </w:t>
      </w:r>
    </w:p>
    <w:p w14:paraId="773F1AD6" w14:textId="77777777" w:rsidR="00B773B3" w:rsidRPr="00B773B3" w:rsidRDefault="00B773B3" w:rsidP="00C471F2">
      <w:pPr>
        <w:jc w:val="both"/>
        <w:rPr>
          <w:lang w:val="en-GB" w:eastAsia="zh-CN"/>
        </w:rPr>
      </w:pPr>
    </w:p>
    <w:p w14:paraId="0EFBBE7E" w14:textId="7D2BA071" w:rsidR="00B773B3" w:rsidRDefault="00B773B3" w:rsidP="00C471F2">
      <w:pPr>
        <w:jc w:val="both"/>
        <w:rPr>
          <w:lang w:eastAsia="zh-CN"/>
        </w:rPr>
      </w:pPr>
      <w:r>
        <w:rPr>
          <w:lang w:eastAsia="zh-CN"/>
        </w:rPr>
        <w:t>For TDD UL/DL configuration #6, the working assumption is not to support it for TDD NB-IoT in Rel-15. Since the number of consecutive UL subframes per half radio frame</w:t>
      </w:r>
      <w:r w:rsidRPr="00B773B3">
        <w:rPr>
          <w:lang w:eastAsia="zh-CN"/>
        </w:rPr>
        <w:t xml:space="preserve"> </w:t>
      </w:r>
      <w:r>
        <w:rPr>
          <w:lang w:eastAsia="zh-CN"/>
        </w:rPr>
        <w:t xml:space="preserve">is different, additional specification work is needed when supporting NPRACH format 1 and 1-a to TDD UL/DL configuration #6. For example, we need to determine which of 2 UL subframes are used for NPRACH when there are 3 consecutive UL subframes in the half radio frame and whether the unused UL subframe can be reused for NPUSCH format 1 and 2. Given the limited time remaining for specification work it is recommended not to support TDD UL/DL configuration #6 for TDD NB-IoT in Rel-15. </w:t>
      </w:r>
      <w:r w:rsidR="002A5B42">
        <w:rPr>
          <w:lang w:eastAsia="zh-CN"/>
        </w:rPr>
        <w:t xml:space="preserve">If it is supported then it is recommended to support only NPRACH format 0 and 0-a for TDD UL/DL configuration #6. </w:t>
      </w:r>
    </w:p>
    <w:p w14:paraId="4E7EC67D" w14:textId="792AF7B1" w:rsidR="002A5B42" w:rsidRDefault="002A5B42" w:rsidP="002A5B42">
      <w:pPr>
        <w:spacing w:after="60"/>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 xml:space="preserve">If supported, the NPRACH formats for TDD UL/DL configuration #6 are 0 and 0-a. </w:t>
      </w:r>
    </w:p>
    <w:p w14:paraId="0DB6F88E" w14:textId="6527F81C" w:rsidR="002A5B42" w:rsidRDefault="002A5B42" w:rsidP="00C471F2">
      <w:pPr>
        <w:jc w:val="both"/>
        <w:rPr>
          <w:lang w:val="en-GB" w:eastAsia="zh-CN"/>
        </w:rPr>
      </w:pPr>
    </w:p>
    <w:p w14:paraId="0F6E833A" w14:textId="59F64269" w:rsidR="002A5B42" w:rsidRDefault="002A5B42" w:rsidP="002A5B42">
      <w:pPr>
        <w:pStyle w:val="Heading1"/>
      </w:pPr>
      <w:r>
        <w:t>Pseudo random hopping pattern for NPRACH format</w:t>
      </w:r>
    </w:p>
    <w:p w14:paraId="032E0E3D" w14:textId="77777777" w:rsidR="00CB0FF5" w:rsidRDefault="00A73E1F" w:rsidP="00C471F2">
      <w:pPr>
        <w:jc w:val="both"/>
      </w:pPr>
      <w:r>
        <w:rPr>
          <w:lang w:val="en-GB" w:eastAsia="zh-CN"/>
        </w:rPr>
        <w:t xml:space="preserve">In last RAN1 meeting, some agreements were made for the NPRACH hopping pattern. However, </w:t>
      </w:r>
      <w:r w:rsidR="00CB0FF5">
        <w:rPr>
          <w:lang w:val="en-GB" w:eastAsia="zh-CN"/>
        </w:rPr>
        <w:t xml:space="preserve">the cell-specific pseudo random hopping between </w:t>
      </w:r>
      <w:r w:rsidR="00CB0FF5">
        <w:t xml:space="preserve">different G symbol groups and between preamble repetitions have not yet been agreed. Two options are proposed. </w:t>
      </w:r>
    </w:p>
    <w:p w14:paraId="5BA75B0F" w14:textId="019D3852" w:rsidR="00CB0FF5" w:rsidRPr="00CB0FF5" w:rsidRDefault="00CB0FF5" w:rsidP="00CB0FF5">
      <w:pPr>
        <w:pStyle w:val="ListParagraph"/>
        <w:numPr>
          <w:ilvl w:val="0"/>
          <w:numId w:val="21"/>
        </w:numPr>
        <w:jc w:val="both"/>
        <w:rPr>
          <w:rFonts w:ascii="Times New Roman" w:eastAsia="宋体" w:hAnsi="Times New Roman"/>
          <w:sz w:val="20"/>
          <w:szCs w:val="20"/>
          <w:lang w:val="en-GB" w:eastAsia="zh-CN"/>
        </w:rPr>
      </w:pPr>
      <w:r w:rsidRPr="00CB0FF5">
        <w:rPr>
          <w:rFonts w:ascii="Times New Roman" w:eastAsia="宋体" w:hAnsi="Times New Roman"/>
          <w:sz w:val="20"/>
          <w:szCs w:val="20"/>
          <w:lang w:val="en-GB" w:eastAsia="zh-CN"/>
        </w:rPr>
        <w:t xml:space="preserve">Alt. 1: Reuse the pseudo random </w:t>
      </w:r>
      <w:r>
        <w:rPr>
          <w:rFonts w:ascii="Times New Roman" w:eastAsia="宋体" w:hAnsi="Times New Roman"/>
          <w:sz w:val="20"/>
          <w:szCs w:val="20"/>
          <w:lang w:val="en-GB" w:eastAsia="zh-CN"/>
        </w:rPr>
        <w:t>hopping pattern</w:t>
      </w:r>
      <w:r w:rsidRPr="00CB0FF5">
        <w:rPr>
          <w:rFonts w:ascii="Times New Roman" w:eastAsia="宋体" w:hAnsi="Times New Roman"/>
          <w:sz w:val="20"/>
          <w:szCs w:val="20"/>
          <w:lang w:val="en-GB" w:eastAsia="zh-CN"/>
        </w:rPr>
        <w:t xml:space="preserve"> of FDD</w:t>
      </w:r>
    </w:p>
    <w:p w14:paraId="07646F2F" w14:textId="77777777" w:rsidR="00CB0FF5" w:rsidRDefault="00CB0FF5" w:rsidP="00CB0FF5">
      <w:pPr>
        <w:pStyle w:val="ListParagraph"/>
        <w:numPr>
          <w:ilvl w:val="0"/>
          <w:numId w:val="21"/>
        </w:numPr>
        <w:jc w:val="both"/>
        <w:rPr>
          <w:rFonts w:ascii="Times New Roman" w:eastAsia="宋体" w:hAnsi="Times New Roman"/>
          <w:sz w:val="20"/>
          <w:szCs w:val="20"/>
          <w:lang w:val="en-GB" w:eastAsia="zh-CN"/>
        </w:rPr>
      </w:pPr>
      <w:r w:rsidRPr="00CB0FF5">
        <w:rPr>
          <w:rFonts w:ascii="Times New Roman" w:eastAsia="宋体" w:hAnsi="Times New Roman"/>
          <w:sz w:val="20"/>
          <w:szCs w:val="20"/>
          <w:lang w:val="en-GB" w:eastAsia="zh-CN"/>
        </w:rPr>
        <w:t xml:space="preserve">Alt. 2: </w:t>
      </w:r>
      <w:r>
        <w:rPr>
          <w:rFonts w:ascii="Times New Roman" w:eastAsia="宋体" w:hAnsi="Times New Roman"/>
          <w:sz w:val="20"/>
          <w:szCs w:val="20"/>
          <w:lang w:val="en-GB" w:eastAsia="zh-CN"/>
        </w:rPr>
        <w:t>Introduce a new hopping pattern as a function of both cell ID and SFN</w:t>
      </w:r>
    </w:p>
    <w:p w14:paraId="4966479A" w14:textId="7B83B930" w:rsidR="002A5B42" w:rsidRPr="00CB0FF5" w:rsidRDefault="00CB0FF5" w:rsidP="00CB0FF5">
      <w:pPr>
        <w:pStyle w:val="ListParagraph"/>
        <w:jc w:val="both"/>
        <w:rPr>
          <w:rFonts w:ascii="Times New Roman" w:eastAsia="宋体" w:hAnsi="Times New Roman"/>
          <w:sz w:val="20"/>
          <w:szCs w:val="20"/>
          <w:lang w:val="en-GB" w:eastAsia="zh-CN"/>
        </w:rPr>
      </w:pPr>
      <w:r w:rsidRPr="00CB0FF5">
        <w:rPr>
          <w:rFonts w:ascii="Times New Roman" w:eastAsia="宋体" w:hAnsi="Times New Roman"/>
          <w:sz w:val="20"/>
          <w:szCs w:val="20"/>
          <w:lang w:val="en-GB" w:eastAsia="zh-CN"/>
        </w:rPr>
        <w:t xml:space="preserve"> </w:t>
      </w:r>
    </w:p>
    <w:p w14:paraId="25E41C5D" w14:textId="06AB02A3" w:rsidR="00B773B3" w:rsidRDefault="00CB0FF5" w:rsidP="00C471F2">
      <w:pPr>
        <w:jc w:val="both"/>
        <w:rPr>
          <w:lang w:eastAsia="zh-CN"/>
        </w:rPr>
      </w:pPr>
      <w:r>
        <w:rPr>
          <w:lang w:eastAsia="zh-CN"/>
        </w:rPr>
        <w:t xml:space="preserve">Alt. 2 may </w:t>
      </w:r>
      <w:r w:rsidR="009F0B41">
        <w:rPr>
          <w:lang w:eastAsia="zh-CN"/>
        </w:rPr>
        <w:t>create more non-linear property if the SFN of the neighboring cells are not synchronized. However, the SFN of the TDD network is typically synchronized in the real deployment. Therefore, the benefit using both SFN and cell ID to determine the pseudo random hopping pattern is not clear. It is recommended to use a simple approach as FDD.</w:t>
      </w:r>
    </w:p>
    <w:p w14:paraId="27479B82" w14:textId="77777777" w:rsidR="00EF454E" w:rsidRDefault="00EF454E" w:rsidP="00EF454E">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 xml:space="preserve">For TDD NRACH, the cell specific pseudo random hopping pattern is determined by cell ID only. </w:t>
      </w:r>
    </w:p>
    <w:p w14:paraId="6990CF73" w14:textId="5D4B8C60" w:rsidR="009F0B41" w:rsidRPr="00EF454E" w:rsidRDefault="009F0B41" w:rsidP="00C471F2">
      <w:pPr>
        <w:jc w:val="both"/>
        <w:rPr>
          <w:lang w:val="en-GB" w:eastAsia="zh-CN"/>
        </w:rPr>
      </w:pPr>
    </w:p>
    <w:p w14:paraId="54CE66B5" w14:textId="76342865" w:rsidR="009F0B41" w:rsidRDefault="009F0B41" w:rsidP="009F0B41">
      <w:pPr>
        <w:pStyle w:val="Heading1"/>
      </w:pPr>
      <w:r>
        <w:t>DMRS for NPUSCH format 1 and 2</w:t>
      </w:r>
    </w:p>
    <w:p w14:paraId="365529BA" w14:textId="2256D12A" w:rsidR="009F0B41" w:rsidRDefault="005B43CE" w:rsidP="00C471F2">
      <w:pPr>
        <w:jc w:val="both"/>
        <w:rPr>
          <w:lang w:val="en-GB" w:eastAsia="zh-CN"/>
        </w:rPr>
      </w:pPr>
      <w:r>
        <w:rPr>
          <w:rFonts w:hint="eastAsia"/>
          <w:lang w:val="en-GB" w:eastAsia="zh-CN"/>
        </w:rPr>
        <w:t>For NPUSCH format 1, the following agreements have been made:</w:t>
      </w:r>
    </w:p>
    <w:p w14:paraId="2664F6AB" w14:textId="43ED1A4F" w:rsidR="005B43CE" w:rsidRPr="005B43CE" w:rsidRDefault="005B43CE" w:rsidP="005B43CE">
      <w:pPr>
        <w:numPr>
          <w:ilvl w:val="0"/>
          <w:numId w:val="21"/>
        </w:numPr>
        <w:overflowPunct/>
        <w:autoSpaceDE/>
        <w:autoSpaceDN/>
        <w:adjustRightInd/>
        <w:contextualSpacing/>
        <w:jc w:val="both"/>
        <w:textAlignment w:val="auto"/>
        <w:rPr>
          <w:lang w:val="en-GB"/>
        </w:rPr>
      </w:pPr>
      <w:r w:rsidRPr="005B43CE">
        <w:rPr>
          <w:lang w:val="en-GB"/>
        </w:rPr>
        <w:t xml:space="preserve">For NPUSCH transmission with 15 kHz subcarrier spacing, the number of subcarriers supported </w:t>
      </w:r>
      <w:r>
        <w:rPr>
          <w:lang w:val="en-GB"/>
        </w:rPr>
        <w:t xml:space="preserve">all the supported </w:t>
      </w:r>
      <w:r w:rsidRPr="005B43CE">
        <w:rPr>
          <w:lang w:val="en-GB"/>
        </w:rPr>
        <w:t>TDD UL/DL configuration</w:t>
      </w:r>
      <w:r>
        <w:rPr>
          <w:lang w:val="en-GB"/>
        </w:rPr>
        <w:t>s</w:t>
      </w:r>
      <w:r w:rsidRPr="005B43CE">
        <w:rPr>
          <w:lang w:val="en-GB"/>
        </w:rPr>
        <w:t xml:space="preserve"> is 1, 3, 6 and 12. </w:t>
      </w:r>
      <w:r w:rsidRPr="005B43CE">
        <w:t>RU length reuses FDD</w:t>
      </w:r>
    </w:p>
    <w:p w14:paraId="12461ED5" w14:textId="4E5AB174" w:rsidR="005B43CE" w:rsidRDefault="005B43CE" w:rsidP="005B43CE">
      <w:pPr>
        <w:overflowPunct/>
        <w:autoSpaceDE/>
        <w:autoSpaceDN/>
        <w:adjustRightInd/>
        <w:contextualSpacing/>
        <w:jc w:val="both"/>
        <w:textAlignment w:val="auto"/>
      </w:pPr>
    </w:p>
    <w:p w14:paraId="08568D08" w14:textId="47368AFE" w:rsidR="005B43CE" w:rsidRPr="005B43CE" w:rsidRDefault="005B43CE" w:rsidP="005B43CE">
      <w:pPr>
        <w:jc w:val="both"/>
        <w:rPr>
          <w:lang w:val="en-GB" w:eastAsia="zh-CN"/>
        </w:rPr>
      </w:pPr>
      <w:r w:rsidRPr="005B43CE">
        <w:rPr>
          <w:rFonts w:hint="eastAsia"/>
          <w:lang w:val="en-GB" w:eastAsia="zh-CN"/>
        </w:rPr>
        <w:t>We also have the following agreements for NPUSCH format 2</w:t>
      </w:r>
      <w:r>
        <w:rPr>
          <w:lang w:val="en-GB" w:eastAsia="zh-CN"/>
        </w:rPr>
        <w:t>.</w:t>
      </w:r>
    </w:p>
    <w:p w14:paraId="359DD7D1" w14:textId="77777777" w:rsidR="005B43CE" w:rsidRPr="005B43CE" w:rsidRDefault="005B43CE" w:rsidP="005B43CE">
      <w:pPr>
        <w:numPr>
          <w:ilvl w:val="0"/>
          <w:numId w:val="21"/>
        </w:numPr>
        <w:overflowPunct/>
        <w:autoSpaceDE/>
        <w:autoSpaceDN/>
        <w:adjustRightInd/>
        <w:contextualSpacing/>
        <w:jc w:val="both"/>
        <w:textAlignment w:val="auto"/>
        <w:rPr>
          <w:lang w:val="en-GB"/>
        </w:rPr>
      </w:pPr>
      <w:r w:rsidRPr="005B43CE">
        <w:rPr>
          <w:lang w:val="en-GB"/>
        </w:rPr>
        <w:t xml:space="preserve">For TDD NB-IoT with 15 kHz subcarrier spacing, the resource unit of NPUSCH format 2 is single tone with RU length 2 </w:t>
      </w:r>
      <w:proofErr w:type="spellStart"/>
      <w:r w:rsidRPr="005B43CE">
        <w:rPr>
          <w:lang w:val="en-GB"/>
        </w:rPr>
        <w:t>ms</w:t>
      </w:r>
      <w:proofErr w:type="spellEnd"/>
      <w:r w:rsidRPr="005B43CE">
        <w:rPr>
          <w:lang w:val="en-GB"/>
        </w:rPr>
        <w:t>.</w:t>
      </w:r>
    </w:p>
    <w:p w14:paraId="50191CAD" w14:textId="232A6761" w:rsidR="005B43CE" w:rsidRDefault="005B43CE" w:rsidP="005B43CE">
      <w:pPr>
        <w:overflowPunct/>
        <w:autoSpaceDE/>
        <w:autoSpaceDN/>
        <w:adjustRightInd/>
        <w:contextualSpacing/>
        <w:jc w:val="both"/>
        <w:textAlignment w:val="auto"/>
        <w:rPr>
          <w:lang w:val="en-GB"/>
        </w:rPr>
      </w:pPr>
    </w:p>
    <w:p w14:paraId="2CCCAE02" w14:textId="3C089F0C" w:rsidR="005B43CE" w:rsidRDefault="005B43CE" w:rsidP="00C42FD3">
      <w:pPr>
        <w:jc w:val="both"/>
        <w:rPr>
          <w:lang w:val="en-GB"/>
        </w:rPr>
      </w:pPr>
      <w:r>
        <w:rPr>
          <w:rFonts w:hint="eastAsia"/>
          <w:lang w:val="en-GB" w:eastAsia="zh-CN"/>
        </w:rPr>
        <w:t xml:space="preserve">For 3.75kHz </w:t>
      </w:r>
      <w:r>
        <w:rPr>
          <w:lang w:val="en-GB" w:eastAsia="zh-CN"/>
        </w:rPr>
        <w:t>NPUSCH, the agreement is to support it only in TDD UL/DL configuration #</w:t>
      </w:r>
      <w:r w:rsidR="00C42FD3">
        <w:rPr>
          <w:lang w:val="en-GB" w:eastAsia="zh-CN"/>
        </w:rPr>
        <w:t xml:space="preserve">1 and #4. </w:t>
      </w:r>
    </w:p>
    <w:p w14:paraId="0396E8FE" w14:textId="3E0FA3A7" w:rsidR="00C42FD3" w:rsidRPr="00C42FD3" w:rsidRDefault="00C42FD3" w:rsidP="00C42FD3">
      <w:pPr>
        <w:numPr>
          <w:ilvl w:val="0"/>
          <w:numId w:val="21"/>
        </w:numPr>
        <w:overflowPunct/>
        <w:autoSpaceDE/>
        <w:autoSpaceDN/>
        <w:adjustRightInd/>
        <w:contextualSpacing/>
        <w:jc w:val="both"/>
        <w:textAlignment w:val="auto"/>
        <w:rPr>
          <w:lang w:val="en-GB"/>
        </w:rPr>
      </w:pPr>
      <w:r w:rsidRPr="00C42FD3">
        <w:rPr>
          <w:lang w:val="en-GB"/>
        </w:rPr>
        <w:t>3.75 kHz is also suppor</w:t>
      </w:r>
      <w:r>
        <w:rPr>
          <w:lang w:val="en-GB"/>
        </w:rPr>
        <w:t>ted, in UL/DL configurations #1 and</w:t>
      </w:r>
      <w:r w:rsidRPr="00C42FD3">
        <w:rPr>
          <w:lang w:val="en-GB"/>
        </w:rPr>
        <w:t xml:space="preserve"> #4, with the same definition of NB-slot and resource unit as FDD</w:t>
      </w:r>
    </w:p>
    <w:p w14:paraId="5984BBC3" w14:textId="5F357838" w:rsidR="00C42FD3" w:rsidRDefault="00C42FD3" w:rsidP="005B43CE">
      <w:pPr>
        <w:overflowPunct/>
        <w:autoSpaceDE/>
        <w:autoSpaceDN/>
        <w:adjustRightInd/>
        <w:contextualSpacing/>
        <w:jc w:val="both"/>
        <w:textAlignment w:val="auto"/>
        <w:rPr>
          <w:lang w:val="en-GB"/>
        </w:rPr>
      </w:pPr>
    </w:p>
    <w:p w14:paraId="2151F4AE" w14:textId="15EA9DA9" w:rsidR="00C42FD3" w:rsidRDefault="007C2360" w:rsidP="007C2360">
      <w:pPr>
        <w:jc w:val="both"/>
        <w:rPr>
          <w:lang w:val="en-GB" w:eastAsia="zh-CN"/>
        </w:rPr>
      </w:pPr>
      <w:r>
        <w:rPr>
          <w:lang w:val="en-GB" w:eastAsia="zh-CN"/>
        </w:rPr>
        <w:t>I</w:t>
      </w:r>
      <w:r w:rsidR="00C42FD3">
        <w:rPr>
          <w:rFonts w:hint="eastAsia"/>
          <w:lang w:val="en-GB" w:eastAsia="zh-CN"/>
        </w:rPr>
        <w:t xml:space="preserve">t can be seen that </w:t>
      </w:r>
      <w:r>
        <w:rPr>
          <w:lang w:val="en-GB" w:eastAsia="zh-CN"/>
        </w:rPr>
        <w:t xml:space="preserve">the same RU size supported in FDD is reused for TDD. Therefore, for UL DMRS design, the same DMRS pattern and sequence of FDD can be reused also in TDD. </w:t>
      </w:r>
    </w:p>
    <w:p w14:paraId="0E50D339" w14:textId="5A502C64" w:rsidR="007C2360" w:rsidRDefault="007C2360" w:rsidP="007C2360">
      <w:pPr>
        <w:spacing w:after="60"/>
        <w:rPr>
          <w:b/>
          <w:lang w:val="en-GB"/>
        </w:rPr>
      </w:pPr>
      <w:r w:rsidRPr="005648A0">
        <w:rPr>
          <w:b/>
          <w:u w:val="single"/>
          <w:lang w:val="en-GB"/>
        </w:rPr>
        <w:t xml:space="preserve">Proposal </w:t>
      </w:r>
      <w:r w:rsidR="00AA45BA">
        <w:rPr>
          <w:b/>
          <w:u w:val="single"/>
          <w:lang w:val="en-GB"/>
        </w:rPr>
        <w:t>4</w:t>
      </w:r>
      <w:r w:rsidRPr="005648A0">
        <w:rPr>
          <w:b/>
          <w:lang w:val="en-GB"/>
        </w:rPr>
        <w:t xml:space="preserve">: </w:t>
      </w:r>
      <w:r>
        <w:rPr>
          <w:b/>
          <w:lang w:val="en-GB"/>
        </w:rPr>
        <w:t xml:space="preserve">In TDD, the same DMRS pattern and sequence that are supported in FDD mode are reused. </w:t>
      </w:r>
    </w:p>
    <w:p w14:paraId="64AF25E6" w14:textId="77777777" w:rsidR="007C2360" w:rsidRPr="007C2360" w:rsidRDefault="007C2360" w:rsidP="005B43CE">
      <w:pPr>
        <w:overflowPunct/>
        <w:autoSpaceDE/>
        <w:autoSpaceDN/>
        <w:adjustRightInd/>
        <w:contextualSpacing/>
        <w:jc w:val="both"/>
        <w:textAlignment w:val="auto"/>
        <w:rPr>
          <w:lang w:val="en-GB"/>
        </w:rPr>
      </w:pPr>
    </w:p>
    <w:p w14:paraId="28EA65A1" w14:textId="231AAD9B" w:rsidR="00704FD7" w:rsidRPr="007C2360" w:rsidRDefault="00704FD7" w:rsidP="007C2360">
      <w:pPr>
        <w:pStyle w:val="Heading1"/>
      </w:pPr>
      <w:bookmarkStart w:id="4" w:name="_Hlk513734516"/>
      <w:r w:rsidRPr="007C2360">
        <w:lastRenderedPageBreak/>
        <w:t>Non-anchor carrier for msg3 transmission</w:t>
      </w:r>
    </w:p>
    <w:p w14:paraId="2A6A9558" w14:textId="53F5EA11" w:rsidR="009E7B17" w:rsidRDefault="00CB7BB6" w:rsidP="00CB7BB6">
      <w:pPr>
        <w:jc w:val="both"/>
        <w:rPr>
          <w:lang w:val="en-GB" w:eastAsia="zh-CN"/>
        </w:rPr>
      </w:pPr>
      <w:r w:rsidRPr="00CB7BB6">
        <w:rPr>
          <w:rFonts w:hint="eastAsia"/>
          <w:lang w:val="en-GB" w:eastAsia="zh-CN"/>
        </w:rPr>
        <w:t xml:space="preserve">For FDD, the transmission of NPRACH and msg3 are always on the same carrier. </w:t>
      </w:r>
      <w:r>
        <w:rPr>
          <w:lang w:val="en-GB" w:eastAsia="zh-CN"/>
        </w:rPr>
        <w:t xml:space="preserve">For TDD, the transmission duration of NPRACH could be much larger due to limited number of UL subframes. For some NPRACH configurations, e.g., a large number of repetitions and opportunities, it is most likely that NPRACH will use all the UL subframes </w:t>
      </w:r>
      <w:r w:rsidR="00704FD7">
        <w:rPr>
          <w:lang w:val="en-GB" w:eastAsia="zh-CN"/>
        </w:rPr>
        <w:t>during</w:t>
      </w:r>
      <w:r>
        <w:rPr>
          <w:lang w:val="en-GB" w:eastAsia="zh-CN"/>
        </w:rPr>
        <w:t xml:space="preserve"> the configured </w:t>
      </w:r>
      <w:r w:rsidR="009E7B17">
        <w:rPr>
          <w:lang w:val="en-GB" w:eastAsia="zh-CN"/>
        </w:rPr>
        <w:t xml:space="preserve">period. For example, assuming TDD UL/DL configuration </w:t>
      </w:r>
      <w:r w:rsidR="00A81FC9">
        <w:rPr>
          <w:lang w:val="en-GB" w:eastAsia="zh-CN"/>
        </w:rPr>
        <w:t>#</w:t>
      </w:r>
      <w:r w:rsidR="009E7B17">
        <w:rPr>
          <w:lang w:val="en-GB" w:eastAsia="zh-CN"/>
        </w:rPr>
        <w:t xml:space="preserve">5 and a preamble repetition </w:t>
      </w:r>
      <w:r w:rsidR="00A81FC9">
        <w:rPr>
          <w:lang w:val="en-GB" w:eastAsia="zh-CN"/>
        </w:rPr>
        <w:t>requires to be transmitted i</w:t>
      </w:r>
      <w:r w:rsidR="009E7B17">
        <w:rPr>
          <w:lang w:val="en-GB" w:eastAsia="zh-CN"/>
        </w:rPr>
        <w:t xml:space="preserve">n 20ms, the time duration of a NPRACH with 64 repetitions is supported to be 64x2=1280ms. For NPRACH periodicity less than 1280ms it is not </w:t>
      </w:r>
      <w:r w:rsidR="00A81FC9">
        <w:rPr>
          <w:lang w:val="en-GB" w:eastAsia="zh-CN"/>
        </w:rPr>
        <w:t>supported</w:t>
      </w:r>
      <w:r w:rsidR="009E7B17">
        <w:rPr>
          <w:lang w:val="en-GB" w:eastAsia="zh-CN"/>
        </w:rPr>
        <w:t xml:space="preserve"> </w:t>
      </w:r>
      <w:r w:rsidR="00A81FC9">
        <w:rPr>
          <w:lang w:val="en-GB" w:eastAsia="zh-CN"/>
        </w:rPr>
        <w:t>for TDM o</w:t>
      </w:r>
      <w:r w:rsidR="009E7B17">
        <w:rPr>
          <w:lang w:val="en-GB" w:eastAsia="zh-CN"/>
        </w:rPr>
        <w:t>f NPRACH and NPUSCH. If the multi-tone transmission is configured for msg3, such as 12-subcarriers then the</w:t>
      </w:r>
      <w:r w:rsidR="00A81FC9">
        <w:rPr>
          <w:lang w:val="en-GB" w:eastAsia="zh-CN"/>
        </w:rPr>
        <w:t xml:space="preserve">re is not resource to transmit the </w:t>
      </w:r>
      <w:r w:rsidR="009E7B17">
        <w:rPr>
          <w:lang w:val="en-GB" w:eastAsia="zh-CN"/>
        </w:rPr>
        <w:t xml:space="preserve">msg3 </w:t>
      </w:r>
      <w:r w:rsidR="00A81FC9">
        <w:rPr>
          <w:lang w:val="en-GB" w:eastAsia="zh-CN"/>
        </w:rPr>
        <w:t xml:space="preserve">on the same carrier as </w:t>
      </w:r>
      <w:r w:rsidR="009E7B17">
        <w:rPr>
          <w:lang w:val="en-GB" w:eastAsia="zh-CN"/>
        </w:rPr>
        <w:t xml:space="preserve">NRACH. Therefore, the transmission of the msg3 on a different carrier </w:t>
      </w:r>
      <w:r w:rsidR="00A81FC9">
        <w:rPr>
          <w:lang w:val="en-GB" w:eastAsia="zh-CN"/>
        </w:rPr>
        <w:t>than</w:t>
      </w:r>
      <w:r w:rsidR="009E7B17">
        <w:rPr>
          <w:lang w:val="en-GB" w:eastAsia="zh-CN"/>
        </w:rPr>
        <w:t xml:space="preserve"> NPRACH shall be allowed for NB-IoT TDD in order </w:t>
      </w:r>
      <w:r w:rsidR="00A81FC9">
        <w:rPr>
          <w:lang w:val="en-GB" w:eastAsia="zh-CN"/>
        </w:rPr>
        <w:t xml:space="preserve">to reduce the </w:t>
      </w:r>
      <w:r w:rsidR="009E7B17">
        <w:rPr>
          <w:lang w:val="en-GB" w:eastAsia="zh-CN"/>
        </w:rPr>
        <w:t xml:space="preserve">msg3 </w:t>
      </w:r>
      <w:r w:rsidR="00A81FC9">
        <w:rPr>
          <w:lang w:val="en-GB" w:eastAsia="zh-CN"/>
        </w:rPr>
        <w:t xml:space="preserve">transmission </w:t>
      </w:r>
      <w:r w:rsidR="009E7B17">
        <w:rPr>
          <w:lang w:val="en-GB" w:eastAsia="zh-CN"/>
        </w:rPr>
        <w:t xml:space="preserve">latency. </w:t>
      </w:r>
    </w:p>
    <w:p w14:paraId="52971B00" w14:textId="3EF6D5C9" w:rsidR="00EF454E" w:rsidRDefault="009E7B17" w:rsidP="009E7B17">
      <w:pPr>
        <w:rPr>
          <w:b/>
          <w:lang w:val="en-GB"/>
        </w:rPr>
      </w:pPr>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rsidRPr="005648A0">
        <w:rPr>
          <w:b/>
          <w:u w:val="single"/>
          <w:lang w:val="en-GB"/>
        </w:rPr>
        <w:t xml:space="preserve">Proposal </w:t>
      </w:r>
      <w:r w:rsidR="00AA45BA">
        <w:rPr>
          <w:b/>
          <w:u w:val="single"/>
          <w:lang w:val="en-GB"/>
        </w:rPr>
        <w:t>5</w:t>
      </w:r>
      <w:r w:rsidRPr="005648A0">
        <w:rPr>
          <w:b/>
          <w:lang w:val="en-GB"/>
        </w:rPr>
        <w:t xml:space="preserve">: </w:t>
      </w:r>
      <w:r>
        <w:rPr>
          <w:b/>
          <w:lang w:val="en-GB"/>
        </w:rPr>
        <w:t xml:space="preserve">The msg3 can be transmitted on a different carrier than </w:t>
      </w:r>
      <w:r w:rsidR="00F649EB">
        <w:rPr>
          <w:b/>
          <w:lang w:val="en-GB"/>
        </w:rPr>
        <w:t>the preamble</w:t>
      </w:r>
      <w:r>
        <w:rPr>
          <w:b/>
          <w:lang w:val="en-GB"/>
        </w:rPr>
        <w:t xml:space="preserve"> </w:t>
      </w:r>
      <w:r w:rsidR="00AA45BA">
        <w:rPr>
          <w:b/>
          <w:lang w:val="en-GB"/>
        </w:rPr>
        <w:t>in</w:t>
      </w:r>
      <w:r>
        <w:rPr>
          <w:b/>
          <w:lang w:val="en-GB"/>
        </w:rPr>
        <w:t xml:space="preserve"> NB-IoT TDD.</w:t>
      </w:r>
    </w:p>
    <w:p w14:paraId="1C656649" w14:textId="77777777" w:rsidR="00EF454E" w:rsidRPr="00EF454E" w:rsidRDefault="00EF454E" w:rsidP="009E7B17">
      <w:pPr>
        <w:rPr>
          <w:b/>
          <w:lang w:val="en-GB"/>
        </w:rPr>
      </w:pPr>
    </w:p>
    <w:bookmarkEnd w:id="4"/>
    <w:p w14:paraId="093D7AB5" w14:textId="05020ECC" w:rsidR="00AA45BA" w:rsidRDefault="00AA45BA" w:rsidP="00AA45BA">
      <w:pPr>
        <w:pStyle w:val="Heading1"/>
      </w:pPr>
      <w:r>
        <w:t>UL transmission gaps</w:t>
      </w:r>
    </w:p>
    <w:p w14:paraId="5DA4EAE4" w14:textId="68E01D3E" w:rsidR="00AA45BA" w:rsidRDefault="00AA45BA" w:rsidP="00AA45BA">
      <w:pPr>
        <w:jc w:val="both"/>
        <w:rPr>
          <w:lang w:val="en-GB"/>
        </w:rPr>
      </w:pPr>
      <w:r>
        <w:rPr>
          <w:rFonts w:hint="eastAsia"/>
          <w:lang w:val="en-GB"/>
        </w:rPr>
        <w:t xml:space="preserve">In FDD, </w:t>
      </w:r>
      <w:r>
        <w:rPr>
          <w:lang w:val="en-GB"/>
        </w:rPr>
        <w:t xml:space="preserve">after transmission of 256 radio frames, a gap of 40ms is introduced for the UE before it can continue NPUSCH transmission. The UL transmission gap is also applied to NPRACH, i.e., the 40ms gap inserted after transmission of 64 NPRACH preambles. The gap is mainly intended for resync in downlink, i.e., to maintain the time/frequency tracking loop. For TDD, the downlink and uplink subframes are interlaced. UE can use the downlink subframes for resync purpose during the UL transmission, especially when interlacing UL/DL transmission is configured. Therefore, we </w:t>
      </w:r>
      <w:r w:rsidR="00EF454E">
        <w:rPr>
          <w:lang w:val="en-GB"/>
        </w:rPr>
        <w:t>propose not to support the UL transmission gap in TDD NB-IoT.</w:t>
      </w:r>
    </w:p>
    <w:p w14:paraId="3F6DD7A2" w14:textId="6CB079D6" w:rsidR="00AA45BA" w:rsidRDefault="00AA45BA" w:rsidP="00AA45BA">
      <w:pPr>
        <w:rPr>
          <w:b/>
          <w:lang w:val="en-GB"/>
        </w:rPr>
      </w:pPr>
      <w:r w:rsidRPr="005648A0">
        <w:rPr>
          <w:b/>
          <w:u w:val="single"/>
          <w:lang w:val="en-GB"/>
        </w:rPr>
        <w:t xml:space="preserve">Proposal </w:t>
      </w:r>
      <w:r>
        <w:rPr>
          <w:b/>
          <w:u w:val="single"/>
          <w:lang w:val="en-GB"/>
        </w:rPr>
        <w:t>6</w:t>
      </w:r>
      <w:r w:rsidRPr="005648A0">
        <w:rPr>
          <w:b/>
          <w:lang w:val="en-GB"/>
        </w:rPr>
        <w:t xml:space="preserve">: </w:t>
      </w:r>
      <w:r>
        <w:rPr>
          <w:b/>
          <w:lang w:val="en-GB"/>
        </w:rPr>
        <w:t>The UL transmission gap is not applied to TDD.</w:t>
      </w:r>
    </w:p>
    <w:p w14:paraId="1D4E7274" w14:textId="77777777" w:rsidR="00AA45BA" w:rsidRPr="00AA45BA" w:rsidRDefault="00AA45BA" w:rsidP="00AA45BA">
      <w:pPr>
        <w:jc w:val="both"/>
        <w:rPr>
          <w:lang w:val="en-GB"/>
        </w:rPr>
      </w:pPr>
    </w:p>
    <w:p w14:paraId="130A289D" w14:textId="1F312097" w:rsidR="00E168E5" w:rsidRDefault="006341FE" w:rsidP="00E168E5">
      <w:pPr>
        <w:pStyle w:val="Heading1"/>
      </w:pPr>
      <w:r>
        <w:t>Conclusions</w:t>
      </w:r>
    </w:p>
    <w:bookmarkEnd w:id="5"/>
    <w:bookmarkEnd w:id="6"/>
    <w:bookmarkEnd w:id="7"/>
    <w:bookmarkEnd w:id="8"/>
    <w:bookmarkEnd w:id="9"/>
    <w:bookmarkEnd w:id="10"/>
    <w:bookmarkEnd w:id="11"/>
    <w:p w14:paraId="72B95BD9" w14:textId="7AE17DF7" w:rsidR="00975ABF" w:rsidRDefault="0019655E" w:rsidP="00975ABF">
      <w:pPr>
        <w:rPr>
          <w:lang w:val="en-GB"/>
        </w:rPr>
      </w:pPr>
      <w:r>
        <w:rPr>
          <w:lang w:val="en-GB"/>
        </w:rPr>
        <w:t>In this contribution</w:t>
      </w:r>
      <w:r w:rsidR="00975ABF">
        <w:rPr>
          <w:lang w:val="en-GB"/>
        </w:rPr>
        <w:t xml:space="preserve">, we </w:t>
      </w:r>
      <w:r>
        <w:rPr>
          <w:lang w:val="en-GB"/>
        </w:rPr>
        <w:t xml:space="preserve">discussed the </w:t>
      </w:r>
      <w:r w:rsidR="00EF454E">
        <w:rPr>
          <w:lang w:val="en-GB"/>
        </w:rPr>
        <w:t xml:space="preserve">remaining issues on </w:t>
      </w:r>
      <w:r w:rsidR="00B12B09">
        <w:rPr>
          <w:lang w:val="en-GB"/>
        </w:rPr>
        <w:t>U</w:t>
      </w:r>
      <w:r>
        <w:rPr>
          <w:lang w:val="en-GB"/>
        </w:rPr>
        <w:t>L design f</w:t>
      </w:r>
      <w:r w:rsidR="00EF454E">
        <w:rPr>
          <w:lang w:val="en-GB"/>
        </w:rPr>
        <w:t>or TDD</w:t>
      </w:r>
      <w:r>
        <w:rPr>
          <w:lang w:val="en-GB"/>
        </w:rPr>
        <w:t xml:space="preserve"> NB-IoT. </w:t>
      </w:r>
      <w:r w:rsidR="00077400">
        <w:rPr>
          <w:lang w:val="en-GB"/>
        </w:rPr>
        <w:t>We ma</w:t>
      </w:r>
      <w:r>
        <w:rPr>
          <w:lang w:val="en-GB"/>
        </w:rPr>
        <w:t>d</w:t>
      </w:r>
      <w:r w:rsidR="00077400">
        <w:rPr>
          <w:lang w:val="en-GB"/>
        </w:rPr>
        <w:t>e the following proposal</w:t>
      </w:r>
      <w:r w:rsidR="003B10DA">
        <w:rPr>
          <w:lang w:val="en-GB"/>
        </w:rPr>
        <w:t>:</w:t>
      </w:r>
    </w:p>
    <w:p w14:paraId="5AA76FFB" w14:textId="77777777" w:rsidR="00EF454E" w:rsidRDefault="00EF454E" w:rsidP="00EF454E">
      <w:pPr>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 xml:space="preserve">The supported NPRACH formats for TDD UL/DL configuration #3 are 0, 2 and 0-a. </w:t>
      </w:r>
    </w:p>
    <w:p w14:paraId="23313D75" w14:textId="77777777" w:rsidR="00EF454E" w:rsidRDefault="00EF454E" w:rsidP="00EF454E">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 xml:space="preserve">If supported, the NPRACH formats for TDD UL/DL configuration #6 are 0 and 0-a. </w:t>
      </w:r>
    </w:p>
    <w:p w14:paraId="0377E65C" w14:textId="3A352B1F" w:rsidR="00EF454E" w:rsidRDefault="00EF454E" w:rsidP="00EF454E">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 xml:space="preserve">For TDD NRACH, the cell specific pseudo random hopping pattern is determined by cell ID only. </w:t>
      </w:r>
    </w:p>
    <w:p w14:paraId="7400A853" w14:textId="77777777" w:rsidR="00EF454E" w:rsidRDefault="00EF454E" w:rsidP="00EF454E">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 xml:space="preserve">In TDD, the same DMRS pattern and sequence that are supported in FDD mode are reused. </w:t>
      </w:r>
    </w:p>
    <w:p w14:paraId="10029CDB" w14:textId="77777777" w:rsidR="00F649EB" w:rsidRDefault="00F649EB" w:rsidP="00F649EB">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The msg3 can be transmitted on a different carrier than the preamble in NB-IoT TDD.</w:t>
      </w:r>
    </w:p>
    <w:p w14:paraId="5329114B" w14:textId="77777777" w:rsidR="00EF454E" w:rsidRDefault="00EF454E" w:rsidP="00EF454E">
      <w:pPr>
        <w:rPr>
          <w:b/>
          <w:lang w:val="en-GB"/>
        </w:rPr>
      </w:pPr>
      <w:r w:rsidRPr="005648A0">
        <w:rPr>
          <w:b/>
          <w:u w:val="single"/>
          <w:lang w:val="en-GB"/>
        </w:rPr>
        <w:t xml:space="preserve">Proposal </w:t>
      </w:r>
      <w:r>
        <w:rPr>
          <w:b/>
          <w:u w:val="single"/>
          <w:lang w:val="en-GB"/>
        </w:rPr>
        <w:t>6</w:t>
      </w:r>
      <w:r w:rsidRPr="005648A0">
        <w:rPr>
          <w:b/>
          <w:lang w:val="en-GB"/>
        </w:rPr>
        <w:t xml:space="preserve">: </w:t>
      </w:r>
      <w:r>
        <w:rPr>
          <w:b/>
          <w:lang w:val="en-GB"/>
        </w:rPr>
        <w:t>The UL transmission gap is not applied to TDD.</w:t>
      </w:r>
    </w:p>
    <w:p w14:paraId="0605F732" w14:textId="77777777" w:rsidR="00EF454E" w:rsidRPr="00EF454E" w:rsidRDefault="00EF454E" w:rsidP="00975ABF">
      <w:pPr>
        <w:rPr>
          <w:lang w:val="en-GB"/>
        </w:rPr>
      </w:pPr>
    </w:p>
    <w:p w14:paraId="26881B4C" w14:textId="77777777" w:rsidR="00E523F3" w:rsidRDefault="00E523F3" w:rsidP="00E523F3">
      <w:pPr>
        <w:pStyle w:val="Heading1"/>
        <w:rPr>
          <w:lang w:val="en-US"/>
        </w:rPr>
      </w:pPr>
      <w:r w:rsidRPr="000A64D8">
        <w:rPr>
          <w:lang w:val="en-US"/>
        </w:rPr>
        <w:t>References</w:t>
      </w:r>
    </w:p>
    <w:p w14:paraId="5D4E89EF" w14:textId="21B41D51" w:rsidR="00C16CD2" w:rsidRDefault="00C16CD2" w:rsidP="00B823C6">
      <w:pPr>
        <w:rPr>
          <w:rStyle w:val="SubtleReference"/>
        </w:rPr>
      </w:pPr>
      <w:r>
        <w:t>[</w:t>
      </w:r>
      <w:r w:rsidR="00AA50BE">
        <w:t>1</w:t>
      </w:r>
      <w:r>
        <w:t xml:space="preserve">] 3GPP </w:t>
      </w:r>
      <w:r w:rsidRPr="00C250ED">
        <w:rPr>
          <w:rStyle w:val="SubtleReference"/>
        </w:rPr>
        <w:t>R</w:t>
      </w:r>
      <w:r>
        <w:rPr>
          <w:rStyle w:val="SubtleReference"/>
        </w:rPr>
        <w:t>AN1#9</w:t>
      </w:r>
      <w:r w:rsidR="000766D8">
        <w:rPr>
          <w:rStyle w:val="SubtleReference"/>
        </w:rPr>
        <w:t>2</w:t>
      </w:r>
      <w:r w:rsidR="00EF454E">
        <w:rPr>
          <w:rStyle w:val="SubtleReference"/>
        </w:rPr>
        <w:t>bis</w:t>
      </w:r>
      <w:r>
        <w:rPr>
          <w:rStyle w:val="SubtleReference"/>
        </w:rPr>
        <w:t>, Chairman’s notes</w:t>
      </w:r>
    </w:p>
    <w:sectPr w:rsidR="00C16CD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8AF1E" w14:textId="77777777" w:rsidR="005E1B13" w:rsidRDefault="005E1B13">
      <w:r>
        <w:separator/>
      </w:r>
    </w:p>
  </w:endnote>
  <w:endnote w:type="continuationSeparator" w:id="0">
    <w:p w14:paraId="4DD96977" w14:textId="77777777" w:rsidR="005E1B13" w:rsidRDefault="005E1B13">
      <w:r>
        <w:continuationSeparator/>
      </w:r>
    </w:p>
  </w:endnote>
  <w:endnote w:type="continuationNotice" w:id="1">
    <w:p w14:paraId="7F4D26D7" w14:textId="77777777" w:rsidR="005E1B13" w:rsidRDefault="005E1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A0A8A" w:rsidRDefault="00DA0A8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A0A8A" w:rsidRDefault="00DA0A8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D6CAADB" w:rsidR="00DA0A8A" w:rsidRDefault="00DA0A8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649E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49E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3B3A0" w14:textId="77777777" w:rsidR="005E1B13" w:rsidRDefault="005E1B13">
      <w:r>
        <w:separator/>
      </w:r>
    </w:p>
  </w:footnote>
  <w:footnote w:type="continuationSeparator" w:id="0">
    <w:p w14:paraId="529BCC5F" w14:textId="77777777" w:rsidR="005E1B13" w:rsidRDefault="005E1B13">
      <w:r>
        <w:continuationSeparator/>
      </w:r>
    </w:p>
  </w:footnote>
  <w:footnote w:type="continuationNotice" w:id="1">
    <w:p w14:paraId="123AF4CE" w14:textId="77777777" w:rsidR="005E1B13" w:rsidRDefault="005E1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A0A8A" w:rsidRDefault="00DA0A8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680459"/>
    <w:multiLevelType w:val="hybridMultilevel"/>
    <w:tmpl w:val="EF3A3DD4"/>
    <w:lvl w:ilvl="0" w:tplc="5F409940">
      <w:start w:val="1"/>
      <w:numFmt w:val="bullet"/>
      <w:lvlText w:val="•"/>
      <w:lvlJc w:val="left"/>
      <w:pPr>
        <w:tabs>
          <w:tab w:val="num" w:pos="720"/>
        </w:tabs>
        <w:ind w:left="720" w:hanging="360"/>
      </w:pPr>
      <w:rPr>
        <w:rFonts w:ascii="Arial" w:hAnsi="Arial" w:hint="default"/>
      </w:rPr>
    </w:lvl>
    <w:lvl w:ilvl="1" w:tplc="CEDA06AE" w:tentative="1">
      <w:start w:val="1"/>
      <w:numFmt w:val="bullet"/>
      <w:lvlText w:val="•"/>
      <w:lvlJc w:val="left"/>
      <w:pPr>
        <w:tabs>
          <w:tab w:val="num" w:pos="1440"/>
        </w:tabs>
        <w:ind w:left="1440" w:hanging="360"/>
      </w:pPr>
      <w:rPr>
        <w:rFonts w:ascii="Arial" w:hAnsi="Arial" w:hint="default"/>
      </w:rPr>
    </w:lvl>
    <w:lvl w:ilvl="2" w:tplc="9A261C52" w:tentative="1">
      <w:start w:val="1"/>
      <w:numFmt w:val="bullet"/>
      <w:lvlText w:val="•"/>
      <w:lvlJc w:val="left"/>
      <w:pPr>
        <w:tabs>
          <w:tab w:val="num" w:pos="2160"/>
        </w:tabs>
        <w:ind w:left="2160" w:hanging="360"/>
      </w:pPr>
      <w:rPr>
        <w:rFonts w:ascii="Arial" w:hAnsi="Arial" w:hint="default"/>
      </w:rPr>
    </w:lvl>
    <w:lvl w:ilvl="3" w:tplc="F15E251A" w:tentative="1">
      <w:start w:val="1"/>
      <w:numFmt w:val="bullet"/>
      <w:lvlText w:val="•"/>
      <w:lvlJc w:val="left"/>
      <w:pPr>
        <w:tabs>
          <w:tab w:val="num" w:pos="2880"/>
        </w:tabs>
        <w:ind w:left="2880" w:hanging="360"/>
      </w:pPr>
      <w:rPr>
        <w:rFonts w:ascii="Arial" w:hAnsi="Arial" w:hint="default"/>
      </w:rPr>
    </w:lvl>
    <w:lvl w:ilvl="4" w:tplc="A9B41290" w:tentative="1">
      <w:start w:val="1"/>
      <w:numFmt w:val="bullet"/>
      <w:lvlText w:val="•"/>
      <w:lvlJc w:val="left"/>
      <w:pPr>
        <w:tabs>
          <w:tab w:val="num" w:pos="3600"/>
        </w:tabs>
        <w:ind w:left="3600" w:hanging="360"/>
      </w:pPr>
      <w:rPr>
        <w:rFonts w:ascii="Arial" w:hAnsi="Arial" w:hint="default"/>
      </w:rPr>
    </w:lvl>
    <w:lvl w:ilvl="5" w:tplc="96908AA4" w:tentative="1">
      <w:start w:val="1"/>
      <w:numFmt w:val="bullet"/>
      <w:lvlText w:val="•"/>
      <w:lvlJc w:val="left"/>
      <w:pPr>
        <w:tabs>
          <w:tab w:val="num" w:pos="4320"/>
        </w:tabs>
        <w:ind w:left="4320" w:hanging="360"/>
      </w:pPr>
      <w:rPr>
        <w:rFonts w:ascii="Arial" w:hAnsi="Arial" w:hint="default"/>
      </w:rPr>
    </w:lvl>
    <w:lvl w:ilvl="6" w:tplc="54D4C11A" w:tentative="1">
      <w:start w:val="1"/>
      <w:numFmt w:val="bullet"/>
      <w:lvlText w:val="•"/>
      <w:lvlJc w:val="left"/>
      <w:pPr>
        <w:tabs>
          <w:tab w:val="num" w:pos="5040"/>
        </w:tabs>
        <w:ind w:left="5040" w:hanging="360"/>
      </w:pPr>
      <w:rPr>
        <w:rFonts w:ascii="Arial" w:hAnsi="Arial" w:hint="default"/>
      </w:rPr>
    </w:lvl>
    <w:lvl w:ilvl="7" w:tplc="8200AFB2" w:tentative="1">
      <w:start w:val="1"/>
      <w:numFmt w:val="bullet"/>
      <w:lvlText w:val="•"/>
      <w:lvlJc w:val="left"/>
      <w:pPr>
        <w:tabs>
          <w:tab w:val="num" w:pos="5760"/>
        </w:tabs>
        <w:ind w:left="5760" w:hanging="360"/>
      </w:pPr>
      <w:rPr>
        <w:rFonts w:ascii="Arial" w:hAnsi="Arial" w:hint="default"/>
      </w:rPr>
    </w:lvl>
    <w:lvl w:ilvl="8" w:tplc="CC020D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212E4E"/>
    <w:multiLevelType w:val="hybridMultilevel"/>
    <w:tmpl w:val="46B8577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8553550"/>
    <w:multiLevelType w:val="hybridMultilevel"/>
    <w:tmpl w:val="17F0B27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8866CC"/>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151C5B"/>
    <w:multiLevelType w:val="hybridMultilevel"/>
    <w:tmpl w:val="C13C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A351BBC"/>
    <w:multiLevelType w:val="hybridMultilevel"/>
    <w:tmpl w:val="4ABA4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5E0CA8"/>
    <w:multiLevelType w:val="hybridMultilevel"/>
    <w:tmpl w:val="17185F0E"/>
    <w:lvl w:ilvl="0" w:tplc="3116891C">
      <w:start w:val="1"/>
      <w:numFmt w:val="bullet"/>
      <w:lvlText w:val="•"/>
      <w:lvlJc w:val="left"/>
      <w:pPr>
        <w:tabs>
          <w:tab w:val="num" w:pos="360"/>
        </w:tabs>
        <w:ind w:left="360" w:hanging="360"/>
      </w:pPr>
      <w:rPr>
        <w:rFonts w:ascii="Arial" w:hAnsi="Arial" w:cs="Times New Roman" w:hint="default"/>
      </w:rPr>
    </w:lvl>
    <w:lvl w:ilvl="1" w:tplc="91FA886E">
      <w:start w:val="1"/>
      <w:numFmt w:val="bullet"/>
      <w:lvlText w:val="•"/>
      <w:lvlJc w:val="left"/>
      <w:pPr>
        <w:tabs>
          <w:tab w:val="num" w:pos="1080"/>
        </w:tabs>
        <w:ind w:left="1080" w:hanging="360"/>
      </w:pPr>
      <w:rPr>
        <w:rFonts w:ascii="Arial" w:hAnsi="Arial" w:cs="Times New Roman" w:hint="default"/>
      </w:rPr>
    </w:lvl>
    <w:lvl w:ilvl="2" w:tplc="49025138">
      <w:start w:val="1"/>
      <w:numFmt w:val="bullet"/>
      <w:lvlText w:val="•"/>
      <w:lvlJc w:val="left"/>
      <w:pPr>
        <w:tabs>
          <w:tab w:val="num" w:pos="1800"/>
        </w:tabs>
        <w:ind w:left="1800" w:hanging="360"/>
      </w:pPr>
      <w:rPr>
        <w:rFonts w:ascii="Arial" w:hAnsi="Arial" w:cs="Times New Roman" w:hint="default"/>
      </w:rPr>
    </w:lvl>
    <w:lvl w:ilvl="3" w:tplc="20D637C0">
      <w:start w:val="1"/>
      <w:numFmt w:val="bullet"/>
      <w:lvlText w:val="•"/>
      <w:lvlJc w:val="left"/>
      <w:pPr>
        <w:tabs>
          <w:tab w:val="num" w:pos="2520"/>
        </w:tabs>
        <w:ind w:left="2520" w:hanging="360"/>
      </w:pPr>
      <w:rPr>
        <w:rFonts w:ascii="Arial" w:hAnsi="Arial" w:cs="Times New Roman" w:hint="default"/>
      </w:rPr>
    </w:lvl>
    <w:lvl w:ilvl="4" w:tplc="40268690">
      <w:start w:val="1"/>
      <w:numFmt w:val="bullet"/>
      <w:lvlText w:val="•"/>
      <w:lvlJc w:val="left"/>
      <w:pPr>
        <w:tabs>
          <w:tab w:val="num" w:pos="3240"/>
        </w:tabs>
        <w:ind w:left="3240" w:hanging="360"/>
      </w:pPr>
      <w:rPr>
        <w:rFonts w:ascii="Arial" w:hAnsi="Arial" w:cs="Times New Roman" w:hint="default"/>
      </w:rPr>
    </w:lvl>
    <w:lvl w:ilvl="5" w:tplc="A42CAC70">
      <w:start w:val="1"/>
      <w:numFmt w:val="bullet"/>
      <w:lvlText w:val="•"/>
      <w:lvlJc w:val="left"/>
      <w:pPr>
        <w:tabs>
          <w:tab w:val="num" w:pos="3960"/>
        </w:tabs>
        <w:ind w:left="3960" w:hanging="360"/>
      </w:pPr>
      <w:rPr>
        <w:rFonts w:ascii="Arial" w:hAnsi="Arial" w:cs="Times New Roman" w:hint="default"/>
      </w:rPr>
    </w:lvl>
    <w:lvl w:ilvl="6" w:tplc="B582D1CA">
      <w:start w:val="1"/>
      <w:numFmt w:val="bullet"/>
      <w:lvlText w:val="•"/>
      <w:lvlJc w:val="left"/>
      <w:pPr>
        <w:tabs>
          <w:tab w:val="num" w:pos="4680"/>
        </w:tabs>
        <w:ind w:left="4680" w:hanging="360"/>
      </w:pPr>
      <w:rPr>
        <w:rFonts w:ascii="Arial" w:hAnsi="Arial" w:cs="Times New Roman" w:hint="default"/>
      </w:rPr>
    </w:lvl>
    <w:lvl w:ilvl="7" w:tplc="EF7635C2">
      <w:start w:val="1"/>
      <w:numFmt w:val="bullet"/>
      <w:lvlText w:val="•"/>
      <w:lvlJc w:val="left"/>
      <w:pPr>
        <w:tabs>
          <w:tab w:val="num" w:pos="5400"/>
        </w:tabs>
        <w:ind w:left="5400" w:hanging="360"/>
      </w:pPr>
      <w:rPr>
        <w:rFonts w:ascii="Arial" w:hAnsi="Arial" w:cs="Times New Roman" w:hint="default"/>
      </w:rPr>
    </w:lvl>
    <w:lvl w:ilvl="8" w:tplc="A74480A2">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EC1EE6"/>
    <w:multiLevelType w:val="hybridMultilevel"/>
    <w:tmpl w:val="25DA85C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7B9B3954"/>
    <w:multiLevelType w:val="hybridMultilevel"/>
    <w:tmpl w:val="0A8276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7F791517"/>
    <w:multiLevelType w:val="hybridMultilevel"/>
    <w:tmpl w:val="7BF83492"/>
    <w:lvl w:ilvl="0" w:tplc="21B68938">
      <w:start w:val="1"/>
      <w:numFmt w:val="bullet"/>
      <w:lvlText w:val="•"/>
      <w:lvlJc w:val="left"/>
      <w:pPr>
        <w:tabs>
          <w:tab w:val="num" w:pos="648"/>
        </w:tabs>
        <w:ind w:left="648" w:hanging="360"/>
      </w:pPr>
      <w:rPr>
        <w:rFonts w:ascii="Arial" w:hAnsi="Arial" w:hint="default"/>
      </w:rPr>
    </w:lvl>
    <w:lvl w:ilvl="1" w:tplc="9A0E80EE">
      <w:start w:val="1"/>
      <w:numFmt w:val="bullet"/>
      <w:lvlText w:val="•"/>
      <w:lvlJc w:val="left"/>
      <w:pPr>
        <w:tabs>
          <w:tab w:val="num" w:pos="1368"/>
        </w:tabs>
        <w:ind w:left="1368" w:hanging="360"/>
      </w:pPr>
      <w:rPr>
        <w:rFonts w:ascii="Arial" w:hAnsi="Arial" w:hint="default"/>
      </w:rPr>
    </w:lvl>
    <w:lvl w:ilvl="2" w:tplc="C1600F4A">
      <w:numFmt w:val="bullet"/>
      <w:lvlText w:val=""/>
      <w:lvlJc w:val="left"/>
      <w:pPr>
        <w:tabs>
          <w:tab w:val="num" w:pos="2088"/>
        </w:tabs>
        <w:ind w:left="2088" w:hanging="360"/>
      </w:pPr>
      <w:rPr>
        <w:rFonts w:ascii="Wingdings" w:hAnsi="Wingdings" w:hint="default"/>
      </w:rPr>
    </w:lvl>
    <w:lvl w:ilvl="3" w:tplc="D882917A">
      <w:numFmt w:val="bullet"/>
      <w:lvlText w:val=""/>
      <w:lvlJc w:val="left"/>
      <w:pPr>
        <w:tabs>
          <w:tab w:val="num" w:pos="2808"/>
        </w:tabs>
        <w:ind w:left="2808" w:hanging="360"/>
      </w:pPr>
      <w:rPr>
        <w:rFonts w:ascii="Wingdings" w:hAnsi="Wingdings" w:hint="default"/>
      </w:rPr>
    </w:lvl>
    <w:lvl w:ilvl="4" w:tplc="94920B6E" w:tentative="1">
      <w:start w:val="1"/>
      <w:numFmt w:val="bullet"/>
      <w:lvlText w:val="•"/>
      <w:lvlJc w:val="left"/>
      <w:pPr>
        <w:tabs>
          <w:tab w:val="num" w:pos="3528"/>
        </w:tabs>
        <w:ind w:left="3528" w:hanging="360"/>
      </w:pPr>
      <w:rPr>
        <w:rFonts w:ascii="Arial" w:hAnsi="Arial" w:hint="default"/>
      </w:rPr>
    </w:lvl>
    <w:lvl w:ilvl="5" w:tplc="F2B0109C" w:tentative="1">
      <w:start w:val="1"/>
      <w:numFmt w:val="bullet"/>
      <w:lvlText w:val="•"/>
      <w:lvlJc w:val="left"/>
      <w:pPr>
        <w:tabs>
          <w:tab w:val="num" w:pos="4248"/>
        </w:tabs>
        <w:ind w:left="4248" w:hanging="360"/>
      </w:pPr>
      <w:rPr>
        <w:rFonts w:ascii="Arial" w:hAnsi="Arial" w:hint="default"/>
      </w:rPr>
    </w:lvl>
    <w:lvl w:ilvl="6" w:tplc="79F4E318" w:tentative="1">
      <w:start w:val="1"/>
      <w:numFmt w:val="bullet"/>
      <w:lvlText w:val="•"/>
      <w:lvlJc w:val="left"/>
      <w:pPr>
        <w:tabs>
          <w:tab w:val="num" w:pos="4968"/>
        </w:tabs>
        <w:ind w:left="4968" w:hanging="360"/>
      </w:pPr>
      <w:rPr>
        <w:rFonts w:ascii="Arial" w:hAnsi="Arial" w:hint="default"/>
      </w:rPr>
    </w:lvl>
    <w:lvl w:ilvl="7" w:tplc="B1EADE58" w:tentative="1">
      <w:start w:val="1"/>
      <w:numFmt w:val="bullet"/>
      <w:lvlText w:val="•"/>
      <w:lvlJc w:val="left"/>
      <w:pPr>
        <w:tabs>
          <w:tab w:val="num" w:pos="5688"/>
        </w:tabs>
        <w:ind w:left="5688" w:hanging="360"/>
      </w:pPr>
      <w:rPr>
        <w:rFonts w:ascii="Arial" w:hAnsi="Arial" w:hint="default"/>
      </w:rPr>
    </w:lvl>
    <w:lvl w:ilvl="8" w:tplc="97D6876E" w:tentative="1">
      <w:start w:val="1"/>
      <w:numFmt w:val="bullet"/>
      <w:lvlText w:val="•"/>
      <w:lvlJc w:val="left"/>
      <w:pPr>
        <w:tabs>
          <w:tab w:val="num" w:pos="6408"/>
        </w:tabs>
        <w:ind w:left="6408" w:hanging="360"/>
      </w:pPr>
      <w:rPr>
        <w:rFonts w:ascii="Arial" w:hAnsi="Arial" w:hint="default"/>
      </w:rPr>
    </w:lvl>
  </w:abstractNum>
  <w:num w:numId="1">
    <w:abstractNumId w:val="9"/>
  </w:num>
  <w:num w:numId="2">
    <w:abstractNumId w:val="2"/>
  </w:num>
  <w:num w:numId="3">
    <w:abstractNumId w:val="11"/>
  </w:num>
  <w:num w:numId="4">
    <w:abstractNumId w:val="10"/>
  </w:num>
  <w:num w:numId="5">
    <w:abstractNumId w:val="21"/>
  </w:num>
  <w:num w:numId="6">
    <w:abstractNumId w:val="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0"/>
  </w:num>
  <w:num w:numId="12">
    <w:abstractNumId w:val="2"/>
  </w:num>
  <w:num w:numId="13">
    <w:abstractNumId w:val="8"/>
  </w:num>
  <w:num w:numId="14">
    <w:abstractNumId w:val="22"/>
  </w:num>
  <w:num w:numId="15">
    <w:abstractNumId w:val="1"/>
  </w:num>
  <w:num w:numId="16">
    <w:abstractNumId w:val="17"/>
  </w:num>
  <w:num w:numId="17">
    <w:abstractNumId w:val="5"/>
  </w:num>
  <w:num w:numId="18">
    <w:abstractNumId w:val="23"/>
  </w:num>
  <w:num w:numId="19">
    <w:abstractNumId w:val="3"/>
  </w:num>
  <w:num w:numId="20">
    <w:abstractNumId w:val="18"/>
  </w:num>
  <w:num w:numId="21">
    <w:abstractNumId w:val="12"/>
  </w:num>
  <w:num w:numId="22">
    <w:abstractNumId w:val="4"/>
  </w:num>
  <w:num w:numId="23">
    <w:abstractNumId w:val="16"/>
  </w:num>
  <w:num w:numId="24">
    <w:abstractNumId w:val="15"/>
  </w:num>
  <w:num w:numId="25">
    <w:abstractNumId w:val="13"/>
  </w:num>
  <w:num w:numId="26">
    <w:abstractNumId w:val="7"/>
  </w:num>
  <w:num w:numId="2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07C02"/>
    <w:rsid w:val="000101EF"/>
    <w:rsid w:val="00010E97"/>
    <w:rsid w:val="00010EF9"/>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4DF"/>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65A"/>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1F5B"/>
    <w:rsid w:val="0005201C"/>
    <w:rsid w:val="0005241E"/>
    <w:rsid w:val="0005291A"/>
    <w:rsid w:val="00052AE3"/>
    <w:rsid w:val="000531A8"/>
    <w:rsid w:val="0005329C"/>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6D8"/>
    <w:rsid w:val="00077073"/>
    <w:rsid w:val="00077400"/>
    <w:rsid w:val="0008022A"/>
    <w:rsid w:val="00080418"/>
    <w:rsid w:val="000805B2"/>
    <w:rsid w:val="00080D74"/>
    <w:rsid w:val="00080D81"/>
    <w:rsid w:val="00081383"/>
    <w:rsid w:val="000826F4"/>
    <w:rsid w:val="000826FF"/>
    <w:rsid w:val="00082A49"/>
    <w:rsid w:val="00082C90"/>
    <w:rsid w:val="00082EAF"/>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48EE"/>
    <w:rsid w:val="0009512D"/>
    <w:rsid w:val="000954C6"/>
    <w:rsid w:val="00095653"/>
    <w:rsid w:val="00095671"/>
    <w:rsid w:val="000956BC"/>
    <w:rsid w:val="000957FF"/>
    <w:rsid w:val="00095920"/>
    <w:rsid w:val="00095F53"/>
    <w:rsid w:val="0009653B"/>
    <w:rsid w:val="000968D8"/>
    <w:rsid w:val="0009709B"/>
    <w:rsid w:val="000970D0"/>
    <w:rsid w:val="0009720E"/>
    <w:rsid w:val="00097243"/>
    <w:rsid w:val="000979F0"/>
    <w:rsid w:val="00097AE8"/>
    <w:rsid w:val="000A02DC"/>
    <w:rsid w:val="000A09A2"/>
    <w:rsid w:val="000A0CA1"/>
    <w:rsid w:val="000A0E99"/>
    <w:rsid w:val="000A1AD3"/>
    <w:rsid w:val="000A1D49"/>
    <w:rsid w:val="000A23E5"/>
    <w:rsid w:val="000A26E4"/>
    <w:rsid w:val="000A2816"/>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F72"/>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27"/>
    <w:rsid w:val="000D4DE6"/>
    <w:rsid w:val="000D5158"/>
    <w:rsid w:val="000D55EA"/>
    <w:rsid w:val="000D5965"/>
    <w:rsid w:val="000D59D6"/>
    <w:rsid w:val="000D5AB0"/>
    <w:rsid w:val="000D5AD1"/>
    <w:rsid w:val="000D5E4D"/>
    <w:rsid w:val="000D6E27"/>
    <w:rsid w:val="000D6E96"/>
    <w:rsid w:val="000D7268"/>
    <w:rsid w:val="000D7783"/>
    <w:rsid w:val="000D7B1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2DB"/>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D44"/>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9C"/>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43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64D"/>
    <w:rsid w:val="001929F7"/>
    <w:rsid w:val="00193987"/>
    <w:rsid w:val="00193D48"/>
    <w:rsid w:val="00194955"/>
    <w:rsid w:val="001954AB"/>
    <w:rsid w:val="00195657"/>
    <w:rsid w:val="0019573B"/>
    <w:rsid w:val="0019592C"/>
    <w:rsid w:val="00196085"/>
    <w:rsid w:val="0019655E"/>
    <w:rsid w:val="00196B90"/>
    <w:rsid w:val="00196DE8"/>
    <w:rsid w:val="00196FF4"/>
    <w:rsid w:val="0019734F"/>
    <w:rsid w:val="0019795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A8E"/>
    <w:rsid w:val="001D2B3C"/>
    <w:rsid w:val="001D2E6C"/>
    <w:rsid w:val="001D35DC"/>
    <w:rsid w:val="001D43C0"/>
    <w:rsid w:val="001D448E"/>
    <w:rsid w:val="001D4969"/>
    <w:rsid w:val="001D4A4B"/>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7C7"/>
    <w:rsid w:val="00212816"/>
    <w:rsid w:val="00212968"/>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295"/>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78D"/>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4A3B"/>
    <w:rsid w:val="0024520E"/>
    <w:rsid w:val="0024530E"/>
    <w:rsid w:val="00245492"/>
    <w:rsid w:val="00245A41"/>
    <w:rsid w:val="00245B70"/>
    <w:rsid w:val="00245B79"/>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A4"/>
    <w:rsid w:val="002631DC"/>
    <w:rsid w:val="0026382D"/>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871"/>
    <w:rsid w:val="002825CE"/>
    <w:rsid w:val="00282CEC"/>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B42"/>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3EA"/>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2CA3"/>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7E6"/>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2FA"/>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4C08"/>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4E8"/>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69F"/>
    <w:rsid w:val="003A38AC"/>
    <w:rsid w:val="003A39E7"/>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AF6"/>
    <w:rsid w:val="003B4B90"/>
    <w:rsid w:val="003B4D9B"/>
    <w:rsid w:val="003B4D9D"/>
    <w:rsid w:val="003B4E9C"/>
    <w:rsid w:val="003B570F"/>
    <w:rsid w:val="003B5B57"/>
    <w:rsid w:val="003B5B7E"/>
    <w:rsid w:val="003B5BCB"/>
    <w:rsid w:val="003B5E30"/>
    <w:rsid w:val="003B6FCB"/>
    <w:rsid w:val="003B7020"/>
    <w:rsid w:val="003B7294"/>
    <w:rsid w:val="003B76FE"/>
    <w:rsid w:val="003B7B1F"/>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13A"/>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5EE"/>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B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49"/>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C4"/>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9EE"/>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6332"/>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43"/>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2E2"/>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93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49A"/>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3CE"/>
    <w:rsid w:val="005B4911"/>
    <w:rsid w:val="005B4C5C"/>
    <w:rsid w:val="005B4C83"/>
    <w:rsid w:val="005B4E83"/>
    <w:rsid w:val="005B5082"/>
    <w:rsid w:val="005B50E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8BF"/>
    <w:rsid w:val="005D6929"/>
    <w:rsid w:val="005D6B30"/>
    <w:rsid w:val="005D6E1C"/>
    <w:rsid w:val="005D7458"/>
    <w:rsid w:val="005D7539"/>
    <w:rsid w:val="005D76F4"/>
    <w:rsid w:val="005D7E04"/>
    <w:rsid w:val="005E0082"/>
    <w:rsid w:val="005E06E1"/>
    <w:rsid w:val="005E0899"/>
    <w:rsid w:val="005E1393"/>
    <w:rsid w:val="005E1411"/>
    <w:rsid w:val="005E181F"/>
    <w:rsid w:val="005E1B13"/>
    <w:rsid w:val="005E3035"/>
    <w:rsid w:val="005E35FD"/>
    <w:rsid w:val="005E383F"/>
    <w:rsid w:val="005E3B77"/>
    <w:rsid w:val="005E48F7"/>
    <w:rsid w:val="005E4CCB"/>
    <w:rsid w:val="005E4EDE"/>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9A3"/>
    <w:rsid w:val="00601BE5"/>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D53"/>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8D6"/>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29"/>
    <w:rsid w:val="00672966"/>
    <w:rsid w:val="006735BC"/>
    <w:rsid w:val="00673BDE"/>
    <w:rsid w:val="00673EB7"/>
    <w:rsid w:val="00673FBF"/>
    <w:rsid w:val="006740F1"/>
    <w:rsid w:val="0067439E"/>
    <w:rsid w:val="00674460"/>
    <w:rsid w:val="006754D4"/>
    <w:rsid w:val="00675652"/>
    <w:rsid w:val="006758E5"/>
    <w:rsid w:val="00675D28"/>
    <w:rsid w:val="00675ECB"/>
    <w:rsid w:val="0067638E"/>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13B"/>
    <w:rsid w:val="006D5457"/>
    <w:rsid w:val="006D59BF"/>
    <w:rsid w:val="006D5A62"/>
    <w:rsid w:val="006D5EC2"/>
    <w:rsid w:val="006D5FEF"/>
    <w:rsid w:val="006D6275"/>
    <w:rsid w:val="006D650F"/>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0EC"/>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4FD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717"/>
    <w:rsid w:val="00717890"/>
    <w:rsid w:val="007178EE"/>
    <w:rsid w:val="00717A7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5F5"/>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4A81"/>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1C5"/>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1C49"/>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360"/>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B6"/>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53"/>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45"/>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0C4"/>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68C"/>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3C8"/>
    <w:rsid w:val="00890450"/>
    <w:rsid w:val="008907B2"/>
    <w:rsid w:val="00890BCD"/>
    <w:rsid w:val="00890E0D"/>
    <w:rsid w:val="00890F04"/>
    <w:rsid w:val="00890FBE"/>
    <w:rsid w:val="00891F63"/>
    <w:rsid w:val="00892253"/>
    <w:rsid w:val="008922DF"/>
    <w:rsid w:val="00893024"/>
    <w:rsid w:val="00893B3B"/>
    <w:rsid w:val="00893BA4"/>
    <w:rsid w:val="00893DB3"/>
    <w:rsid w:val="00894278"/>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E4"/>
    <w:rsid w:val="008D13DC"/>
    <w:rsid w:val="008D149D"/>
    <w:rsid w:val="008D1E23"/>
    <w:rsid w:val="008D2209"/>
    <w:rsid w:val="008D2461"/>
    <w:rsid w:val="008D3208"/>
    <w:rsid w:val="008D399A"/>
    <w:rsid w:val="008D3D0D"/>
    <w:rsid w:val="008D4318"/>
    <w:rsid w:val="008D453F"/>
    <w:rsid w:val="008D4EAB"/>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713"/>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D7"/>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64"/>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2537"/>
    <w:rsid w:val="0096392B"/>
    <w:rsid w:val="0096397B"/>
    <w:rsid w:val="0096474C"/>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C66"/>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B17"/>
    <w:rsid w:val="009E7E9B"/>
    <w:rsid w:val="009F023C"/>
    <w:rsid w:val="009F0258"/>
    <w:rsid w:val="009F02E1"/>
    <w:rsid w:val="009F056D"/>
    <w:rsid w:val="009F07FC"/>
    <w:rsid w:val="009F0992"/>
    <w:rsid w:val="009F0B41"/>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9FA"/>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3F8"/>
    <w:rsid w:val="00A62454"/>
    <w:rsid w:val="00A627E0"/>
    <w:rsid w:val="00A62953"/>
    <w:rsid w:val="00A63244"/>
    <w:rsid w:val="00A6367F"/>
    <w:rsid w:val="00A63872"/>
    <w:rsid w:val="00A63A37"/>
    <w:rsid w:val="00A64196"/>
    <w:rsid w:val="00A647A9"/>
    <w:rsid w:val="00A649B4"/>
    <w:rsid w:val="00A64BC7"/>
    <w:rsid w:val="00A64EB1"/>
    <w:rsid w:val="00A64ED6"/>
    <w:rsid w:val="00A6527F"/>
    <w:rsid w:val="00A65417"/>
    <w:rsid w:val="00A655C8"/>
    <w:rsid w:val="00A6563A"/>
    <w:rsid w:val="00A657CF"/>
    <w:rsid w:val="00A65C72"/>
    <w:rsid w:val="00A65FBF"/>
    <w:rsid w:val="00A6636E"/>
    <w:rsid w:val="00A6662B"/>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3E1F"/>
    <w:rsid w:val="00A744A2"/>
    <w:rsid w:val="00A74598"/>
    <w:rsid w:val="00A745D9"/>
    <w:rsid w:val="00A74B80"/>
    <w:rsid w:val="00A74E04"/>
    <w:rsid w:val="00A74F6C"/>
    <w:rsid w:val="00A75212"/>
    <w:rsid w:val="00A7538B"/>
    <w:rsid w:val="00A758D1"/>
    <w:rsid w:val="00A75920"/>
    <w:rsid w:val="00A75DE7"/>
    <w:rsid w:val="00A76264"/>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1FC9"/>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0F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5DF"/>
    <w:rsid w:val="00AA1740"/>
    <w:rsid w:val="00AA1D12"/>
    <w:rsid w:val="00AA1EEC"/>
    <w:rsid w:val="00AA210C"/>
    <w:rsid w:val="00AA29F2"/>
    <w:rsid w:val="00AA2CD8"/>
    <w:rsid w:val="00AA30A2"/>
    <w:rsid w:val="00AA45BA"/>
    <w:rsid w:val="00AA461D"/>
    <w:rsid w:val="00AA4A81"/>
    <w:rsid w:val="00AA4C09"/>
    <w:rsid w:val="00AA4F41"/>
    <w:rsid w:val="00AA50BE"/>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5F2"/>
    <w:rsid w:val="00AC26C7"/>
    <w:rsid w:val="00AC271C"/>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208"/>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79F"/>
    <w:rsid w:val="00B02A4C"/>
    <w:rsid w:val="00B02AD0"/>
    <w:rsid w:val="00B03101"/>
    <w:rsid w:val="00B039CE"/>
    <w:rsid w:val="00B03BB8"/>
    <w:rsid w:val="00B03D26"/>
    <w:rsid w:val="00B04211"/>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B09"/>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B0B"/>
    <w:rsid w:val="00B35CB3"/>
    <w:rsid w:val="00B35F8E"/>
    <w:rsid w:val="00B37188"/>
    <w:rsid w:val="00B4003E"/>
    <w:rsid w:val="00B40292"/>
    <w:rsid w:val="00B406B2"/>
    <w:rsid w:val="00B40D73"/>
    <w:rsid w:val="00B4110D"/>
    <w:rsid w:val="00B411A3"/>
    <w:rsid w:val="00B412CB"/>
    <w:rsid w:val="00B416D8"/>
    <w:rsid w:val="00B41B34"/>
    <w:rsid w:val="00B41B40"/>
    <w:rsid w:val="00B42879"/>
    <w:rsid w:val="00B430D3"/>
    <w:rsid w:val="00B435EC"/>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BB8"/>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875"/>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02E"/>
    <w:rsid w:val="00B75542"/>
    <w:rsid w:val="00B75667"/>
    <w:rsid w:val="00B7573F"/>
    <w:rsid w:val="00B75A5C"/>
    <w:rsid w:val="00B7646F"/>
    <w:rsid w:val="00B77062"/>
    <w:rsid w:val="00B7709F"/>
    <w:rsid w:val="00B770A1"/>
    <w:rsid w:val="00B77104"/>
    <w:rsid w:val="00B773B3"/>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471"/>
    <w:rsid w:val="00B91E9D"/>
    <w:rsid w:val="00B922C4"/>
    <w:rsid w:val="00B926E0"/>
    <w:rsid w:val="00B92AD4"/>
    <w:rsid w:val="00B92BF1"/>
    <w:rsid w:val="00B932E1"/>
    <w:rsid w:val="00B93C36"/>
    <w:rsid w:val="00B94054"/>
    <w:rsid w:val="00B94253"/>
    <w:rsid w:val="00B9436E"/>
    <w:rsid w:val="00B946E7"/>
    <w:rsid w:val="00B94F45"/>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2943"/>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42B"/>
    <w:rsid w:val="00BB7DB1"/>
    <w:rsid w:val="00BC0AE6"/>
    <w:rsid w:val="00BC0B7D"/>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F0"/>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CD2"/>
    <w:rsid w:val="00C16E53"/>
    <w:rsid w:val="00C17099"/>
    <w:rsid w:val="00C170AE"/>
    <w:rsid w:val="00C173EB"/>
    <w:rsid w:val="00C17593"/>
    <w:rsid w:val="00C176B6"/>
    <w:rsid w:val="00C17D7E"/>
    <w:rsid w:val="00C17D89"/>
    <w:rsid w:val="00C202D5"/>
    <w:rsid w:val="00C20349"/>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2FD3"/>
    <w:rsid w:val="00C439F0"/>
    <w:rsid w:val="00C43CE7"/>
    <w:rsid w:val="00C44189"/>
    <w:rsid w:val="00C447FB"/>
    <w:rsid w:val="00C449C0"/>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74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36"/>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DB"/>
    <w:rsid w:val="00C9318C"/>
    <w:rsid w:val="00C93297"/>
    <w:rsid w:val="00C93543"/>
    <w:rsid w:val="00C945EC"/>
    <w:rsid w:val="00C94B58"/>
    <w:rsid w:val="00C94BBA"/>
    <w:rsid w:val="00C94E45"/>
    <w:rsid w:val="00C95300"/>
    <w:rsid w:val="00C953E4"/>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0FF5"/>
    <w:rsid w:val="00CB11BD"/>
    <w:rsid w:val="00CB1368"/>
    <w:rsid w:val="00CB167F"/>
    <w:rsid w:val="00CB1C10"/>
    <w:rsid w:val="00CB1F2A"/>
    <w:rsid w:val="00CB2700"/>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BB6"/>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C6B"/>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876"/>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36C9"/>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6D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6D7"/>
    <w:rsid w:val="00D8778A"/>
    <w:rsid w:val="00D90DCF"/>
    <w:rsid w:val="00D91009"/>
    <w:rsid w:val="00D9120D"/>
    <w:rsid w:val="00D9126A"/>
    <w:rsid w:val="00D912DF"/>
    <w:rsid w:val="00D9151F"/>
    <w:rsid w:val="00D919F7"/>
    <w:rsid w:val="00D91AEE"/>
    <w:rsid w:val="00D91D0C"/>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A8A"/>
    <w:rsid w:val="00DA0FC0"/>
    <w:rsid w:val="00DA10F6"/>
    <w:rsid w:val="00DA1D80"/>
    <w:rsid w:val="00DA2046"/>
    <w:rsid w:val="00DA2185"/>
    <w:rsid w:val="00DA23D2"/>
    <w:rsid w:val="00DA29C4"/>
    <w:rsid w:val="00DA2D90"/>
    <w:rsid w:val="00DA3A26"/>
    <w:rsid w:val="00DA3B43"/>
    <w:rsid w:val="00DA3F00"/>
    <w:rsid w:val="00DA43CA"/>
    <w:rsid w:val="00DA4562"/>
    <w:rsid w:val="00DA45B7"/>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0F5"/>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72"/>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3FB"/>
    <w:rsid w:val="00E35698"/>
    <w:rsid w:val="00E35AC2"/>
    <w:rsid w:val="00E35EB9"/>
    <w:rsid w:val="00E35F47"/>
    <w:rsid w:val="00E3610B"/>
    <w:rsid w:val="00E363B9"/>
    <w:rsid w:val="00E36400"/>
    <w:rsid w:val="00E368A4"/>
    <w:rsid w:val="00E36AED"/>
    <w:rsid w:val="00E36F6C"/>
    <w:rsid w:val="00E377BF"/>
    <w:rsid w:val="00E37C25"/>
    <w:rsid w:val="00E40362"/>
    <w:rsid w:val="00E4171C"/>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DF0"/>
    <w:rsid w:val="00E6000E"/>
    <w:rsid w:val="00E60050"/>
    <w:rsid w:val="00E6014B"/>
    <w:rsid w:val="00E602C9"/>
    <w:rsid w:val="00E608B7"/>
    <w:rsid w:val="00E608E1"/>
    <w:rsid w:val="00E60E12"/>
    <w:rsid w:val="00E60F80"/>
    <w:rsid w:val="00E6134E"/>
    <w:rsid w:val="00E613CE"/>
    <w:rsid w:val="00E61CF6"/>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69E5"/>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476"/>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45"/>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2DE4"/>
    <w:rsid w:val="00EF3A28"/>
    <w:rsid w:val="00EF3A3D"/>
    <w:rsid w:val="00EF3A4A"/>
    <w:rsid w:val="00EF3AFE"/>
    <w:rsid w:val="00EF3D41"/>
    <w:rsid w:val="00EF3D43"/>
    <w:rsid w:val="00EF3EE0"/>
    <w:rsid w:val="00EF43FB"/>
    <w:rsid w:val="00EF454E"/>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35"/>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EB"/>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39730448-78E1-4065-A69C-16176A86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E91545"/>
    <w:rPr>
      <w:lang w:val="en-US"/>
    </w:rPr>
  </w:style>
  <w:style w:type="table" w:styleId="GridTable1Light-Accent1">
    <w:name w:val="Grid Table 1 Light Accent 1"/>
    <w:basedOn w:val="TableNormal"/>
    <w:uiPriority w:val="46"/>
    <w:rsid w:val="00E61CF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E61CF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11865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916741">
      <w:bodyDiv w:val="1"/>
      <w:marLeft w:val="0"/>
      <w:marRight w:val="0"/>
      <w:marTop w:val="0"/>
      <w:marBottom w:val="0"/>
      <w:divBdr>
        <w:top w:val="none" w:sz="0" w:space="0" w:color="auto"/>
        <w:left w:val="none" w:sz="0" w:space="0" w:color="auto"/>
        <w:bottom w:val="none" w:sz="0" w:space="0" w:color="auto"/>
        <w:right w:val="none" w:sz="0" w:space="0" w:color="auto"/>
      </w:divBdr>
    </w:div>
    <w:div w:id="624434180">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972995">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23543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2655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25436970">
      <w:bodyDiv w:val="1"/>
      <w:marLeft w:val="0"/>
      <w:marRight w:val="0"/>
      <w:marTop w:val="0"/>
      <w:marBottom w:val="0"/>
      <w:divBdr>
        <w:top w:val="none" w:sz="0" w:space="0" w:color="auto"/>
        <w:left w:val="none" w:sz="0" w:space="0" w:color="auto"/>
        <w:bottom w:val="none" w:sz="0" w:space="0" w:color="auto"/>
        <w:right w:val="none" w:sz="0" w:space="0" w:color="auto"/>
      </w:divBdr>
      <w:divsChild>
        <w:div w:id="1042248361">
          <w:marLeft w:val="547"/>
          <w:marRight w:val="0"/>
          <w:marTop w:val="10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4250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B5292A-4675-4ECC-B0E1-D1D04480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1401</TotalTime>
  <Pages>3</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15</cp:revision>
  <cp:lastPrinted>2014-11-07T05:38:00Z</cp:lastPrinted>
  <dcterms:created xsi:type="dcterms:W3CDTF">2017-11-17T14:55:00Z</dcterms:created>
  <dcterms:modified xsi:type="dcterms:W3CDTF">2018-05-11T16:22:00Z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-2058970810</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-738167667</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