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745C8D64"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w:t>
      </w:r>
      <w:r w:rsidR="005B147C">
        <w:rPr>
          <w:rFonts w:ascii="Arial" w:eastAsia="ＭＳ 明朝" w:hAnsi="Arial" w:hint="eastAsia"/>
          <w:b/>
          <w:noProof/>
          <w:lang w:val="en-US"/>
        </w:rPr>
        <w:t>3</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R1-18</w:t>
      </w:r>
      <w:bookmarkStart w:id="1" w:name="_GoBack"/>
      <w:bookmarkEnd w:id="1"/>
      <w:r w:rsidR="006E1683" w:rsidRPr="006E1683">
        <w:rPr>
          <w:rFonts w:ascii="Arial" w:eastAsia="ＭＳ 明朝" w:hAnsi="Arial"/>
          <w:b/>
          <w:noProof/>
          <w:lang w:val="en-US" w:eastAsia="x-none"/>
        </w:rPr>
        <w:t>07059</w:t>
      </w:r>
    </w:p>
    <w:p w14:paraId="02716EEC" w14:textId="48F6FE6D" w:rsidR="005F64A2" w:rsidRPr="005F64A2" w:rsidRDefault="005B147C" w:rsidP="005F64A2">
      <w:pPr>
        <w:pStyle w:val="a7"/>
        <w:rPr>
          <w:sz w:val="24"/>
          <w:lang w:val="en-US"/>
        </w:rPr>
      </w:pPr>
      <w:r>
        <w:rPr>
          <w:rFonts w:hint="eastAsia"/>
          <w:sz w:val="24"/>
          <w:lang w:val="en-US" w:eastAsia="ja-JP"/>
        </w:rPr>
        <w:t>Busan, South Korea, May</w:t>
      </w:r>
      <w:r>
        <w:rPr>
          <w:sz w:val="24"/>
          <w:lang w:val="en-US"/>
        </w:rPr>
        <w:t xml:space="preserve"> </w:t>
      </w:r>
      <w:r>
        <w:rPr>
          <w:rFonts w:hint="eastAsia"/>
          <w:sz w:val="24"/>
          <w:lang w:val="en-US" w:eastAsia="ja-JP"/>
        </w:rPr>
        <w:t>21st</w:t>
      </w:r>
      <w:r>
        <w:rPr>
          <w:sz w:val="24"/>
          <w:lang w:val="en-US"/>
        </w:rPr>
        <w:t xml:space="preserve"> – 2</w:t>
      </w:r>
      <w:r>
        <w:rPr>
          <w:rFonts w:hint="eastAsia"/>
          <w:sz w:val="24"/>
          <w:lang w:val="en-US" w:eastAsia="ja-JP"/>
        </w:rPr>
        <w:t>5</w:t>
      </w:r>
      <w:r w:rsidR="005F64A2" w:rsidRPr="005F64A2">
        <w:rPr>
          <w:sz w:val="24"/>
          <w:lang w:val="en-US"/>
        </w:rPr>
        <w:t>th, 2018</w:t>
      </w:r>
    </w:p>
    <w:p w14:paraId="7BAD2021" w14:textId="454E10FD" w:rsidR="005F64A2" w:rsidRPr="005B147C"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01B5B472"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5B147C">
        <w:rPr>
          <w:rFonts w:hint="eastAsia"/>
          <w:sz w:val="24"/>
          <w:lang w:val="en-US" w:eastAsia="ja-JP"/>
        </w:rPr>
        <w:t>Search space</w:t>
      </w:r>
      <w:r w:rsidR="003543EF">
        <w:rPr>
          <w:rFonts w:hint="eastAsia"/>
          <w:sz w:val="24"/>
          <w:lang w:val="en-US" w:eastAsia="ja-JP"/>
        </w:rPr>
        <w:t xml:space="preserve"> for</w:t>
      </w:r>
      <w:r w:rsidR="006E1683">
        <w:rPr>
          <w:sz w:val="24"/>
          <w:lang w:val="en-US" w:eastAsia="ja-JP"/>
        </w:rPr>
        <w:t xml:space="preserve"> June drop</w:t>
      </w:r>
      <w:r w:rsidR="003543EF">
        <w:rPr>
          <w:rFonts w:hint="eastAsia"/>
          <w:sz w:val="24"/>
          <w:lang w:val="en-US" w:eastAsia="ja-JP"/>
        </w:rPr>
        <w:t xml:space="preserve"> URLLC</w:t>
      </w:r>
    </w:p>
    <w:bookmarkEnd w:id="2"/>
    <w:bookmarkEnd w:id="3"/>
    <w:bookmarkEnd w:id="4"/>
    <w:bookmarkEnd w:id="5"/>
    <w:p w14:paraId="02FF14B3" w14:textId="1A82E96C"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816BF2">
        <w:rPr>
          <w:sz w:val="24"/>
          <w:lang w:val="en-US" w:eastAsia="ja-JP"/>
        </w:rPr>
        <w:t>3</w:t>
      </w:r>
      <w:r w:rsidR="00E33769" w:rsidRPr="00E33769">
        <w:rPr>
          <w:sz w:val="24"/>
          <w:lang w:val="en-US" w:eastAsia="ja-JP"/>
        </w:rPr>
        <w:t>.</w:t>
      </w:r>
      <w:r w:rsidR="005B147C">
        <w:rPr>
          <w:rFonts w:hint="eastAsia"/>
          <w:sz w:val="24"/>
          <w:lang w:val="en-US" w:eastAsia="ja-JP"/>
        </w:rPr>
        <w:t>1.2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718BD1AC" w14:textId="68E16D3B" w:rsidR="005B147C" w:rsidRDefault="005B147C" w:rsidP="00AB0C9F">
      <w:pPr>
        <w:spacing w:afterLines="50" w:after="120"/>
        <w:jc w:val="both"/>
        <w:rPr>
          <w:rFonts w:eastAsiaTheme="minorEastAsia"/>
          <w:sz w:val="22"/>
        </w:rPr>
      </w:pPr>
      <w:r>
        <w:rPr>
          <w:rFonts w:eastAsiaTheme="minorEastAsia" w:hint="eastAsia"/>
          <w:sz w:val="22"/>
        </w:rPr>
        <w:t xml:space="preserve">In this </w:t>
      </w:r>
      <w:r>
        <w:rPr>
          <w:rFonts w:eastAsiaTheme="minorEastAsia"/>
          <w:sz w:val="22"/>
        </w:rPr>
        <w:t>contribution</w:t>
      </w:r>
      <w:r>
        <w:rPr>
          <w:rFonts w:eastAsiaTheme="minorEastAsia" w:hint="eastAsia"/>
          <w:sz w:val="22"/>
        </w:rPr>
        <w:t>, we discuss search space design</w:t>
      </w:r>
      <w:r w:rsidR="003543EF">
        <w:rPr>
          <w:rFonts w:eastAsiaTheme="minorEastAsia" w:hint="eastAsia"/>
          <w:sz w:val="22"/>
        </w:rPr>
        <w:t xml:space="preserve"> for </w:t>
      </w:r>
      <w:r w:rsidR="006E1683">
        <w:rPr>
          <w:rFonts w:eastAsiaTheme="minorEastAsia"/>
          <w:sz w:val="22"/>
        </w:rPr>
        <w:t xml:space="preserve">June drop </w:t>
      </w:r>
      <w:r w:rsidR="003543EF">
        <w:rPr>
          <w:rFonts w:eastAsiaTheme="minorEastAsia" w:hint="eastAsia"/>
          <w:sz w:val="22"/>
        </w:rPr>
        <w:t>URLLC</w:t>
      </w:r>
      <w:r>
        <w:rPr>
          <w:rFonts w:eastAsiaTheme="minorEastAsia" w:hint="eastAsia"/>
          <w:sz w:val="22"/>
        </w:rPr>
        <w:t>.</w:t>
      </w:r>
    </w:p>
    <w:p w14:paraId="4FD7458F" w14:textId="77777777" w:rsidR="005B147C" w:rsidRPr="005B147C" w:rsidRDefault="005B147C" w:rsidP="00AB0C9F">
      <w:pPr>
        <w:spacing w:afterLines="50" w:after="120"/>
        <w:jc w:val="both"/>
        <w:rPr>
          <w:rFonts w:eastAsiaTheme="minorEastAsia"/>
          <w:sz w:val="22"/>
        </w:rPr>
      </w:pPr>
    </w:p>
    <w:p w14:paraId="72D63D9D" w14:textId="0346D6D0" w:rsidR="00972C4A" w:rsidRPr="00254F50" w:rsidRDefault="003543EF" w:rsidP="00972C4A">
      <w:pPr>
        <w:pStyle w:val="1"/>
        <w:numPr>
          <w:ilvl w:val="0"/>
          <w:numId w:val="6"/>
        </w:numPr>
        <w:spacing w:after="120"/>
        <w:jc w:val="both"/>
        <w:rPr>
          <w:rFonts w:eastAsia="DengXian"/>
          <w:b/>
          <w:lang w:val="en-US" w:eastAsia="zh-CN"/>
        </w:rPr>
      </w:pPr>
      <w:r>
        <w:rPr>
          <w:rFonts w:eastAsiaTheme="minorEastAsia" w:hint="eastAsia"/>
          <w:b/>
          <w:lang w:val="en-US"/>
        </w:rPr>
        <w:t>Limits of PDCCH BDs/CCEs for URLLC</w:t>
      </w:r>
    </w:p>
    <w:p w14:paraId="4FABA19C" w14:textId="4246FE45" w:rsidR="003543EF" w:rsidRDefault="003543EF" w:rsidP="00972C4A">
      <w:pPr>
        <w:spacing w:afterLines="50" w:after="120"/>
        <w:jc w:val="both"/>
        <w:rPr>
          <w:rFonts w:eastAsiaTheme="minorEastAsia"/>
          <w:sz w:val="22"/>
        </w:rPr>
      </w:pPr>
      <w:r>
        <w:rPr>
          <w:rFonts w:eastAsiaTheme="minorEastAsia" w:hint="eastAsia"/>
          <w:sz w:val="22"/>
        </w:rPr>
        <w:t>Limits of PDCCH BDs/CCEs are specified as following</w:t>
      </w:r>
      <w:r w:rsidR="00CB09E2">
        <w:rPr>
          <w:rFonts w:eastAsiaTheme="minorEastAsia"/>
          <w:sz w:val="22"/>
        </w:rPr>
        <w:t xml:space="preserve"> [1]</w:t>
      </w:r>
      <w:r>
        <w:rPr>
          <w:rFonts w:eastAsiaTheme="minorEastAsia" w:hint="eastAsia"/>
          <w:sz w:val="22"/>
        </w:rPr>
        <w:t>:</w:t>
      </w:r>
    </w:p>
    <w:tbl>
      <w:tblPr>
        <w:tblStyle w:val="afc"/>
        <w:tblW w:w="0" w:type="auto"/>
        <w:tblLook w:val="04A0" w:firstRow="1" w:lastRow="0" w:firstColumn="1" w:lastColumn="0" w:noHBand="0" w:noVBand="1"/>
      </w:tblPr>
      <w:tblGrid>
        <w:gridCol w:w="10170"/>
      </w:tblGrid>
      <w:tr w:rsidR="003543EF" w14:paraId="73DF11ED" w14:textId="77777777" w:rsidTr="003543EF">
        <w:tc>
          <w:tcPr>
            <w:tcW w:w="10170" w:type="dxa"/>
          </w:tcPr>
          <w:p w14:paraId="42B5796C" w14:textId="77777777" w:rsidR="00A00961" w:rsidRPr="00B916EC" w:rsidRDefault="00A00961" w:rsidP="00A00961">
            <w:pPr>
              <w:pStyle w:val="TH"/>
            </w:pPr>
            <w:r>
              <w:t>Table 10.1-2</w:t>
            </w:r>
            <w:r w:rsidRPr="00B916EC">
              <w:t xml:space="preserve">: </w:t>
            </w:r>
            <w:r>
              <w:t xml:space="preserve">Maximum number of monitored PDCCH candidates per slot for a single serving cell as a function of the subcarrier spacing value </w:t>
            </w:r>
            <w:r w:rsidR="00FA3714" w:rsidRPr="00B916EC">
              <w:rPr>
                <w:noProof/>
                <w:position w:val="-6"/>
              </w:rPr>
              <w:object w:dxaOrig="580" w:dyaOrig="300" w14:anchorId="4A849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4pt;height:15.6pt;mso-width-percent:0;mso-height-percent:0;mso-width-percent:0;mso-height-percent:0" o:ole="">
                  <v:imagedata r:id="rId9" o:title=""/>
                </v:shape>
                <o:OLEObject Type="Embed" ProgID="Equation.3" ShapeID="_x0000_i1025" DrawAspect="Content" ObjectID="_1587639750" r:id="rId10"/>
              </w:object>
            </w:r>
            <w:r>
              <w:t xml:space="preserve"> kHz, </w:t>
            </w:r>
            <w:r w:rsidR="00FA3714" w:rsidRPr="004826D6">
              <w:rPr>
                <w:noProof/>
                <w:position w:val="-10"/>
              </w:rPr>
              <w:object w:dxaOrig="1080" w:dyaOrig="300" w14:anchorId="5CA453EB">
                <v:shape id="_x0000_i1026" type="#_x0000_t75" alt="" style="width:54.25pt;height:15.6pt;mso-width-percent:0;mso-height-percent:0;mso-width-percent:0;mso-height-percent:0" o:ole="">
                  <v:imagedata r:id="rId11" o:title=""/>
                </v:shape>
                <o:OLEObject Type="Embed" ProgID="Equation.3" ShapeID="_x0000_i1026" DrawAspect="Content" ObjectID="_1587639751" r:id="rId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A00961" w:rsidRPr="00B916EC" w14:paraId="21BD0075" w14:textId="77777777" w:rsidTr="00495FF8">
              <w:trPr>
                <w:cantSplit/>
                <w:jc w:val="center"/>
              </w:trPr>
              <w:tc>
                <w:tcPr>
                  <w:tcW w:w="1465" w:type="dxa"/>
                  <w:shd w:val="clear" w:color="auto" w:fill="E0E0E0"/>
                  <w:vAlign w:val="center"/>
                </w:tcPr>
                <w:p w14:paraId="47000C03" w14:textId="77777777" w:rsidR="00A00961" w:rsidRPr="00B916EC" w:rsidRDefault="00FA3714" w:rsidP="00495FF8">
                  <w:pPr>
                    <w:pStyle w:val="TAH"/>
                    <w:rPr>
                      <w:rFonts w:ascii="Times New Roman" w:hAnsi="Times New Roman"/>
                      <w:sz w:val="20"/>
                    </w:rPr>
                  </w:pPr>
                  <w:r w:rsidRPr="004826D6">
                    <w:rPr>
                      <w:noProof/>
                      <w:position w:val="-10"/>
                    </w:rPr>
                    <w:object w:dxaOrig="220" w:dyaOrig="240" w14:anchorId="27344CAB">
                      <v:shape id="_x0000_i1027" type="#_x0000_t75" alt="" style="width:11.3pt;height:12.9pt;mso-width-percent:0;mso-height-percent:0;mso-width-percent:0;mso-height-percent:0" o:ole="">
                        <v:imagedata r:id="rId13" o:title=""/>
                      </v:shape>
                      <o:OLEObject Type="Embed" ProgID="Equation.3" ShapeID="_x0000_i1027" DrawAspect="Content" ObjectID="_1587639752" r:id="rId14"/>
                    </w:object>
                  </w:r>
                </w:p>
              </w:tc>
              <w:tc>
                <w:tcPr>
                  <w:tcW w:w="6732" w:type="dxa"/>
                  <w:shd w:val="clear" w:color="auto" w:fill="E0E0E0"/>
                  <w:vAlign w:val="center"/>
                </w:tcPr>
                <w:p w14:paraId="67D99884" w14:textId="77777777" w:rsidR="00A00961" w:rsidRPr="00B916EC" w:rsidRDefault="00A00961" w:rsidP="00495FF8">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00FA3714" w:rsidRPr="00205FD5">
                    <w:rPr>
                      <w:noProof/>
                      <w:position w:val="-10"/>
                    </w:rPr>
                    <w:object w:dxaOrig="700" w:dyaOrig="340" w14:anchorId="1C6DFDFC">
                      <v:shape id="_x0000_i1028" type="#_x0000_t75" alt="" style="width:35.45pt;height:17.2pt;mso-width-percent:0;mso-height-percent:0;mso-width-percent:0;mso-height-percent:0" o:ole="">
                        <v:imagedata r:id="rId15" o:title=""/>
                      </v:shape>
                      <o:OLEObject Type="Embed" ProgID="Equation.3" ShapeID="_x0000_i1028" DrawAspect="Content" ObjectID="_1587639753" r:id="rId16"/>
                    </w:object>
                  </w:r>
                </w:p>
              </w:tc>
            </w:tr>
            <w:tr w:rsidR="00A00961" w:rsidRPr="00B916EC" w14:paraId="3526BD45" w14:textId="77777777" w:rsidTr="00495FF8">
              <w:trPr>
                <w:cantSplit/>
                <w:jc w:val="center"/>
              </w:trPr>
              <w:tc>
                <w:tcPr>
                  <w:tcW w:w="1465" w:type="dxa"/>
                  <w:vAlign w:val="center"/>
                </w:tcPr>
                <w:p w14:paraId="6AC74FAF" w14:textId="77777777" w:rsidR="00A00961" w:rsidRPr="00B916EC" w:rsidRDefault="00A00961" w:rsidP="00495FF8">
                  <w:pPr>
                    <w:pStyle w:val="TAC"/>
                  </w:pPr>
                  <w:r>
                    <w:t>0</w:t>
                  </w:r>
                </w:p>
              </w:tc>
              <w:tc>
                <w:tcPr>
                  <w:tcW w:w="6732" w:type="dxa"/>
                  <w:vAlign w:val="center"/>
                </w:tcPr>
                <w:p w14:paraId="7B48DBD7" w14:textId="77777777" w:rsidR="00A00961" w:rsidRPr="00B916EC" w:rsidRDefault="00A00961" w:rsidP="00495FF8">
                  <w:pPr>
                    <w:pStyle w:val="TAC"/>
                  </w:pPr>
                  <w:r w:rsidRPr="00B916EC">
                    <w:t>4</w:t>
                  </w:r>
                  <w:r>
                    <w:t>4</w:t>
                  </w:r>
                </w:p>
              </w:tc>
            </w:tr>
            <w:tr w:rsidR="00A00961" w:rsidRPr="00B916EC" w14:paraId="5A1646DD" w14:textId="77777777" w:rsidTr="00495FF8">
              <w:trPr>
                <w:cantSplit/>
                <w:jc w:val="center"/>
              </w:trPr>
              <w:tc>
                <w:tcPr>
                  <w:tcW w:w="1465" w:type="dxa"/>
                  <w:vAlign w:val="center"/>
                </w:tcPr>
                <w:p w14:paraId="2A37C4C7" w14:textId="77777777" w:rsidR="00A00961" w:rsidRPr="00B916EC" w:rsidRDefault="00A00961" w:rsidP="00495FF8">
                  <w:pPr>
                    <w:pStyle w:val="TAC"/>
                  </w:pPr>
                  <w:r>
                    <w:t>1</w:t>
                  </w:r>
                </w:p>
              </w:tc>
              <w:tc>
                <w:tcPr>
                  <w:tcW w:w="6732" w:type="dxa"/>
                  <w:vAlign w:val="center"/>
                </w:tcPr>
                <w:p w14:paraId="3884CF6C" w14:textId="77777777" w:rsidR="00A00961" w:rsidRPr="00B916EC" w:rsidRDefault="00A00961" w:rsidP="00495FF8">
                  <w:pPr>
                    <w:pStyle w:val="TAC"/>
                  </w:pPr>
                  <w:r>
                    <w:t>36</w:t>
                  </w:r>
                </w:p>
              </w:tc>
            </w:tr>
            <w:tr w:rsidR="00A00961" w:rsidRPr="00B916EC" w14:paraId="3A215D2C" w14:textId="77777777" w:rsidTr="00495FF8">
              <w:trPr>
                <w:cantSplit/>
                <w:jc w:val="center"/>
              </w:trPr>
              <w:tc>
                <w:tcPr>
                  <w:tcW w:w="1465" w:type="dxa"/>
                  <w:vAlign w:val="center"/>
                </w:tcPr>
                <w:p w14:paraId="23A963F4" w14:textId="77777777" w:rsidR="00A00961" w:rsidRPr="00B916EC" w:rsidRDefault="00A00961" w:rsidP="00495FF8">
                  <w:pPr>
                    <w:pStyle w:val="TAC"/>
                  </w:pPr>
                  <w:r>
                    <w:t>2</w:t>
                  </w:r>
                </w:p>
              </w:tc>
              <w:tc>
                <w:tcPr>
                  <w:tcW w:w="6732" w:type="dxa"/>
                  <w:vAlign w:val="center"/>
                </w:tcPr>
                <w:p w14:paraId="346C4F0C" w14:textId="77777777" w:rsidR="00A00961" w:rsidRPr="00B916EC" w:rsidRDefault="00A00961" w:rsidP="00495FF8">
                  <w:pPr>
                    <w:pStyle w:val="TAC"/>
                  </w:pPr>
                  <w:r>
                    <w:t>22</w:t>
                  </w:r>
                </w:p>
              </w:tc>
            </w:tr>
            <w:tr w:rsidR="00A00961" w:rsidRPr="00B916EC" w14:paraId="1E596C58" w14:textId="77777777" w:rsidTr="00495FF8">
              <w:trPr>
                <w:cantSplit/>
                <w:jc w:val="center"/>
              </w:trPr>
              <w:tc>
                <w:tcPr>
                  <w:tcW w:w="1465" w:type="dxa"/>
                  <w:vAlign w:val="center"/>
                </w:tcPr>
                <w:p w14:paraId="2D002459" w14:textId="77777777" w:rsidR="00A00961" w:rsidRDefault="00A00961" w:rsidP="00495FF8">
                  <w:pPr>
                    <w:pStyle w:val="TAC"/>
                  </w:pPr>
                  <w:r>
                    <w:t>3</w:t>
                  </w:r>
                </w:p>
              </w:tc>
              <w:tc>
                <w:tcPr>
                  <w:tcW w:w="6732" w:type="dxa"/>
                  <w:vAlign w:val="center"/>
                </w:tcPr>
                <w:p w14:paraId="797F291E" w14:textId="77777777" w:rsidR="00A00961" w:rsidRDefault="00A00961" w:rsidP="00495FF8">
                  <w:pPr>
                    <w:pStyle w:val="TAC"/>
                  </w:pPr>
                  <w:r>
                    <w:t>20</w:t>
                  </w:r>
                </w:p>
              </w:tc>
            </w:tr>
          </w:tbl>
          <w:p w14:paraId="679E3CF7" w14:textId="77777777" w:rsidR="003543EF" w:rsidRDefault="003543EF" w:rsidP="00972C4A">
            <w:pPr>
              <w:spacing w:afterLines="50" w:after="120"/>
              <w:jc w:val="both"/>
              <w:rPr>
                <w:rFonts w:eastAsiaTheme="minorEastAsia"/>
                <w:sz w:val="22"/>
              </w:rPr>
            </w:pPr>
          </w:p>
          <w:p w14:paraId="51E8B652" w14:textId="77777777" w:rsidR="00A00961" w:rsidRPr="00B916EC" w:rsidRDefault="00A00961" w:rsidP="00A00961">
            <w:pPr>
              <w:pStyle w:val="TH"/>
            </w:pPr>
            <w:r>
              <w:t>Table 10.1-3</w:t>
            </w:r>
            <w:r w:rsidRPr="00B916EC">
              <w:t xml:space="preserve">: </w:t>
            </w:r>
            <w:r>
              <w:t xml:space="preserve">Maximum number of non-overlapped CCEs per slot for a single serving cell as a function of the subcarrier spacing value </w:t>
            </w:r>
            <w:r w:rsidR="00FA3714" w:rsidRPr="00B916EC">
              <w:rPr>
                <w:noProof/>
                <w:position w:val="-6"/>
              </w:rPr>
              <w:object w:dxaOrig="580" w:dyaOrig="300" w14:anchorId="7F002772">
                <v:shape id="_x0000_i1029" type="#_x0000_t75" alt="" style="width:27.4pt;height:15.6pt;mso-width-percent:0;mso-height-percent:0;mso-width-percent:0;mso-height-percent:0" o:ole="">
                  <v:imagedata r:id="rId9" o:title=""/>
                </v:shape>
                <o:OLEObject Type="Embed" ProgID="Equation.3" ShapeID="_x0000_i1029" DrawAspect="Content" ObjectID="_1587639754" r:id="rId17"/>
              </w:object>
            </w:r>
            <w:r>
              <w:t xml:space="preserve"> kHz, </w:t>
            </w:r>
            <w:r w:rsidR="00FA3714" w:rsidRPr="004826D6">
              <w:rPr>
                <w:noProof/>
                <w:position w:val="-10"/>
              </w:rPr>
              <w:object w:dxaOrig="1080" w:dyaOrig="300" w14:anchorId="43F6420A">
                <v:shape id="_x0000_i1030" type="#_x0000_t75" alt="" style="width:54.25pt;height:15.6pt;mso-width-percent:0;mso-height-percent:0;mso-width-percent:0;mso-height-percent:0" o:ole="">
                  <v:imagedata r:id="rId11" o:title=""/>
                </v:shape>
                <o:OLEObject Type="Embed" ProgID="Equation.3" ShapeID="_x0000_i1030" DrawAspect="Content" ObjectID="_1587639755" r:id="rId1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A00961" w:rsidRPr="00BB208D" w14:paraId="7F12EA4F" w14:textId="77777777" w:rsidTr="00495FF8">
              <w:trPr>
                <w:cantSplit/>
                <w:jc w:val="center"/>
              </w:trPr>
              <w:tc>
                <w:tcPr>
                  <w:tcW w:w="1465" w:type="dxa"/>
                  <w:shd w:val="clear" w:color="auto" w:fill="E0E0E0"/>
                  <w:vAlign w:val="center"/>
                </w:tcPr>
                <w:p w14:paraId="67A73E2E" w14:textId="77777777" w:rsidR="00A00961" w:rsidRPr="00B916EC" w:rsidRDefault="00FA3714" w:rsidP="00495FF8">
                  <w:pPr>
                    <w:pStyle w:val="TAH"/>
                    <w:rPr>
                      <w:rFonts w:ascii="Times New Roman" w:hAnsi="Times New Roman"/>
                      <w:sz w:val="20"/>
                    </w:rPr>
                  </w:pPr>
                  <w:r w:rsidRPr="004826D6">
                    <w:rPr>
                      <w:noProof/>
                      <w:position w:val="-10"/>
                    </w:rPr>
                    <w:object w:dxaOrig="220" w:dyaOrig="240" w14:anchorId="59505CC3">
                      <v:shape id="_x0000_i1031" type="#_x0000_t75" alt="" style="width:11.3pt;height:12.9pt;mso-width-percent:0;mso-height-percent:0;mso-width-percent:0;mso-height-percent:0" o:ole="">
                        <v:imagedata r:id="rId13" o:title=""/>
                      </v:shape>
                      <o:OLEObject Type="Embed" ProgID="Equation.3" ShapeID="_x0000_i1031" DrawAspect="Content" ObjectID="_1587639756" r:id="rId19"/>
                    </w:object>
                  </w:r>
                </w:p>
              </w:tc>
              <w:tc>
                <w:tcPr>
                  <w:tcW w:w="6944" w:type="dxa"/>
                  <w:shd w:val="clear" w:color="auto" w:fill="E0E0E0"/>
                  <w:vAlign w:val="center"/>
                </w:tcPr>
                <w:p w14:paraId="1609551D" w14:textId="77777777" w:rsidR="00A00961" w:rsidRPr="00B916EC" w:rsidRDefault="00A00961" w:rsidP="00495FF8">
                  <w:pPr>
                    <w:pStyle w:val="TAH"/>
                    <w:rPr>
                      <w:rFonts w:ascii="Times New Roman" w:hAnsi="Times New Roman"/>
                      <w:sz w:val="20"/>
                    </w:rPr>
                  </w:pPr>
                  <w:r>
                    <w:t>Maximum n</w:t>
                  </w:r>
                  <w:r w:rsidRPr="00B916EC">
                    <w:t xml:space="preserve">umber of </w:t>
                  </w:r>
                  <w:r>
                    <w:t xml:space="preserve">non-overlapped CCEs per slot and per serving cell </w:t>
                  </w:r>
                  <w:r w:rsidR="00FA3714" w:rsidRPr="00701D20">
                    <w:rPr>
                      <w:noProof/>
                      <w:position w:val="-10"/>
                    </w:rPr>
                    <w:object w:dxaOrig="639" w:dyaOrig="340" w14:anchorId="7B038A97">
                      <v:shape id="_x0000_i1032" type="#_x0000_t75" alt="" style="width:32.8pt;height:17.2pt;mso-width-percent:0;mso-height-percent:0;mso-width-percent:0;mso-height-percent:0" o:ole="">
                        <v:imagedata r:id="rId20" o:title=""/>
                      </v:shape>
                      <o:OLEObject Type="Embed" ProgID="Equation.3" ShapeID="_x0000_i1032" DrawAspect="Content" ObjectID="_1587639757" r:id="rId21"/>
                    </w:object>
                  </w:r>
                </w:p>
              </w:tc>
            </w:tr>
            <w:tr w:rsidR="00A00961" w:rsidRPr="00BB208D" w14:paraId="2179AD1A" w14:textId="77777777" w:rsidTr="00495FF8">
              <w:trPr>
                <w:cantSplit/>
                <w:jc w:val="center"/>
              </w:trPr>
              <w:tc>
                <w:tcPr>
                  <w:tcW w:w="1465" w:type="dxa"/>
                  <w:vAlign w:val="center"/>
                </w:tcPr>
                <w:p w14:paraId="13B3E26C" w14:textId="77777777" w:rsidR="00A00961" w:rsidRPr="00B916EC" w:rsidRDefault="00A00961" w:rsidP="00495FF8">
                  <w:pPr>
                    <w:pStyle w:val="TAC"/>
                  </w:pPr>
                  <w:r>
                    <w:t>0</w:t>
                  </w:r>
                </w:p>
              </w:tc>
              <w:tc>
                <w:tcPr>
                  <w:tcW w:w="6944" w:type="dxa"/>
                  <w:vAlign w:val="center"/>
                </w:tcPr>
                <w:p w14:paraId="7701F750" w14:textId="77777777" w:rsidR="00A00961" w:rsidRPr="00B916EC" w:rsidRDefault="00A00961" w:rsidP="00495FF8">
                  <w:pPr>
                    <w:pStyle w:val="TAC"/>
                  </w:pPr>
                  <w:r>
                    <w:t>56</w:t>
                  </w:r>
                </w:p>
              </w:tc>
            </w:tr>
            <w:tr w:rsidR="00A00961" w:rsidRPr="00BB208D" w14:paraId="16B11A80" w14:textId="77777777" w:rsidTr="00495FF8">
              <w:trPr>
                <w:cantSplit/>
                <w:jc w:val="center"/>
              </w:trPr>
              <w:tc>
                <w:tcPr>
                  <w:tcW w:w="1465" w:type="dxa"/>
                  <w:vAlign w:val="center"/>
                </w:tcPr>
                <w:p w14:paraId="53F28DCB" w14:textId="77777777" w:rsidR="00A00961" w:rsidRPr="00B916EC" w:rsidRDefault="00A00961" w:rsidP="00495FF8">
                  <w:pPr>
                    <w:pStyle w:val="TAC"/>
                  </w:pPr>
                  <w:r>
                    <w:t>1</w:t>
                  </w:r>
                </w:p>
              </w:tc>
              <w:tc>
                <w:tcPr>
                  <w:tcW w:w="6944" w:type="dxa"/>
                  <w:vAlign w:val="center"/>
                </w:tcPr>
                <w:p w14:paraId="1B368C4D" w14:textId="77777777" w:rsidR="00A00961" w:rsidRPr="00B916EC" w:rsidRDefault="00A00961" w:rsidP="00495FF8">
                  <w:pPr>
                    <w:pStyle w:val="TAC"/>
                  </w:pPr>
                  <w:r>
                    <w:t>56</w:t>
                  </w:r>
                </w:p>
              </w:tc>
            </w:tr>
            <w:tr w:rsidR="00A00961" w:rsidRPr="00BB208D" w14:paraId="2F79F5B0" w14:textId="77777777" w:rsidTr="00495FF8">
              <w:trPr>
                <w:cantSplit/>
                <w:jc w:val="center"/>
              </w:trPr>
              <w:tc>
                <w:tcPr>
                  <w:tcW w:w="1465" w:type="dxa"/>
                  <w:vAlign w:val="center"/>
                </w:tcPr>
                <w:p w14:paraId="235260A4" w14:textId="77777777" w:rsidR="00A00961" w:rsidRPr="00B916EC" w:rsidRDefault="00A00961" w:rsidP="00495FF8">
                  <w:pPr>
                    <w:pStyle w:val="TAC"/>
                  </w:pPr>
                  <w:r>
                    <w:t>2</w:t>
                  </w:r>
                </w:p>
              </w:tc>
              <w:tc>
                <w:tcPr>
                  <w:tcW w:w="6944" w:type="dxa"/>
                  <w:vAlign w:val="center"/>
                </w:tcPr>
                <w:p w14:paraId="2A5239A3" w14:textId="77777777" w:rsidR="00A00961" w:rsidRPr="00B916EC" w:rsidRDefault="00A00961" w:rsidP="00495FF8">
                  <w:pPr>
                    <w:pStyle w:val="TAC"/>
                  </w:pPr>
                  <w:r>
                    <w:t>48</w:t>
                  </w:r>
                </w:p>
              </w:tc>
            </w:tr>
            <w:tr w:rsidR="00A00961" w:rsidRPr="00BB208D" w14:paraId="5FAD76A3" w14:textId="77777777" w:rsidTr="00495FF8">
              <w:trPr>
                <w:cantSplit/>
                <w:jc w:val="center"/>
              </w:trPr>
              <w:tc>
                <w:tcPr>
                  <w:tcW w:w="1465" w:type="dxa"/>
                  <w:vAlign w:val="center"/>
                </w:tcPr>
                <w:p w14:paraId="74D321BF" w14:textId="77777777" w:rsidR="00A00961" w:rsidRDefault="00A00961" w:rsidP="00495FF8">
                  <w:pPr>
                    <w:pStyle w:val="TAC"/>
                  </w:pPr>
                  <w:r>
                    <w:t>3</w:t>
                  </w:r>
                </w:p>
              </w:tc>
              <w:tc>
                <w:tcPr>
                  <w:tcW w:w="6944" w:type="dxa"/>
                  <w:vAlign w:val="center"/>
                </w:tcPr>
                <w:p w14:paraId="62C2A128" w14:textId="77777777" w:rsidR="00A00961" w:rsidRDefault="00A00961" w:rsidP="00495FF8">
                  <w:pPr>
                    <w:pStyle w:val="TAC"/>
                  </w:pPr>
                  <w:r>
                    <w:t>32</w:t>
                  </w:r>
                </w:p>
              </w:tc>
            </w:tr>
          </w:tbl>
          <w:p w14:paraId="467E3C60" w14:textId="77777777" w:rsidR="00A00961" w:rsidRDefault="00A00961" w:rsidP="00972C4A">
            <w:pPr>
              <w:spacing w:afterLines="50" w:after="120"/>
              <w:jc w:val="both"/>
              <w:rPr>
                <w:rFonts w:eastAsiaTheme="minorEastAsia"/>
                <w:sz w:val="22"/>
              </w:rPr>
            </w:pPr>
          </w:p>
        </w:tc>
      </w:tr>
    </w:tbl>
    <w:p w14:paraId="7524B032" w14:textId="77777777" w:rsidR="003543EF" w:rsidRDefault="003543EF" w:rsidP="00972C4A">
      <w:pPr>
        <w:spacing w:afterLines="50" w:after="120"/>
        <w:jc w:val="both"/>
        <w:rPr>
          <w:rFonts w:eastAsiaTheme="minorEastAsia"/>
          <w:sz w:val="22"/>
        </w:rPr>
      </w:pPr>
    </w:p>
    <w:p w14:paraId="75558208" w14:textId="77777777" w:rsidR="00A00961" w:rsidRDefault="00A00961" w:rsidP="00972C4A">
      <w:pPr>
        <w:spacing w:afterLines="50" w:after="120"/>
        <w:jc w:val="both"/>
        <w:rPr>
          <w:rFonts w:eastAsiaTheme="minorEastAsia"/>
          <w:sz w:val="22"/>
        </w:rPr>
      </w:pPr>
      <w:r>
        <w:rPr>
          <w:rFonts w:eastAsiaTheme="minorEastAsia" w:hint="eastAsia"/>
          <w:sz w:val="22"/>
        </w:rPr>
        <w:t>For URLLC, due to stringent requirements for latency and reliability, PDCCH monitoring should be more frequent.</w:t>
      </w:r>
    </w:p>
    <w:p w14:paraId="1CAD35C4" w14:textId="0F25C110" w:rsidR="00A00961" w:rsidRDefault="00A00961" w:rsidP="00972C4A">
      <w:pPr>
        <w:spacing w:afterLines="50" w:after="120"/>
        <w:jc w:val="both"/>
        <w:rPr>
          <w:rFonts w:eastAsiaTheme="minorEastAsia"/>
          <w:sz w:val="22"/>
        </w:rPr>
      </w:pPr>
      <w:r>
        <w:rPr>
          <w:rFonts w:eastAsiaTheme="minorEastAsia" w:hint="eastAsia"/>
          <w:sz w:val="22"/>
        </w:rPr>
        <w:t>For example, for SCS = 15kHz, PDCCH monitoring should be</w:t>
      </w:r>
      <w:r w:rsidR="007362F6">
        <w:rPr>
          <w:rFonts w:eastAsiaTheme="minorEastAsia" w:hint="eastAsia"/>
          <w:sz w:val="22"/>
        </w:rPr>
        <w:t>, e.g.,</w:t>
      </w:r>
      <w:r>
        <w:rPr>
          <w:rFonts w:eastAsiaTheme="minorEastAsia" w:hint="eastAsia"/>
          <w:sz w:val="22"/>
        </w:rPr>
        <w:t xml:space="preserve"> per 2-symbol. From the above tables, for this case, each PDCCH monitoring occasion can have up to 6 PDCCH candidates and 8 non-overlapped CCEs. Assuming the UE should be able to receive DL </w:t>
      </w:r>
      <w:r>
        <w:rPr>
          <w:rFonts w:eastAsiaTheme="minorEastAsia"/>
          <w:sz w:val="22"/>
        </w:rPr>
        <w:t>assignment</w:t>
      </w:r>
      <w:r>
        <w:rPr>
          <w:rFonts w:eastAsiaTheme="minorEastAsia" w:hint="eastAsia"/>
          <w:sz w:val="22"/>
        </w:rPr>
        <w:t xml:space="preserve"> and UL grant at one time of PDCCH monitoring occasion, each PDCCH (i.e., DL assignment or UL grant) can have up to 4 CCEs. T</w:t>
      </w:r>
      <w:r>
        <w:rPr>
          <w:rFonts w:eastAsiaTheme="minorEastAsia"/>
          <w:sz w:val="22"/>
        </w:rPr>
        <w:t>h</w:t>
      </w:r>
      <w:r>
        <w:rPr>
          <w:rFonts w:eastAsiaTheme="minorEastAsia" w:hint="eastAsia"/>
          <w:sz w:val="22"/>
        </w:rPr>
        <w:t>is means that for this particular case, the PDCCH aggregation level cannot be higher than AL</w:t>
      </w:r>
      <w:r w:rsidR="007362F6">
        <w:rPr>
          <w:rFonts w:eastAsiaTheme="minorEastAsia" w:hint="eastAsia"/>
          <w:sz w:val="22"/>
        </w:rPr>
        <w:t xml:space="preserve"> </w:t>
      </w:r>
      <w:r>
        <w:rPr>
          <w:rFonts w:eastAsiaTheme="minorEastAsia" w:hint="eastAsia"/>
          <w:sz w:val="22"/>
        </w:rPr>
        <w:t>=</w:t>
      </w:r>
      <w:r w:rsidR="007362F6">
        <w:rPr>
          <w:rFonts w:eastAsiaTheme="minorEastAsia" w:hint="eastAsia"/>
          <w:sz w:val="22"/>
        </w:rPr>
        <w:t xml:space="preserve"> </w:t>
      </w:r>
      <w:r>
        <w:rPr>
          <w:rFonts w:eastAsiaTheme="minorEastAsia" w:hint="eastAsia"/>
          <w:sz w:val="22"/>
        </w:rPr>
        <w:t>4.</w:t>
      </w:r>
    </w:p>
    <w:p w14:paraId="1B88D61A" w14:textId="40A53583" w:rsidR="00A00961" w:rsidRDefault="00A00961" w:rsidP="00972C4A">
      <w:pPr>
        <w:spacing w:afterLines="50" w:after="120"/>
        <w:jc w:val="both"/>
        <w:rPr>
          <w:rFonts w:eastAsiaTheme="minorEastAsia"/>
          <w:sz w:val="22"/>
        </w:rPr>
      </w:pPr>
      <w:r>
        <w:rPr>
          <w:rFonts w:eastAsiaTheme="minorEastAsia" w:hint="eastAsia"/>
          <w:sz w:val="22"/>
        </w:rPr>
        <w:t xml:space="preserve">For SCS = 30kHz, </w:t>
      </w:r>
      <w:r w:rsidR="007362F6">
        <w:rPr>
          <w:rFonts w:eastAsiaTheme="minorEastAsia" w:hint="eastAsia"/>
          <w:sz w:val="22"/>
        </w:rPr>
        <w:t>if PDCCH monitoring is per 2-symbol, each PDCCH monitoring occasion can have up to 5 PDCCH candidates and up to 4 CCEs. If PDCCH monitoring is per 4-symbol, each PDCCH monitoring occasion can have up to 9 PDCCH candidates and up to 7 CCEs. This means that for this particular case, the PDCCH aggregation level cannot be higher than AL = 4.</w:t>
      </w:r>
    </w:p>
    <w:p w14:paraId="05524016" w14:textId="3AB91CF1" w:rsidR="007362F6" w:rsidRDefault="007362F6" w:rsidP="00972C4A">
      <w:pPr>
        <w:spacing w:afterLines="50" w:after="120"/>
        <w:jc w:val="both"/>
        <w:rPr>
          <w:rFonts w:eastAsiaTheme="minorEastAsia"/>
          <w:sz w:val="22"/>
        </w:rPr>
      </w:pPr>
      <w:r>
        <w:rPr>
          <w:rFonts w:eastAsiaTheme="minorEastAsia" w:hint="eastAsia"/>
          <w:sz w:val="22"/>
        </w:rPr>
        <w:t xml:space="preserve">Overall, it is </w:t>
      </w:r>
      <w:r>
        <w:rPr>
          <w:rFonts w:eastAsiaTheme="minorEastAsia"/>
          <w:sz w:val="22"/>
        </w:rPr>
        <w:t>observed</w:t>
      </w:r>
      <w:r>
        <w:rPr>
          <w:rFonts w:eastAsiaTheme="minorEastAsia" w:hint="eastAsia"/>
          <w:sz w:val="22"/>
        </w:rPr>
        <w:t xml:space="preserve"> that due to the limit of CCEs for channel estimation, each PDCCH cannot have higher aggregation level</w:t>
      </w:r>
      <w:r w:rsidR="00A73761">
        <w:rPr>
          <w:rFonts w:eastAsiaTheme="minorEastAsia"/>
          <w:sz w:val="22"/>
        </w:rPr>
        <w:t xml:space="preserve"> e.g., AL8 or AL16</w:t>
      </w:r>
      <w:r>
        <w:rPr>
          <w:rFonts w:eastAsiaTheme="minorEastAsia" w:hint="eastAsia"/>
          <w:sz w:val="22"/>
        </w:rPr>
        <w:t>.</w:t>
      </w:r>
      <w:r w:rsidR="00016CBF">
        <w:rPr>
          <w:rFonts w:eastAsiaTheme="minorEastAsia" w:hint="eastAsia"/>
          <w:sz w:val="22"/>
        </w:rPr>
        <w:t xml:space="preserve"> The question is whether the PDCCH with AL of up to 4 can meet the URLLC requirement.</w:t>
      </w:r>
    </w:p>
    <w:p w14:paraId="0A39E5C3" w14:textId="18B67FD6" w:rsidR="00016CBF" w:rsidRDefault="00016CBF" w:rsidP="00972C4A">
      <w:pPr>
        <w:spacing w:afterLines="50" w:after="120"/>
        <w:jc w:val="both"/>
        <w:rPr>
          <w:rFonts w:eastAsiaTheme="minorEastAsia"/>
          <w:sz w:val="22"/>
        </w:rPr>
      </w:pPr>
      <w:r>
        <w:rPr>
          <w:rFonts w:eastAsiaTheme="minorEastAsia" w:hint="eastAsia"/>
          <w:sz w:val="22"/>
        </w:rPr>
        <w:lastRenderedPageBreak/>
        <w:t xml:space="preserve">Following figure 1 shows average BLER performance of PDCCH with different ALs. DCI size of 40 bits is assumed. </w:t>
      </w:r>
      <w:r w:rsidR="001D04CB">
        <w:rPr>
          <w:rFonts w:eastAsiaTheme="minorEastAsia" w:hint="eastAsia"/>
          <w:sz w:val="22"/>
        </w:rPr>
        <w:t>For Case 1, carrier frequency of 700MHz and 2 Tx + 2</w:t>
      </w:r>
      <w:r w:rsidR="000F6A09">
        <w:rPr>
          <w:rFonts w:eastAsiaTheme="minorEastAsia" w:hint="eastAsia"/>
          <w:sz w:val="22"/>
        </w:rPr>
        <w:t xml:space="preserve"> </w:t>
      </w:r>
      <w:r w:rsidR="001D04CB">
        <w:rPr>
          <w:rFonts w:eastAsiaTheme="minorEastAsia" w:hint="eastAsia"/>
          <w:sz w:val="22"/>
        </w:rPr>
        <w:t>Rx are assumed. For case 2, carrier frequency of 4GHz and 2 Tx + 4 Rx are assumed. As can be seen in the figure, PDCCH with AL = 4 cannot achieve BLER 10-5 with SNR less t</w:t>
      </w:r>
      <w:r w:rsidR="00AA19FA">
        <w:rPr>
          <w:rFonts w:eastAsiaTheme="minorEastAsia" w:hint="eastAsia"/>
          <w:sz w:val="22"/>
        </w:rPr>
        <w:t xml:space="preserve">han </w:t>
      </w:r>
      <w:r w:rsidR="001D04CB">
        <w:rPr>
          <w:rFonts w:eastAsiaTheme="minorEastAsia" w:hint="eastAsia"/>
          <w:sz w:val="22"/>
        </w:rPr>
        <w:t>2dB</w:t>
      </w:r>
      <w:r w:rsidR="00AA19FA">
        <w:rPr>
          <w:rFonts w:eastAsiaTheme="minorEastAsia" w:hint="eastAsia"/>
          <w:sz w:val="22"/>
        </w:rPr>
        <w:t xml:space="preserve"> for case 1 and -2dB for case 2</w:t>
      </w:r>
      <w:r w:rsidR="00A73761">
        <w:rPr>
          <w:rFonts w:eastAsiaTheme="minorEastAsia"/>
          <w:sz w:val="22"/>
        </w:rPr>
        <w:t>, respectively</w:t>
      </w:r>
      <w:r w:rsidR="001D04CB">
        <w:rPr>
          <w:rFonts w:eastAsiaTheme="minorEastAsia" w:hint="eastAsia"/>
          <w:sz w:val="22"/>
        </w:rPr>
        <w:t xml:space="preserve">. </w:t>
      </w:r>
      <w:r w:rsidR="00A73761">
        <w:rPr>
          <w:rFonts w:eastAsiaTheme="minorEastAsia"/>
          <w:sz w:val="22"/>
        </w:rPr>
        <w:t>Higher AL can improve the performance, but as discussed above, higher AL is not available due to the limit of number of CCEs for channel estimation. Alternatively, p</w:t>
      </w:r>
      <w:r w:rsidR="00AA19FA">
        <w:rPr>
          <w:rFonts w:eastAsiaTheme="minorEastAsia" w:hint="eastAsia"/>
          <w:sz w:val="22"/>
        </w:rPr>
        <w:t xml:space="preserve">ower boosting is </w:t>
      </w:r>
      <w:r w:rsidR="00A73761">
        <w:rPr>
          <w:rFonts w:eastAsiaTheme="minorEastAsia"/>
          <w:sz w:val="22"/>
        </w:rPr>
        <w:t xml:space="preserve">also able </w:t>
      </w:r>
      <w:r w:rsidR="00AA19FA">
        <w:rPr>
          <w:rFonts w:eastAsiaTheme="minorEastAsia" w:hint="eastAsia"/>
          <w:sz w:val="22"/>
        </w:rPr>
        <w:t xml:space="preserve">to improve the </w:t>
      </w:r>
      <w:r w:rsidR="00A73761">
        <w:rPr>
          <w:rFonts w:eastAsiaTheme="minorEastAsia"/>
          <w:sz w:val="22"/>
        </w:rPr>
        <w:t xml:space="preserve">BLER </w:t>
      </w:r>
      <w:r w:rsidR="00AA19FA">
        <w:rPr>
          <w:rFonts w:eastAsiaTheme="minorEastAsia" w:hint="eastAsia"/>
          <w:sz w:val="22"/>
        </w:rPr>
        <w:t xml:space="preserve">performance. However, power boosting is not always </w:t>
      </w:r>
      <w:r w:rsidR="00AA19FA">
        <w:rPr>
          <w:rFonts w:eastAsiaTheme="minorEastAsia"/>
          <w:sz w:val="22"/>
        </w:rPr>
        <w:t>available</w:t>
      </w:r>
      <w:r w:rsidR="00AA19FA">
        <w:rPr>
          <w:rFonts w:eastAsiaTheme="minorEastAsia" w:hint="eastAsia"/>
          <w:sz w:val="22"/>
        </w:rPr>
        <w:t xml:space="preserve">. Besides, </w:t>
      </w:r>
      <w:r w:rsidR="00A73761">
        <w:rPr>
          <w:rFonts w:eastAsiaTheme="minorEastAsia"/>
          <w:sz w:val="22"/>
        </w:rPr>
        <w:t>x dB power boosting improves performance purely by x dB; unlike higher AL, frequency-diversity gain or coding gain is not achievable.</w:t>
      </w:r>
    </w:p>
    <w:p w14:paraId="14A2BCBF" w14:textId="77777777" w:rsidR="00832803" w:rsidRDefault="00832803" w:rsidP="00972C4A">
      <w:pPr>
        <w:spacing w:afterLines="50" w:after="120"/>
        <w:jc w:val="both"/>
        <w:rPr>
          <w:rFonts w:eastAsiaTheme="minorEastAsia"/>
          <w:sz w:val="22"/>
        </w:rPr>
      </w:pPr>
    </w:p>
    <w:p w14:paraId="69803E9C" w14:textId="64D2B3B1" w:rsidR="007362F6" w:rsidRDefault="007362F6" w:rsidP="00016CBF">
      <w:pPr>
        <w:spacing w:afterLines="50" w:after="120"/>
        <w:jc w:val="center"/>
        <w:rPr>
          <w:rFonts w:eastAsiaTheme="minorEastAsia"/>
          <w:sz w:val="22"/>
        </w:rPr>
      </w:pPr>
      <w:r w:rsidRPr="007362F6">
        <w:rPr>
          <w:rFonts w:hint="eastAsia"/>
          <w:noProof/>
          <w:lang w:val="en-US"/>
        </w:rPr>
        <w:drawing>
          <wp:inline distT="0" distB="0" distL="0" distR="0" wp14:anchorId="36E100D9" wp14:editId="6803E6AB">
            <wp:extent cx="2981520" cy="27849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81520" cy="2784960"/>
                    </a:xfrm>
                    <a:prstGeom prst="rect">
                      <a:avLst/>
                    </a:prstGeom>
                    <a:noFill/>
                    <a:ln>
                      <a:noFill/>
                    </a:ln>
                  </pic:spPr>
                </pic:pic>
              </a:graphicData>
            </a:graphic>
          </wp:inline>
        </w:drawing>
      </w:r>
      <w:r w:rsidR="00016CBF">
        <w:rPr>
          <w:rFonts w:eastAsiaTheme="minorEastAsia" w:hint="eastAsia"/>
          <w:sz w:val="22"/>
        </w:rPr>
        <w:tab/>
      </w:r>
      <w:r w:rsidRPr="007362F6">
        <w:rPr>
          <w:rFonts w:hint="eastAsia"/>
          <w:noProof/>
          <w:lang w:val="en-US"/>
        </w:rPr>
        <w:drawing>
          <wp:inline distT="0" distB="0" distL="0" distR="0" wp14:anchorId="5D2A97A5" wp14:editId="78B51B70">
            <wp:extent cx="2981520" cy="278496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81520" cy="2784960"/>
                    </a:xfrm>
                    <a:prstGeom prst="rect">
                      <a:avLst/>
                    </a:prstGeom>
                    <a:noFill/>
                    <a:ln>
                      <a:noFill/>
                    </a:ln>
                  </pic:spPr>
                </pic:pic>
              </a:graphicData>
            </a:graphic>
          </wp:inline>
        </w:drawing>
      </w:r>
    </w:p>
    <w:p w14:paraId="0663B26C" w14:textId="66947835" w:rsidR="003543EF" w:rsidRDefault="00016CBF" w:rsidP="00016CBF">
      <w:pPr>
        <w:spacing w:afterLines="50" w:after="120"/>
        <w:jc w:val="center"/>
        <w:rPr>
          <w:rFonts w:eastAsiaTheme="minorEastAsia"/>
          <w:sz w:val="22"/>
        </w:rPr>
      </w:pPr>
      <w:r>
        <w:rPr>
          <w:rFonts w:eastAsiaTheme="minorEastAsia" w:hint="eastAsia"/>
          <w:sz w:val="22"/>
        </w:rPr>
        <w:t>(a) Case 1</w:t>
      </w:r>
      <w:r>
        <w:rPr>
          <w:rFonts w:eastAsiaTheme="minorEastAsia" w:hint="eastAsia"/>
          <w:sz w:val="22"/>
        </w:rPr>
        <w:tab/>
      </w:r>
      <w:r>
        <w:rPr>
          <w:rFonts w:eastAsiaTheme="minorEastAsia" w:hint="eastAsia"/>
          <w:sz w:val="22"/>
        </w:rPr>
        <w:tab/>
      </w:r>
      <w:r>
        <w:rPr>
          <w:rFonts w:eastAsiaTheme="minorEastAsia" w:hint="eastAsia"/>
          <w:sz w:val="22"/>
        </w:rPr>
        <w:tab/>
      </w:r>
      <w:r>
        <w:rPr>
          <w:rFonts w:eastAsiaTheme="minorEastAsia" w:hint="eastAsia"/>
          <w:sz w:val="22"/>
        </w:rPr>
        <w:tab/>
      </w:r>
      <w:r>
        <w:rPr>
          <w:rFonts w:eastAsiaTheme="minorEastAsia" w:hint="eastAsia"/>
          <w:sz w:val="22"/>
        </w:rPr>
        <w:tab/>
      </w:r>
      <w:r>
        <w:rPr>
          <w:rFonts w:eastAsiaTheme="minorEastAsia" w:hint="eastAsia"/>
          <w:sz w:val="22"/>
        </w:rPr>
        <w:tab/>
        <w:t>(b) Case 2</w:t>
      </w:r>
    </w:p>
    <w:p w14:paraId="68D464AA" w14:textId="3726BEAD" w:rsidR="00016CBF" w:rsidRPr="00A00961" w:rsidRDefault="00016CBF" w:rsidP="00016CBF">
      <w:pPr>
        <w:spacing w:afterLines="50" w:after="120"/>
        <w:jc w:val="center"/>
        <w:rPr>
          <w:rFonts w:eastAsiaTheme="minorEastAsia"/>
          <w:sz w:val="22"/>
        </w:rPr>
      </w:pPr>
      <w:r>
        <w:rPr>
          <w:rFonts w:eastAsiaTheme="minorEastAsia" w:hint="eastAsia"/>
          <w:sz w:val="22"/>
        </w:rPr>
        <w:t>Fig. 1</w:t>
      </w:r>
      <w:r>
        <w:rPr>
          <w:rFonts w:eastAsiaTheme="minorEastAsia" w:hint="eastAsia"/>
          <w:sz w:val="22"/>
        </w:rPr>
        <w:tab/>
        <w:t>PDCCH BLER performances as a function of average received SNR per receive antenna.</w:t>
      </w:r>
    </w:p>
    <w:p w14:paraId="646DC26B" w14:textId="77777777" w:rsidR="00016CBF" w:rsidRDefault="00016CBF" w:rsidP="00972C4A">
      <w:pPr>
        <w:spacing w:afterLines="50" w:after="120"/>
        <w:jc w:val="both"/>
        <w:rPr>
          <w:rFonts w:eastAsiaTheme="minorEastAsia"/>
          <w:sz w:val="22"/>
        </w:rPr>
      </w:pPr>
    </w:p>
    <w:p w14:paraId="357DFB5D" w14:textId="792AB7ED" w:rsidR="00D96111" w:rsidRDefault="00A73761" w:rsidP="00D96111">
      <w:pPr>
        <w:spacing w:afterLines="50" w:after="120"/>
        <w:jc w:val="both"/>
        <w:rPr>
          <w:rFonts w:eastAsiaTheme="minorEastAsia"/>
          <w:sz w:val="22"/>
        </w:rPr>
      </w:pPr>
      <w:r>
        <w:rPr>
          <w:rFonts w:eastAsiaTheme="minorEastAsia"/>
          <w:sz w:val="22"/>
        </w:rPr>
        <w:t>Therefore, we consider that at least two PDCCH candidates with AL8 should be available at each PDCCH monitoring occasion. With AL8 in case 2, BLER=10</w:t>
      </w:r>
      <w:r w:rsidRPr="00A73761">
        <w:rPr>
          <w:rFonts w:eastAsiaTheme="minorEastAsia"/>
          <w:sz w:val="22"/>
          <w:vertAlign w:val="superscript"/>
        </w:rPr>
        <w:t>-5</w:t>
      </w:r>
      <w:r>
        <w:rPr>
          <w:rFonts w:eastAsiaTheme="minorEastAsia"/>
          <w:sz w:val="22"/>
        </w:rPr>
        <w:t xml:space="preserve"> is achievable with operating SNR of around -5dB. In case 1, operating SNR is around -1dB, but 3dB power-boosting can realize 3dB performance improvement. Hence, </w:t>
      </w:r>
      <w:r w:rsidR="00D96111">
        <w:rPr>
          <w:rFonts w:eastAsiaTheme="minorEastAsia" w:hint="eastAsia"/>
          <w:sz w:val="22"/>
        </w:rPr>
        <w:t>we think at least AL = 8 should be available for PDCCH for URLLC operation. Assuming minimum two PDCCH candidates with AL = 8 are monitored, number of non-overlapped CCEs for URLLC should be extended to</w:t>
      </w:r>
      <w:r w:rsidR="00D96111" w:rsidRPr="00D96111">
        <w:rPr>
          <w:rFonts w:eastAsiaTheme="minorEastAsia" w:hint="eastAsia"/>
          <w:sz w:val="22"/>
        </w:rPr>
        <w:t xml:space="preserve"> 112</w:t>
      </w:r>
      <w:r w:rsidR="00D96111">
        <w:rPr>
          <w:rFonts w:eastAsiaTheme="minorEastAsia" w:hint="eastAsia"/>
          <w:sz w:val="22"/>
        </w:rPr>
        <w:t xml:space="preserve">, where 112 comes from </w:t>
      </w:r>
      <w:r w:rsidR="006E1683">
        <w:rPr>
          <w:rFonts w:eastAsiaTheme="minorEastAsia"/>
          <w:sz w:val="22"/>
        </w:rPr>
        <w:t>(</w:t>
      </w:r>
      <w:r w:rsidR="00D96111" w:rsidRPr="00D96111">
        <w:rPr>
          <w:rFonts w:eastAsiaTheme="minorEastAsia" w:hint="eastAsia"/>
          <w:sz w:val="22"/>
        </w:rPr>
        <w:t>2 candidates</w:t>
      </w:r>
      <w:r w:rsidR="006E1683">
        <w:rPr>
          <w:rFonts w:eastAsiaTheme="minorEastAsia"/>
          <w:sz w:val="22"/>
        </w:rPr>
        <w:t>)</w:t>
      </w:r>
      <w:r w:rsidR="00D96111" w:rsidRPr="00D96111">
        <w:rPr>
          <w:rFonts w:eastAsiaTheme="minorEastAsia" w:hint="eastAsia"/>
          <w:sz w:val="22"/>
        </w:rPr>
        <w:t xml:space="preserve"> x </w:t>
      </w:r>
      <w:r w:rsidR="006E1683">
        <w:rPr>
          <w:rFonts w:eastAsiaTheme="minorEastAsia"/>
          <w:sz w:val="22"/>
        </w:rPr>
        <w:t>(</w:t>
      </w:r>
      <w:r w:rsidR="00D96111" w:rsidRPr="00D96111">
        <w:rPr>
          <w:rFonts w:eastAsiaTheme="minorEastAsia" w:hint="eastAsia"/>
          <w:sz w:val="22"/>
        </w:rPr>
        <w:t xml:space="preserve">AL </w:t>
      </w:r>
      <w:r w:rsidR="006E1683">
        <w:rPr>
          <w:rFonts w:eastAsiaTheme="minorEastAsia"/>
          <w:sz w:val="22"/>
        </w:rPr>
        <w:t>of</w:t>
      </w:r>
      <w:r w:rsidR="006E1683" w:rsidRPr="00D96111">
        <w:rPr>
          <w:rFonts w:eastAsiaTheme="minorEastAsia" w:hint="eastAsia"/>
          <w:sz w:val="22"/>
        </w:rPr>
        <w:t xml:space="preserve"> </w:t>
      </w:r>
      <w:r w:rsidR="00D96111" w:rsidRPr="00D96111">
        <w:rPr>
          <w:rFonts w:eastAsiaTheme="minorEastAsia" w:hint="eastAsia"/>
          <w:sz w:val="22"/>
        </w:rPr>
        <w:t>8</w:t>
      </w:r>
      <w:r w:rsidR="006E1683">
        <w:rPr>
          <w:rFonts w:eastAsiaTheme="minorEastAsia"/>
          <w:sz w:val="22"/>
        </w:rPr>
        <w:t>)</w:t>
      </w:r>
      <w:r w:rsidR="00D96111" w:rsidRPr="00D96111">
        <w:rPr>
          <w:rFonts w:eastAsiaTheme="minorEastAsia" w:hint="eastAsia"/>
          <w:sz w:val="22"/>
        </w:rPr>
        <w:t xml:space="preserve"> x </w:t>
      </w:r>
      <w:r w:rsidR="006E1683">
        <w:rPr>
          <w:rFonts w:eastAsiaTheme="minorEastAsia"/>
          <w:sz w:val="22"/>
        </w:rPr>
        <w:t>(</w:t>
      </w:r>
      <w:r w:rsidR="00D96111" w:rsidRPr="00D96111">
        <w:rPr>
          <w:rFonts w:eastAsiaTheme="minorEastAsia" w:hint="eastAsia"/>
          <w:sz w:val="22"/>
        </w:rPr>
        <w:t>7 monitoring occasions</w:t>
      </w:r>
      <w:r w:rsidR="006E1683">
        <w:rPr>
          <w:rFonts w:eastAsiaTheme="minorEastAsia"/>
          <w:sz w:val="22"/>
        </w:rPr>
        <w:t>)</w:t>
      </w:r>
      <w:r w:rsidR="00D96111">
        <w:rPr>
          <w:rFonts w:eastAsiaTheme="minorEastAsia" w:hint="eastAsia"/>
          <w:sz w:val="22"/>
        </w:rPr>
        <w:t>.</w:t>
      </w:r>
    </w:p>
    <w:p w14:paraId="01C7CF6C" w14:textId="77777777" w:rsidR="00D96111" w:rsidRPr="00D96111" w:rsidRDefault="00D96111" w:rsidP="00D96111">
      <w:pPr>
        <w:spacing w:afterLines="50" w:after="120"/>
        <w:jc w:val="both"/>
        <w:rPr>
          <w:rFonts w:eastAsiaTheme="minorEastAsia"/>
          <w:sz w:val="22"/>
        </w:rPr>
      </w:pPr>
    </w:p>
    <w:p w14:paraId="13EEE505" w14:textId="51110780" w:rsidR="0099480F" w:rsidRPr="0099480F" w:rsidRDefault="0099480F" w:rsidP="00972C4A">
      <w:pPr>
        <w:spacing w:afterLines="50" w:after="120"/>
        <w:jc w:val="both"/>
        <w:rPr>
          <w:rFonts w:eastAsiaTheme="minorEastAsia"/>
          <w:b/>
          <w:sz w:val="22"/>
          <w:u w:val="single"/>
        </w:rPr>
      </w:pPr>
      <w:r w:rsidRPr="0099480F">
        <w:rPr>
          <w:rFonts w:eastAsiaTheme="minorEastAsia" w:hint="eastAsia"/>
          <w:b/>
          <w:sz w:val="22"/>
          <w:u w:val="single"/>
        </w:rPr>
        <w:t>Proposal 1:</w:t>
      </w:r>
    </w:p>
    <w:p w14:paraId="4ED4B42D" w14:textId="029ECD08" w:rsidR="0099480F" w:rsidRPr="0099480F" w:rsidRDefault="0099480F" w:rsidP="0099480F">
      <w:pPr>
        <w:pStyle w:val="afe"/>
        <w:numPr>
          <w:ilvl w:val="0"/>
          <w:numId w:val="21"/>
        </w:numPr>
        <w:spacing w:afterLines="50" w:after="120"/>
        <w:ind w:leftChars="0"/>
        <w:jc w:val="both"/>
        <w:rPr>
          <w:rFonts w:eastAsiaTheme="minorEastAsia"/>
          <w:i/>
          <w:sz w:val="22"/>
        </w:rPr>
      </w:pPr>
      <w:r w:rsidRPr="0099480F">
        <w:rPr>
          <w:rFonts w:eastAsiaTheme="minorEastAsia" w:hint="eastAsia"/>
          <w:i/>
          <w:sz w:val="22"/>
        </w:rPr>
        <w:t xml:space="preserve">For </w:t>
      </w:r>
      <w:r w:rsidR="00D96111">
        <w:rPr>
          <w:rFonts w:eastAsiaTheme="minorEastAsia" w:hint="eastAsia"/>
          <w:i/>
          <w:sz w:val="22"/>
        </w:rPr>
        <w:t>June drop URLLC, maximum number of non-overlapped CCEs per slot for a single serving cell with SCS = 15kHz and 30kHz is extended to 112</w:t>
      </w:r>
      <w:r w:rsidRPr="0099480F">
        <w:rPr>
          <w:rFonts w:eastAsiaTheme="minorEastAsia" w:hint="eastAsia"/>
          <w:i/>
          <w:sz w:val="22"/>
        </w:rPr>
        <w:t>.</w:t>
      </w:r>
    </w:p>
    <w:p w14:paraId="41CA1A1C" w14:textId="59659B92" w:rsidR="00D55DE5" w:rsidRPr="008305C6" w:rsidRDefault="00D55DE5" w:rsidP="008305C6">
      <w:pPr>
        <w:pStyle w:val="afe"/>
        <w:ind w:leftChars="0" w:left="0"/>
        <w:jc w:val="both"/>
        <w:rPr>
          <w:rFonts w:eastAsiaTheme="minorEastAsia"/>
          <w:sz w:val="22"/>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D41E29A" w14:textId="7DC9FFB5" w:rsidR="00096E6F" w:rsidRDefault="006E1683" w:rsidP="00D5166A">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discussed the </w:t>
      </w:r>
      <w:r w:rsidR="00CB09E2">
        <w:rPr>
          <w:rFonts w:eastAsia="SimSun"/>
          <w:sz w:val="22"/>
          <w:szCs w:val="22"/>
          <w:lang w:eastAsia="zh-CN"/>
        </w:rPr>
        <w:t xml:space="preserve">limits of PDCCH BDs/CCEs for </w:t>
      </w:r>
      <w:r w:rsidR="00CB09E2" w:rsidRPr="00CB09E2">
        <w:rPr>
          <w:rFonts w:eastAsia="SimSun"/>
          <w:sz w:val="22"/>
          <w:szCs w:val="22"/>
          <w:lang w:eastAsia="zh-CN"/>
        </w:rPr>
        <w:t>URLLC</w:t>
      </w:r>
      <w:r w:rsidR="00CB09E2">
        <w:rPr>
          <w:rFonts w:eastAsia="SimSun"/>
          <w:sz w:val="22"/>
          <w:szCs w:val="22"/>
          <w:lang w:eastAsia="zh-CN"/>
        </w:rPr>
        <w:t xml:space="preserve"> </w:t>
      </w:r>
      <w:r w:rsidR="00CB09E2">
        <w:rPr>
          <w:rFonts w:eastAsia="SimSun" w:hint="eastAsia"/>
          <w:sz w:val="22"/>
          <w:szCs w:val="22"/>
          <w:lang w:eastAsia="zh-CN"/>
        </w:rPr>
        <w:t>and proposed following:</w:t>
      </w:r>
    </w:p>
    <w:p w14:paraId="1BA8922F" w14:textId="77777777" w:rsidR="00CB09E2" w:rsidRPr="0099480F" w:rsidRDefault="00CB09E2" w:rsidP="00CB09E2">
      <w:pPr>
        <w:spacing w:afterLines="50" w:after="120"/>
        <w:jc w:val="both"/>
        <w:rPr>
          <w:rFonts w:eastAsiaTheme="minorEastAsia"/>
          <w:b/>
          <w:sz w:val="22"/>
          <w:u w:val="single"/>
        </w:rPr>
      </w:pPr>
      <w:r w:rsidRPr="0099480F">
        <w:rPr>
          <w:rFonts w:eastAsiaTheme="minorEastAsia" w:hint="eastAsia"/>
          <w:b/>
          <w:sz w:val="22"/>
          <w:u w:val="single"/>
        </w:rPr>
        <w:t>Proposal 1:</w:t>
      </w:r>
    </w:p>
    <w:p w14:paraId="2CFCDF54" w14:textId="77777777" w:rsidR="00CB09E2" w:rsidRPr="0099480F" w:rsidRDefault="00CB09E2" w:rsidP="00CB09E2">
      <w:pPr>
        <w:pStyle w:val="afe"/>
        <w:numPr>
          <w:ilvl w:val="0"/>
          <w:numId w:val="21"/>
        </w:numPr>
        <w:spacing w:afterLines="50" w:after="120"/>
        <w:ind w:leftChars="0"/>
        <w:jc w:val="both"/>
        <w:rPr>
          <w:rFonts w:eastAsiaTheme="minorEastAsia"/>
          <w:i/>
          <w:sz w:val="22"/>
        </w:rPr>
      </w:pPr>
      <w:r w:rsidRPr="0099480F">
        <w:rPr>
          <w:rFonts w:eastAsiaTheme="minorEastAsia" w:hint="eastAsia"/>
          <w:i/>
          <w:sz w:val="22"/>
        </w:rPr>
        <w:t xml:space="preserve">For </w:t>
      </w:r>
      <w:r>
        <w:rPr>
          <w:rFonts w:eastAsiaTheme="minorEastAsia" w:hint="eastAsia"/>
          <w:i/>
          <w:sz w:val="22"/>
        </w:rPr>
        <w:t>June drop URLLC, maximum number of non-overlapped CCEs per slot for a single serving cell with SCS = 15kHz and 30kHz is extended to 112</w:t>
      </w:r>
      <w:r w:rsidRPr="0099480F">
        <w:rPr>
          <w:rFonts w:eastAsiaTheme="minorEastAsia" w:hint="eastAsia"/>
          <w:i/>
          <w:sz w:val="22"/>
        </w:rPr>
        <w:t>.</w:t>
      </w:r>
    </w:p>
    <w:p w14:paraId="5134DDD9" w14:textId="77777777" w:rsidR="00E23DF0" w:rsidRPr="007B3BA0" w:rsidRDefault="00E23DF0" w:rsidP="00E23DF0">
      <w:pPr>
        <w:pStyle w:val="1"/>
        <w:spacing w:after="120"/>
        <w:jc w:val="both"/>
        <w:rPr>
          <w:b/>
          <w:lang w:val="en-US"/>
        </w:rPr>
      </w:pPr>
      <w:r w:rsidRPr="007B3BA0">
        <w:rPr>
          <w:b/>
          <w:lang w:val="en-US"/>
        </w:rPr>
        <w:lastRenderedPageBreak/>
        <w:t>References</w:t>
      </w:r>
    </w:p>
    <w:p w14:paraId="218B176B" w14:textId="6BAA03B1" w:rsidR="00F93909" w:rsidRPr="00F93909" w:rsidRDefault="00F93909" w:rsidP="0036158F">
      <w:pPr>
        <w:widowControl w:val="0"/>
        <w:numPr>
          <w:ilvl w:val="0"/>
          <w:numId w:val="4"/>
        </w:numPr>
        <w:spacing w:after="120"/>
        <w:jc w:val="both"/>
        <w:rPr>
          <w:sz w:val="22"/>
          <w:szCs w:val="22"/>
          <w:lang w:val="en-US"/>
        </w:rPr>
      </w:pPr>
      <w:r>
        <w:rPr>
          <w:rFonts w:eastAsia="SimSun"/>
          <w:sz w:val="22"/>
          <w:lang w:val="en-US" w:eastAsia="zh-CN"/>
        </w:rPr>
        <w:t xml:space="preserve">3GPP, </w:t>
      </w:r>
      <w:r w:rsidR="00CB09E2">
        <w:rPr>
          <w:rFonts w:eastAsia="SimSun"/>
          <w:sz w:val="22"/>
          <w:lang w:val="en-US" w:eastAsia="zh-CN"/>
        </w:rPr>
        <w:t>TS 38.213</w:t>
      </w:r>
      <w:r>
        <w:rPr>
          <w:rFonts w:eastAsia="SimSun"/>
          <w:sz w:val="22"/>
          <w:lang w:val="en-US" w:eastAsia="zh-CN"/>
        </w:rPr>
        <w:t>.</w:t>
      </w:r>
    </w:p>
    <w:p w14:paraId="4177A416" w14:textId="77777777" w:rsidR="00B1461C" w:rsidRPr="00B1461C" w:rsidRDefault="00B1461C" w:rsidP="00B1461C">
      <w:pPr>
        <w:widowControl w:val="0"/>
        <w:spacing w:after="120"/>
        <w:jc w:val="both"/>
        <w:rPr>
          <w:sz w:val="22"/>
          <w:szCs w:val="22"/>
          <w:lang w:val="en-US"/>
        </w:rPr>
      </w:pPr>
    </w:p>
    <w:sectPr w:rsidR="00B1461C" w:rsidRPr="00B1461C">
      <w:footerReference w:type="default" r:id="rId2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1BE073" w14:textId="77777777" w:rsidR="00961AEA" w:rsidRDefault="00961AEA">
      <w:r>
        <w:separator/>
      </w:r>
    </w:p>
  </w:endnote>
  <w:endnote w:type="continuationSeparator" w:id="0">
    <w:p w14:paraId="2C63C72B" w14:textId="77777777" w:rsidR="00961AEA" w:rsidRDefault="00961AEA">
      <w:r>
        <w:continuationSeparator/>
      </w:r>
    </w:p>
  </w:endnote>
  <w:endnote w:type="continuationNotice" w:id="1">
    <w:p w14:paraId="49F290A5" w14:textId="77777777" w:rsidR="00961AEA" w:rsidRDefault="00961A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0A39A06B"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DD4EC8">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DD4EC8">
      <w:rPr>
        <w:rStyle w:val="af3"/>
        <w:rFonts w:eastAsia="ＭＳ ゴシック"/>
        <w:noProof/>
      </w:rPr>
      <w:t>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1A7AB6" w14:textId="77777777" w:rsidR="00961AEA" w:rsidRDefault="00961AEA">
      <w:r>
        <w:separator/>
      </w:r>
    </w:p>
  </w:footnote>
  <w:footnote w:type="continuationSeparator" w:id="0">
    <w:p w14:paraId="430143C6" w14:textId="77777777" w:rsidR="00961AEA" w:rsidRDefault="00961AEA">
      <w:r>
        <w:continuationSeparator/>
      </w:r>
    </w:p>
  </w:footnote>
  <w:footnote w:type="continuationNotice" w:id="1">
    <w:p w14:paraId="4F11CE49" w14:textId="77777777" w:rsidR="00961AEA" w:rsidRDefault="00961AE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lvlText w:val="*"/>
      <w:lvlJc w:val="left"/>
    </w:lvl>
  </w:abstractNum>
  <w:abstractNum w:abstractNumId="2">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9">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4">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7">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12"/>
  </w:num>
  <w:num w:numId="4">
    <w:abstractNumId w:val="6"/>
  </w:num>
  <w:num w:numId="5">
    <w:abstractNumId w:val="22"/>
  </w:num>
  <w:num w:numId="6">
    <w:abstractNumId w:val="17"/>
  </w:num>
  <w:num w:numId="7">
    <w:abstractNumId w:val="2"/>
  </w:num>
  <w:num w:numId="8">
    <w:abstractNumId w:val="21"/>
  </w:num>
  <w:num w:numId="9">
    <w:abstractNumId w:val="10"/>
  </w:num>
  <w:num w:numId="10">
    <w:abstractNumId w:val="21"/>
  </w:num>
  <w:num w:numId="11">
    <w:abstractNumId w:val="7"/>
  </w:num>
  <w:num w:numId="12">
    <w:abstractNumId w:val="23"/>
  </w:num>
  <w:num w:numId="13">
    <w:abstractNumId w:val="4"/>
  </w:num>
  <w:num w:numId="14">
    <w:abstractNumId w:val="19"/>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8"/>
  </w:num>
  <w:num w:numId="18">
    <w:abstractNumId w:val="14"/>
  </w:num>
  <w:num w:numId="19">
    <w:abstractNumId w:val="13"/>
  </w:num>
  <w:num w:numId="20">
    <w:abstractNumId w:val="8"/>
  </w:num>
  <w:num w:numId="21">
    <w:abstractNumId w:val="5"/>
  </w:num>
  <w:num w:numId="22">
    <w:abstractNumId w:val="9"/>
  </w:num>
  <w:num w:numId="23">
    <w:abstractNumId w:val="11"/>
  </w:num>
  <w:num w:numId="24">
    <w:abstractNumId w:val="16"/>
  </w:num>
  <w:num w:numId="25">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4EC8"/>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7.emf"/><Relationship Id="rId10" Type="http://schemas.openxmlformats.org/officeDocument/2006/relationships/oleObject" Target="embeddings/oleObject1.bin"/><Relationship Id="rId19" Type="http://schemas.openxmlformats.org/officeDocument/2006/relationships/oleObject" Target="embeddings/oleObject7.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6.emf"/><Relationship Id="rId27"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A6DCF-9ECF-43BE-8BA1-84CDF3597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707</Words>
  <Characters>3510</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2018-05-12T04:45:00Z</dcterms:created>
  <dcterms:modified xsi:type="dcterms:W3CDTF">2018-05-12T04:45:00Z</dcterms:modified>
</cp:coreProperties>
</file>