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50D" w:rsidRPr="0021350D" w:rsidRDefault="0021350D" w:rsidP="0021350D">
      <w:pPr>
        <w:pStyle w:val="aff3"/>
        <w:snapToGrid w:val="0"/>
        <w:rPr>
          <w:rFonts w:ascii="Arial" w:eastAsiaTheme="minorEastAsia" w:hAnsi="Arial" w:cs="Arial"/>
          <w:b/>
          <w:bCs/>
          <w:sz w:val="24"/>
          <w:szCs w:val="24"/>
          <w:lang w:val="en-GB" w:eastAsia="zh-CN"/>
        </w:rPr>
      </w:pPr>
      <w:bookmarkStart w:id="0" w:name="OLE_LINK2"/>
      <w:bookmarkStart w:id="1" w:name="OLE_LINK3"/>
      <w:r w:rsidRPr="0021350D">
        <w:rPr>
          <w:rFonts w:ascii="Arial" w:eastAsiaTheme="minorEastAsia" w:hAnsi="Arial" w:cs="Arial"/>
          <w:b/>
          <w:bCs/>
          <w:sz w:val="24"/>
          <w:szCs w:val="24"/>
          <w:lang w:val="en-GB" w:eastAsia="zh-CN"/>
        </w:rPr>
        <w:t>3GPP TSG RAN WG1 Meeting #93</w:t>
      </w:r>
      <w:r w:rsidRPr="0021350D">
        <w:rPr>
          <w:rFonts w:ascii="Arial" w:eastAsiaTheme="minorEastAsia" w:hAnsi="Arial" w:cs="Arial"/>
          <w:b/>
          <w:bCs/>
          <w:sz w:val="24"/>
          <w:szCs w:val="24"/>
          <w:lang w:val="en-GB" w:eastAsia="zh-CN"/>
        </w:rPr>
        <w:tab/>
      </w:r>
      <w:r w:rsidRPr="0021350D">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01703D" w:rsidRPr="0001703D">
        <w:rPr>
          <w:rFonts w:ascii="Arial" w:eastAsiaTheme="minorEastAsia" w:hAnsi="Arial" w:cs="Arial"/>
          <w:b/>
          <w:bCs/>
          <w:sz w:val="24"/>
          <w:szCs w:val="24"/>
          <w:lang w:val="en-GB" w:eastAsia="zh-CN"/>
        </w:rPr>
        <w:t>R1-1806670</w:t>
      </w:r>
    </w:p>
    <w:p w:rsidR="0021350D" w:rsidRPr="0021350D" w:rsidRDefault="0021350D" w:rsidP="0021350D">
      <w:pPr>
        <w:pStyle w:val="aff3"/>
        <w:snapToGrid w:val="0"/>
        <w:rPr>
          <w:rFonts w:ascii="Arial" w:eastAsiaTheme="minorEastAsia" w:hAnsi="Arial" w:cs="Arial"/>
          <w:b/>
          <w:bCs/>
          <w:sz w:val="24"/>
          <w:szCs w:val="24"/>
          <w:lang w:val="en-GB" w:eastAsia="zh-CN"/>
        </w:rPr>
      </w:pPr>
      <w:r w:rsidRPr="0021350D">
        <w:rPr>
          <w:rFonts w:ascii="Arial" w:eastAsiaTheme="minorEastAsia" w:hAnsi="Arial" w:cs="Arial"/>
          <w:b/>
          <w:bCs/>
          <w:sz w:val="24"/>
          <w:szCs w:val="24"/>
          <w:lang w:val="en-GB" w:eastAsia="zh-CN"/>
        </w:rPr>
        <w:t>Busan, Korea, May 21st – 25th, 2018</w:t>
      </w:r>
    </w:p>
    <w:p w:rsidR="00D125EB" w:rsidRPr="00734F7C" w:rsidRDefault="00D125EB" w:rsidP="00435C08">
      <w:pPr>
        <w:pStyle w:val="aff3"/>
        <w:snapToGrid w:val="0"/>
        <w:rPr>
          <w:rFonts w:ascii="Arial" w:eastAsiaTheme="minorEastAsia" w:hAnsi="Arial" w:cs="Arial"/>
          <w:b/>
          <w:bCs/>
          <w:sz w:val="24"/>
          <w:szCs w:val="24"/>
          <w:lang w:val="en-GB" w:eastAsia="zh-CN"/>
        </w:rPr>
      </w:pP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00D125EB" w:rsidRPr="00C960FE">
        <w:rPr>
          <w:rFonts w:ascii="Arial" w:eastAsiaTheme="minorEastAsia" w:hAnsi="Arial" w:cs="Arial" w:hint="eastAsia"/>
          <w:b/>
          <w:bCs/>
          <w:sz w:val="24"/>
          <w:szCs w:val="24"/>
          <w:lang w:val="en-GB" w:eastAsia="zh-CN"/>
        </w:rPr>
        <w:t>7.</w:t>
      </w:r>
      <w:r w:rsidR="00437791" w:rsidRPr="00C960FE">
        <w:rPr>
          <w:rFonts w:ascii="Arial" w:eastAsiaTheme="minorEastAsia" w:hAnsi="Arial" w:cs="Arial" w:hint="eastAsia"/>
          <w:b/>
          <w:bCs/>
          <w:sz w:val="24"/>
          <w:szCs w:val="24"/>
          <w:lang w:val="en-GB" w:eastAsia="zh-CN"/>
        </w:rPr>
        <w:t>6.</w:t>
      </w:r>
      <w:r w:rsidR="00686239">
        <w:rPr>
          <w:rFonts w:ascii="Arial" w:eastAsiaTheme="minorEastAsia" w:hAnsi="Arial" w:cs="Arial"/>
          <w:b/>
          <w:bCs/>
          <w:sz w:val="24"/>
          <w:szCs w:val="24"/>
          <w:lang w:val="en-GB" w:eastAsia="zh-CN"/>
        </w:rPr>
        <w:t>4</w:t>
      </w:r>
      <w:r w:rsidR="00C960FE" w:rsidRPr="00C960FE">
        <w:rPr>
          <w:rFonts w:ascii="Arial" w:eastAsiaTheme="minorEastAsia" w:hAnsi="Arial" w:cs="Arial"/>
          <w:b/>
          <w:bCs/>
          <w:sz w:val="24"/>
          <w:szCs w:val="24"/>
          <w:lang w:val="en-GB" w:eastAsia="zh-CN"/>
        </w:rPr>
        <w:t>.1</w:t>
      </w: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437791">
        <w:rPr>
          <w:rFonts w:ascii="Arial" w:eastAsiaTheme="minorEastAsia" w:hAnsi="Arial" w:cs="Arial" w:hint="eastAsia"/>
          <w:b/>
          <w:bCs/>
          <w:sz w:val="24"/>
          <w:szCs w:val="24"/>
          <w:lang w:val="en-GB" w:eastAsia="zh-CN"/>
        </w:rPr>
        <w:t xml:space="preserve">Discussion on </w:t>
      </w:r>
      <w:r w:rsidR="00686239">
        <w:rPr>
          <w:rFonts w:ascii="Arial" w:eastAsiaTheme="minorEastAsia" w:hAnsi="Arial" w:cs="Arial"/>
          <w:b/>
          <w:bCs/>
          <w:sz w:val="24"/>
          <w:szCs w:val="24"/>
          <w:lang w:val="en-GB" w:eastAsia="zh-CN"/>
        </w:rPr>
        <w:t>subband based c</w:t>
      </w:r>
      <w:r w:rsidR="00686239" w:rsidRPr="00686239">
        <w:rPr>
          <w:rFonts w:ascii="Arial" w:eastAsiaTheme="minorEastAsia" w:hAnsi="Arial" w:cs="Arial"/>
          <w:b/>
          <w:bCs/>
          <w:sz w:val="24"/>
          <w:szCs w:val="24"/>
          <w:lang w:val="en-GB" w:eastAsia="zh-CN"/>
        </w:rPr>
        <w:t>hannel access procedures</w:t>
      </w:r>
      <w:r w:rsidR="00686239">
        <w:rPr>
          <w:rFonts w:ascii="Arial" w:eastAsiaTheme="minorEastAsia" w:hAnsi="Arial" w:cs="Arial"/>
          <w:b/>
          <w:bCs/>
          <w:sz w:val="24"/>
          <w:szCs w:val="24"/>
          <w:lang w:val="en-GB" w:eastAsia="zh-CN"/>
        </w:rPr>
        <w:t xml:space="preserve"> for NR-U</w:t>
      </w:r>
    </w:p>
    <w:p w:rsidR="00DF47DE" w:rsidRPr="00CE334B" w:rsidRDefault="00D400AF" w:rsidP="004313C9">
      <w:pPr>
        <w:pStyle w:val="aff3"/>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BA09B9" w:rsidRPr="00CE334B"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88182B" w:rsidRPr="0088182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88182B">
        <w:rPr>
          <w:rFonts w:ascii="Times New Roman" w:eastAsia="宋体" w:hAnsi="Times New Roman" w:cs="Times New Roman"/>
          <w:bCs w:val="0"/>
          <w:color w:val="auto"/>
          <w:kern w:val="32"/>
          <w:lang w:val="en-US" w:eastAsia="zh-CN"/>
        </w:rPr>
        <w:t xml:space="preserve">Introduction </w:t>
      </w:r>
    </w:p>
    <w:p w:rsidR="0088182B" w:rsidRPr="0058518C" w:rsidRDefault="0088182B" w:rsidP="0088182B">
      <w:pPr>
        <w:ind w:firstLineChars="150" w:firstLine="330"/>
        <w:rPr>
          <w:bCs/>
          <w:sz w:val="22"/>
        </w:rPr>
      </w:pPr>
      <w:r w:rsidRPr="0058518C">
        <w:rPr>
          <w:bCs/>
          <w:sz w:val="22"/>
        </w:rPr>
        <w:t xml:space="preserve">In the RANP #77 meeting, the revised SID on NR-based access to unlicensed spectrum was agreed [1]. The objectives in this SID </w:t>
      </w:r>
      <w:r>
        <w:rPr>
          <w:bCs/>
          <w:sz w:val="22"/>
        </w:rPr>
        <w:t>include</w:t>
      </w:r>
      <w:r w:rsidRPr="0058518C">
        <w:rPr>
          <w:bCs/>
          <w:sz w:val="22"/>
        </w:rPr>
        <w:t>:</w:t>
      </w:r>
    </w:p>
    <w:p w:rsidR="0088182B" w:rsidRPr="00AB025E" w:rsidRDefault="0088182B" w:rsidP="0088182B">
      <w:pPr>
        <w:pStyle w:val="a7"/>
        <w:widowControl w:val="0"/>
        <w:numPr>
          <w:ilvl w:val="0"/>
          <w:numId w:val="16"/>
        </w:numPr>
        <w:spacing w:after="0"/>
        <w:contextualSpacing w:val="0"/>
        <w:jc w:val="both"/>
        <w:rPr>
          <w:bCs/>
          <w:i/>
          <w:sz w:val="22"/>
        </w:rPr>
      </w:pPr>
      <w:r w:rsidRPr="00AB025E">
        <w:rPr>
          <w:bCs/>
          <w:i/>
          <w:sz w:val="22"/>
        </w:rPr>
        <w:t>Physical channels inheriting the choices of duplex mode, waveform, carrier bandwidth, subcarrier spacing, frame structure, and physical layer design made as part of the NR study and avoiding unnecessary divergence with decisions made in the NR WI</w:t>
      </w:r>
      <w:r w:rsidRPr="00AB025E">
        <w:t xml:space="preserve"> </w:t>
      </w:r>
    </w:p>
    <w:p w:rsidR="0088182B" w:rsidRPr="00AB025E" w:rsidRDefault="0088182B" w:rsidP="0088182B">
      <w:pPr>
        <w:pStyle w:val="a7"/>
        <w:widowControl w:val="0"/>
        <w:numPr>
          <w:ilvl w:val="1"/>
          <w:numId w:val="16"/>
        </w:numPr>
        <w:spacing w:after="0"/>
        <w:contextualSpacing w:val="0"/>
        <w:jc w:val="both"/>
        <w:rPr>
          <w:bCs/>
          <w:i/>
          <w:sz w:val="22"/>
        </w:rPr>
      </w:pPr>
      <w:r w:rsidRPr="00AB025E">
        <w:rPr>
          <w:bCs/>
          <w:i/>
          <w:sz w:val="22"/>
        </w:rPr>
        <w:t>Consider unlicensed bands both below and above 6GHz, up to 52.6GHz</w:t>
      </w:r>
    </w:p>
    <w:p w:rsidR="0088182B" w:rsidRPr="00AB025E" w:rsidRDefault="0088182B" w:rsidP="0088182B">
      <w:pPr>
        <w:pStyle w:val="a7"/>
        <w:widowControl w:val="0"/>
        <w:numPr>
          <w:ilvl w:val="1"/>
          <w:numId w:val="16"/>
        </w:numPr>
        <w:spacing w:after="0"/>
        <w:contextualSpacing w:val="0"/>
        <w:jc w:val="both"/>
        <w:rPr>
          <w:bCs/>
          <w:i/>
          <w:sz w:val="22"/>
        </w:rPr>
      </w:pPr>
      <w:r w:rsidRPr="00AB025E">
        <w:rPr>
          <w:bCs/>
          <w:i/>
          <w:sz w:val="22"/>
        </w:rPr>
        <w:t xml:space="preserve">Consider unlicensed bands above 52.6GHz to the extent that waveform design principles remain unchanged with respect to below 52.6GHz bands </w:t>
      </w:r>
    </w:p>
    <w:p w:rsidR="0088182B" w:rsidRPr="00AB025E" w:rsidRDefault="0088182B" w:rsidP="0088182B">
      <w:pPr>
        <w:pStyle w:val="a7"/>
        <w:widowControl w:val="0"/>
        <w:numPr>
          <w:ilvl w:val="1"/>
          <w:numId w:val="16"/>
        </w:numPr>
        <w:spacing w:after="0"/>
        <w:contextualSpacing w:val="0"/>
        <w:jc w:val="both"/>
        <w:rPr>
          <w:bCs/>
          <w:i/>
          <w:sz w:val="22"/>
        </w:rPr>
      </w:pPr>
      <w:r w:rsidRPr="00AB025E">
        <w:rPr>
          <w:bCs/>
          <w:i/>
          <w:sz w:val="22"/>
        </w:rPr>
        <w:t>Consider similar forward compatibility principles made in the NR WI</w:t>
      </w:r>
    </w:p>
    <w:p w:rsidR="0088182B" w:rsidRPr="00AB025E" w:rsidRDefault="0088182B" w:rsidP="0088182B">
      <w:pPr>
        <w:pStyle w:val="a7"/>
        <w:widowControl w:val="0"/>
        <w:numPr>
          <w:ilvl w:val="0"/>
          <w:numId w:val="16"/>
        </w:numPr>
        <w:spacing w:after="0"/>
        <w:contextualSpacing w:val="0"/>
        <w:jc w:val="both"/>
        <w:rPr>
          <w:bCs/>
          <w:i/>
          <w:sz w:val="22"/>
        </w:rPr>
      </w:pPr>
      <w:r w:rsidRPr="00AB025E">
        <w:rPr>
          <w:bCs/>
          <w:i/>
          <w:sz w:val="22"/>
        </w:rPr>
        <w:t>Initial access, channel access. Scheduling/HARQ, and mobility including connected/inactive/idle mode operation and radio-link monitoring/failure</w:t>
      </w:r>
    </w:p>
    <w:p w:rsidR="0088182B" w:rsidRDefault="0088182B" w:rsidP="0088182B">
      <w:pPr>
        <w:pStyle w:val="a7"/>
        <w:widowControl w:val="0"/>
        <w:numPr>
          <w:ilvl w:val="0"/>
          <w:numId w:val="16"/>
        </w:numPr>
        <w:spacing w:after="0"/>
        <w:contextualSpacing w:val="0"/>
        <w:jc w:val="both"/>
        <w:rPr>
          <w:bCs/>
          <w:i/>
          <w:sz w:val="22"/>
        </w:rPr>
      </w:pPr>
      <w:r w:rsidRPr="00AB025E">
        <w:rPr>
          <w:bCs/>
          <w:i/>
          <w:sz w:val="22"/>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rsidR="00E50456" w:rsidRDefault="00E50456" w:rsidP="00E50456">
      <w:pPr>
        <w:pStyle w:val="a7"/>
        <w:widowControl w:val="0"/>
        <w:spacing w:after="0"/>
        <w:ind w:left="735"/>
        <w:contextualSpacing w:val="0"/>
        <w:jc w:val="both"/>
        <w:rPr>
          <w:bCs/>
          <w:i/>
          <w:sz w:val="22"/>
        </w:rPr>
      </w:pPr>
    </w:p>
    <w:p w:rsidR="0088182B" w:rsidRPr="0058518C" w:rsidRDefault="0088182B" w:rsidP="0088182B">
      <w:pPr>
        <w:pStyle w:val="a7"/>
        <w:ind w:left="360"/>
        <w:rPr>
          <w:sz w:val="22"/>
        </w:rPr>
      </w:pPr>
      <w:r w:rsidRPr="0058518C">
        <w:rPr>
          <w:sz w:val="22"/>
        </w:rPr>
        <w:t>In the previous RAN1 meeting #92bis, the following agreement was reached [</w:t>
      </w:r>
      <w:r>
        <w:rPr>
          <w:sz w:val="22"/>
        </w:rPr>
        <w:t>2</w:t>
      </w:r>
      <w:r w:rsidRPr="0058518C">
        <w:rPr>
          <w:sz w:val="22"/>
        </w:rPr>
        <w:t xml:space="preserve">]: </w:t>
      </w:r>
    </w:p>
    <w:p w:rsidR="0088182B" w:rsidRPr="003344EE" w:rsidRDefault="0088182B" w:rsidP="0088182B">
      <w:pPr>
        <w:widowControl w:val="0"/>
        <w:numPr>
          <w:ilvl w:val="0"/>
          <w:numId w:val="15"/>
        </w:numPr>
        <w:spacing w:after="0"/>
        <w:jc w:val="both"/>
        <w:rPr>
          <w:i/>
          <w:sz w:val="22"/>
        </w:rPr>
      </w:pPr>
      <w:r w:rsidRPr="003344EE">
        <w:rPr>
          <w:i/>
          <w:sz w:val="22"/>
        </w:rPr>
        <w:t xml:space="preserve">At least for band where absence of Wi-Fi cannot be guaranteed (e.g. by regulation), LBT can be performed in units of 20 MHz. </w:t>
      </w:r>
    </w:p>
    <w:p w:rsidR="0088182B" w:rsidRPr="003344EE" w:rsidRDefault="0088182B" w:rsidP="0088182B">
      <w:pPr>
        <w:widowControl w:val="0"/>
        <w:numPr>
          <w:ilvl w:val="1"/>
          <w:numId w:val="15"/>
        </w:numPr>
        <w:spacing w:after="0"/>
        <w:jc w:val="both"/>
        <w:rPr>
          <w:i/>
          <w:sz w:val="22"/>
        </w:rPr>
      </w:pPr>
      <w:r w:rsidRPr="003344EE">
        <w:rPr>
          <w:i/>
          <w:sz w:val="22"/>
        </w:rPr>
        <w:t>FFS: details on how to perform LBT for as single carrier with bandwidth greater than 20 MHz, i.e., integer multiples of 20 MHz.</w:t>
      </w:r>
    </w:p>
    <w:p w:rsidR="0088182B" w:rsidRPr="0058518C" w:rsidRDefault="0088182B" w:rsidP="0088182B">
      <w:pPr>
        <w:pStyle w:val="a7"/>
        <w:ind w:left="360"/>
        <w:rPr>
          <w:sz w:val="22"/>
        </w:rPr>
      </w:pPr>
      <w:r w:rsidRPr="0058518C">
        <w:rPr>
          <w:sz w:val="22"/>
        </w:rPr>
        <w:t xml:space="preserve">In this contribution, we provide some discussions </w:t>
      </w:r>
      <w:r w:rsidR="00E50456" w:rsidRPr="00CE334B">
        <w:rPr>
          <w:rFonts w:eastAsia="宋体" w:hint="eastAsia"/>
          <w:color w:val="000000" w:themeColor="text1"/>
          <w:sz w:val="22"/>
          <w:szCs w:val="22"/>
          <w:lang w:eastAsia="zh-CN"/>
        </w:rPr>
        <w:t xml:space="preserve">on </w:t>
      </w:r>
      <w:r w:rsidR="00E50456">
        <w:rPr>
          <w:rFonts w:eastAsia="宋体"/>
          <w:color w:val="000000" w:themeColor="text1"/>
          <w:sz w:val="22"/>
          <w:szCs w:val="22"/>
          <w:lang w:eastAsia="zh-CN"/>
        </w:rPr>
        <w:t xml:space="preserve">channel access procedure </w:t>
      </w:r>
      <w:r w:rsidR="00E50456" w:rsidRPr="00E32E12">
        <w:rPr>
          <w:rFonts w:eastAsia="宋体"/>
          <w:color w:val="000000" w:themeColor="text1"/>
          <w:sz w:val="22"/>
          <w:szCs w:val="22"/>
          <w:lang w:eastAsia="zh-CN"/>
        </w:rPr>
        <w:t xml:space="preserve">as single carrier with bandwidth greater than 20 MHz </w:t>
      </w:r>
      <w:r w:rsidR="00E50456">
        <w:rPr>
          <w:rFonts w:eastAsia="宋体"/>
          <w:color w:val="000000" w:themeColor="text1"/>
          <w:sz w:val="22"/>
          <w:szCs w:val="22"/>
          <w:lang w:eastAsia="zh-CN"/>
        </w:rPr>
        <w:t>for NR-U</w:t>
      </w:r>
      <w:r w:rsidRPr="0058518C">
        <w:rPr>
          <w:sz w:val="22"/>
        </w:rPr>
        <w:t xml:space="preserve">.  </w:t>
      </w:r>
    </w:p>
    <w:p w:rsidR="0088182B" w:rsidRPr="0088182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88182B">
        <w:rPr>
          <w:rFonts w:ascii="Times New Roman" w:eastAsia="宋体" w:hAnsi="Times New Roman" w:cs="Times New Roman"/>
          <w:bCs w:val="0"/>
          <w:color w:val="auto"/>
          <w:kern w:val="32"/>
          <w:lang w:val="en-US" w:eastAsia="zh-CN"/>
        </w:rPr>
        <w:t>Discussion on NR-U bandwidth operation</w:t>
      </w:r>
    </w:p>
    <w:p w:rsidR="0088182B" w:rsidRDefault="0088182B" w:rsidP="0088182B">
      <w:pPr>
        <w:ind w:firstLineChars="150" w:firstLine="330"/>
        <w:rPr>
          <w:bCs/>
          <w:sz w:val="22"/>
        </w:rPr>
      </w:pPr>
      <w:r w:rsidRPr="001B0ABB">
        <w:rPr>
          <w:bCs/>
          <w:sz w:val="22"/>
        </w:rPr>
        <w:t>Since there are different RATs (like Wi-Fi, LTE-LAA, NR-LAA) operating in unlicensed spectrum. NR-based access to unlicensed spectrum should not only guarantee friendly coexistence with Wi-Fi, but also ensure friendly coexistence with LTE-LAA. At the same time, it is necessary to ensure the friendly coexistence between different operators of NR-U</w:t>
      </w:r>
      <w:r>
        <w:rPr>
          <w:bCs/>
          <w:sz w:val="22"/>
        </w:rPr>
        <w:t xml:space="preserve"> as well</w:t>
      </w:r>
      <w:r w:rsidRPr="001B0ABB">
        <w:rPr>
          <w:bCs/>
          <w:sz w:val="22"/>
        </w:rPr>
        <w:t>. Therefore, it is necessary to design a channel access and transmission mechanism to ensure the friendly coexistence between these RATs and the efficiently use of spectrum resources.</w:t>
      </w:r>
    </w:p>
    <w:p w:rsidR="0088182B" w:rsidRDefault="0088182B" w:rsidP="0088182B">
      <w:pPr>
        <w:ind w:firstLineChars="150" w:firstLine="330"/>
        <w:rPr>
          <w:bCs/>
          <w:sz w:val="22"/>
        </w:rPr>
      </w:pPr>
      <w:r w:rsidRPr="001B0ABB">
        <w:rPr>
          <w:bCs/>
          <w:sz w:val="22"/>
        </w:rPr>
        <w:t>From the perspective of bandwidth, both LTE-LAA and Wi-Fi have a fixed bandwidth of 20MHz in 5GHz unlicensed band. In comparison, it has been agreed that NR supports bandwidth part adaptation mechanisms in licensed bands, where the maximum channel bandwidth per NR carrier is 100MHz for sub 6GHz and 400MHz for above 6GHz. So NR based access to unlicensed bands can have more choices.</w:t>
      </w:r>
      <w:r>
        <w:rPr>
          <w:bCs/>
          <w:sz w:val="22"/>
        </w:rPr>
        <w:t xml:space="preserve"> N</w:t>
      </w:r>
      <w:r w:rsidRPr="00AE3268">
        <w:rPr>
          <w:bCs/>
          <w:sz w:val="22"/>
        </w:rPr>
        <w:t>evertheless</w:t>
      </w:r>
      <w:r>
        <w:rPr>
          <w:bCs/>
          <w:sz w:val="22"/>
        </w:rPr>
        <w:t>, o</w:t>
      </w:r>
      <w:r w:rsidRPr="001B0ABB">
        <w:rPr>
          <w:bCs/>
          <w:sz w:val="22"/>
        </w:rPr>
        <w:t xml:space="preserve">ne goal of NR design is to support large bandwidth and low complexity, so we should support large bandwidth carrier to deploy on 5GHz unlicensed band. </w:t>
      </w:r>
      <w:r>
        <w:rPr>
          <w:bCs/>
          <w:sz w:val="22"/>
        </w:rPr>
        <w:t xml:space="preserve">Table 1 shows the maximum transmission bandwidth and occupied channel bandwidth (OCB) for some UE channel bandwidth and subcarrier spacing for NR licensed bands [3]. </w:t>
      </w:r>
      <w:r w:rsidRPr="00AE3268">
        <w:rPr>
          <w:bCs/>
          <w:sz w:val="22"/>
        </w:rPr>
        <w:t>We can see that under the same subcarrier configuration, with the broadening of the carrier bandwidth, the utilization ratio of the channel will also increase.</w:t>
      </w:r>
      <w:r>
        <w:rPr>
          <w:bCs/>
          <w:sz w:val="22"/>
        </w:rPr>
        <w:t xml:space="preserve"> </w:t>
      </w:r>
    </w:p>
    <w:p w:rsidR="001C6AC5" w:rsidRDefault="001C6AC5" w:rsidP="0088182B">
      <w:pPr>
        <w:ind w:firstLineChars="150" w:firstLine="330"/>
        <w:rPr>
          <w:bCs/>
          <w:sz w:val="22"/>
        </w:rPr>
      </w:pPr>
    </w:p>
    <w:p w:rsidR="0088182B" w:rsidRPr="00ED1966" w:rsidRDefault="0088182B" w:rsidP="0088182B">
      <w:pPr>
        <w:ind w:firstLineChars="150" w:firstLine="300"/>
        <w:jc w:val="center"/>
      </w:pPr>
      <w:r w:rsidRPr="00ED1966">
        <w:t xml:space="preserve">Table 1: Maximum transmission bandwidth configuration </w:t>
      </w:r>
      <w:r w:rsidRPr="00CB0EE6">
        <w:rPr>
          <w:sz w:val="22"/>
        </w:rPr>
        <w:t>N</w:t>
      </w:r>
      <w:r w:rsidRPr="00CB0EE6">
        <w:rPr>
          <w:sz w:val="22"/>
          <w:vertAlign w:val="subscript"/>
        </w:rPr>
        <w:t>RB</w:t>
      </w:r>
      <w:r>
        <w:t xml:space="preserve"> and OCB</w:t>
      </w:r>
      <w:r>
        <w:rPr>
          <w:sz w:val="22"/>
          <w:vertAlign w:val="subscript"/>
        </w:rPr>
        <w:t xml:space="preserve"> </w:t>
      </w:r>
    </w:p>
    <w:tbl>
      <w:tblPr>
        <w:tblStyle w:val="aff5"/>
        <w:tblW w:w="0" w:type="auto"/>
        <w:jc w:val="center"/>
        <w:tblLook w:val="04A0" w:firstRow="1" w:lastRow="0" w:firstColumn="1" w:lastColumn="0" w:noHBand="0" w:noVBand="1"/>
      </w:tblPr>
      <w:tblGrid>
        <w:gridCol w:w="730"/>
        <w:gridCol w:w="562"/>
        <w:gridCol w:w="711"/>
        <w:gridCol w:w="669"/>
        <w:gridCol w:w="711"/>
        <w:gridCol w:w="669"/>
        <w:gridCol w:w="711"/>
        <w:gridCol w:w="669"/>
        <w:gridCol w:w="821"/>
        <w:gridCol w:w="669"/>
        <w:gridCol w:w="821"/>
      </w:tblGrid>
      <w:tr w:rsidR="0088182B" w:rsidTr="008B5B2F">
        <w:trPr>
          <w:jc w:val="center"/>
        </w:trPr>
        <w:tc>
          <w:tcPr>
            <w:tcW w:w="0" w:type="auto"/>
            <w:vMerge w:val="restart"/>
          </w:tcPr>
          <w:p w:rsidR="0088182B" w:rsidRPr="00CB0EE6" w:rsidRDefault="0088182B" w:rsidP="008B5B2F">
            <w:pPr>
              <w:jc w:val="center"/>
              <w:rPr>
                <w:sz w:val="22"/>
              </w:rPr>
            </w:pPr>
            <w:r w:rsidRPr="00CB0EE6">
              <w:rPr>
                <w:sz w:val="22"/>
              </w:rPr>
              <w:t>SCS</w:t>
            </w:r>
          </w:p>
          <w:p w:rsidR="0088182B" w:rsidRPr="00CB0EE6" w:rsidRDefault="0088182B" w:rsidP="008B5B2F">
            <w:pPr>
              <w:jc w:val="center"/>
              <w:rPr>
                <w:sz w:val="22"/>
              </w:rPr>
            </w:pPr>
            <w:r w:rsidRPr="00CB0EE6">
              <w:rPr>
                <w:sz w:val="22"/>
              </w:rPr>
              <w:t>(kHz)</w:t>
            </w:r>
          </w:p>
        </w:tc>
        <w:tc>
          <w:tcPr>
            <w:tcW w:w="0" w:type="auto"/>
            <w:gridSpan w:val="2"/>
          </w:tcPr>
          <w:p w:rsidR="0088182B" w:rsidRPr="00CB0EE6" w:rsidRDefault="0088182B" w:rsidP="008B5B2F">
            <w:pPr>
              <w:jc w:val="center"/>
              <w:rPr>
                <w:sz w:val="22"/>
              </w:rPr>
            </w:pPr>
            <w:r w:rsidRPr="00CB0EE6">
              <w:rPr>
                <w:sz w:val="22"/>
              </w:rPr>
              <w:t>20MHz</w:t>
            </w:r>
          </w:p>
        </w:tc>
        <w:tc>
          <w:tcPr>
            <w:tcW w:w="0" w:type="auto"/>
            <w:gridSpan w:val="2"/>
          </w:tcPr>
          <w:p w:rsidR="0088182B" w:rsidRPr="00CB0EE6" w:rsidRDefault="0088182B" w:rsidP="008B5B2F">
            <w:pPr>
              <w:jc w:val="center"/>
              <w:rPr>
                <w:sz w:val="22"/>
              </w:rPr>
            </w:pPr>
            <w:r w:rsidRPr="00CB0EE6">
              <w:rPr>
                <w:sz w:val="22"/>
              </w:rPr>
              <w:t>40MHz</w:t>
            </w:r>
          </w:p>
        </w:tc>
        <w:tc>
          <w:tcPr>
            <w:tcW w:w="0" w:type="auto"/>
            <w:gridSpan w:val="2"/>
          </w:tcPr>
          <w:p w:rsidR="0088182B" w:rsidRPr="00CB0EE6" w:rsidRDefault="0088182B" w:rsidP="008B5B2F">
            <w:pPr>
              <w:jc w:val="center"/>
              <w:rPr>
                <w:sz w:val="22"/>
              </w:rPr>
            </w:pPr>
            <w:r w:rsidRPr="00CB0EE6">
              <w:rPr>
                <w:sz w:val="22"/>
              </w:rPr>
              <w:t>60MHz</w:t>
            </w:r>
          </w:p>
        </w:tc>
        <w:tc>
          <w:tcPr>
            <w:tcW w:w="0" w:type="auto"/>
            <w:gridSpan w:val="2"/>
          </w:tcPr>
          <w:p w:rsidR="0088182B" w:rsidRPr="00CB0EE6" w:rsidRDefault="0088182B" w:rsidP="008B5B2F">
            <w:pPr>
              <w:jc w:val="center"/>
              <w:rPr>
                <w:sz w:val="22"/>
              </w:rPr>
            </w:pPr>
            <w:r w:rsidRPr="00CB0EE6">
              <w:rPr>
                <w:sz w:val="22"/>
              </w:rPr>
              <w:t>80MHz</w:t>
            </w:r>
          </w:p>
        </w:tc>
        <w:tc>
          <w:tcPr>
            <w:tcW w:w="0" w:type="auto"/>
            <w:gridSpan w:val="2"/>
          </w:tcPr>
          <w:p w:rsidR="0088182B" w:rsidRPr="00CB0EE6" w:rsidRDefault="0088182B" w:rsidP="008B5B2F">
            <w:pPr>
              <w:jc w:val="center"/>
              <w:rPr>
                <w:sz w:val="22"/>
              </w:rPr>
            </w:pPr>
            <w:r w:rsidRPr="00CB0EE6">
              <w:rPr>
                <w:sz w:val="22"/>
              </w:rPr>
              <w:t>100MHz</w:t>
            </w:r>
          </w:p>
        </w:tc>
      </w:tr>
      <w:tr w:rsidR="0088182B" w:rsidTr="008B5B2F">
        <w:trPr>
          <w:jc w:val="center"/>
        </w:trPr>
        <w:tc>
          <w:tcPr>
            <w:tcW w:w="0" w:type="auto"/>
            <w:vMerge/>
          </w:tcPr>
          <w:p w:rsidR="0088182B" w:rsidRPr="00CB0EE6" w:rsidRDefault="0088182B" w:rsidP="008B5B2F">
            <w:pPr>
              <w:jc w:val="center"/>
              <w:rPr>
                <w:sz w:val="22"/>
              </w:rPr>
            </w:pPr>
          </w:p>
        </w:tc>
        <w:tc>
          <w:tcPr>
            <w:tcW w:w="0" w:type="auto"/>
          </w:tcPr>
          <w:p w:rsidR="0088182B" w:rsidRPr="00CB0EE6" w:rsidRDefault="0088182B" w:rsidP="008B5B2F">
            <w:pPr>
              <w:jc w:val="center"/>
              <w:rPr>
                <w:sz w:val="22"/>
              </w:rPr>
            </w:pPr>
            <w:r w:rsidRPr="00CB0EE6">
              <w:rPr>
                <w:sz w:val="22"/>
              </w:rPr>
              <w:t>N</w:t>
            </w:r>
            <w:r w:rsidRPr="00CB0EE6">
              <w:rPr>
                <w:sz w:val="22"/>
                <w:vertAlign w:val="subscript"/>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r>
      <w:tr w:rsidR="0088182B" w:rsidTr="008B5B2F">
        <w:trPr>
          <w:jc w:val="center"/>
        </w:trPr>
        <w:tc>
          <w:tcPr>
            <w:tcW w:w="0" w:type="auto"/>
          </w:tcPr>
          <w:p w:rsidR="0088182B" w:rsidRPr="00CB0EE6" w:rsidRDefault="0088182B" w:rsidP="008B5B2F">
            <w:pPr>
              <w:jc w:val="center"/>
              <w:rPr>
                <w:sz w:val="22"/>
              </w:rPr>
            </w:pPr>
            <w:r w:rsidRPr="00CB0EE6">
              <w:rPr>
                <w:sz w:val="22"/>
              </w:rPr>
              <w:t>15</w:t>
            </w:r>
          </w:p>
        </w:tc>
        <w:tc>
          <w:tcPr>
            <w:tcW w:w="0" w:type="auto"/>
          </w:tcPr>
          <w:p w:rsidR="0088182B" w:rsidRPr="00CB0EE6" w:rsidRDefault="0088182B" w:rsidP="008B5B2F">
            <w:pPr>
              <w:jc w:val="center"/>
              <w:rPr>
                <w:sz w:val="22"/>
              </w:rPr>
            </w:pPr>
            <w:r w:rsidRPr="00CB0EE6">
              <w:rPr>
                <w:sz w:val="22"/>
              </w:rPr>
              <w:t>106</w:t>
            </w:r>
          </w:p>
        </w:tc>
        <w:tc>
          <w:tcPr>
            <w:tcW w:w="0" w:type="auto"/>
          </w:tcPr>
          <w:p w:rsidR="0088182B" w:rsidRPr="00CB0EE6" w:rsidRDefault="0088182B" w:rsidP="008B5B2F">
            <w:pPr>
              <w:jc w:val="center"/>
              <w:rPr>
                <w:sz w:val="22"/>
              </w:rPr>
            </w:pPr>
            <w:r>
              <w:rPr>
                <w:rFonts w:hint="eastAsia"/>
                <w:sz w:val="22"/>
              </w:rPr>
              <w:t>0.954</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216</w:t>
            </w:r>
          </w:p>
        </w:tc>
        <w:tc>
          <w:tcPr>
            <w:tcW w:w="0" w:type="auto"/>
          </w:tcPr>
          <w:p w:rsidR="0088182B" w:rsidRPr="00CB0EE6" w:rsidRDefault="0088182B" w:rsidP="008B5B2F">
            <w:pPr>
              <w:jc w:val="center"/>
              <w:rPr>
                <w:sz w:val="22"/>
              </w:rPr>
            </w:pPr>
            <w:r>
              <w:rPr>
                <w:rFonts w:hint="eastAsia"/>
                <w:sz w:val="22"/>
              </w:rPr>
              <w:t>0.972</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N/A</w:t>
            </w:r>
          </w:p>
        </w:tc>
        <w:tc>
          <w:tcPr>
            <w:tcW w:w="0" w:type="auto"/>
          </w:tcPr>
          <w:p w:rsidR="0088182B" w:rsidRPr="00CB0EE6" w:rsidRDefault="0088182B" w:rsidP="008B5B2F">
            <w:pPr>
              <w:jc w:val="center"/>
              <w:rPr>
                <w:sz w:val="22"/>
              </w:rPr>
            </w:pPr>
            <w:r w:rsidRPr="00CB0EE6">
              <w:rPr>
                <w:sz w:val="22"/>
              </w:rPr>
              <w:t>N/A</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N/A</w:t>
            </w:r>
          </w:p>
        </w:tc>
        <w:tc>
          <w:tcPr>
            <w:tcW w:w="0" w:type="auto"/>
          </w:tcPr>
          <w:p w:rsidR="0088182B" w:rsidRPr="00CB0EE6" w:rsidRDefault="0088182B" w:rsidP="008B5B2F">
            <w:pPr>
              <w:jc w:val="center"/>
              <w:rPr>
                <w:sz w:val="22"/>
              </w:rPr>
            </w:pPr>
            <w:r w:rsidRPr="00CB0EE6">
              <w:rPr>
                <w:sz w:val="22"/>
              </w:rPr>
              <w:t>N/A</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N/A</w:t>
            </w:r>
          </w:p>
        </w:tc>
        <w:tc>
          <w:tcPr>
            <w:tcW w:w="0" w:type="auto"/>
          </w:tcPr>
          <w:p w:rsidR="0088182B" w:rsidRPr="00CB0EE6" w:rsidRDefault="0088182B" w:rsidP="008B5B2F">
            <w:pPr>
              <w:jc w:val="center"/>
              <w:rPr>
                <w:sz w:val="22"/>
              </w:rPr>
            </w:pPr>
            <w:r w:rsidRPr="00CB0EE6">
              <w:rPr>
                <w:sz w:val="22"/>
              </w:rPr>
              <w:t>N/A</w:t>
            </w:r>
          </w:p>
        </w:tc>
      </w:tr>
      <w:tr w:rsidR="0088182B" w:rsidTr="008B5B2F">
        <w:trPr>
          <w:jc w:val="center"/>
        </w:trPr>
        <w:tc>
          <w:tcPr>
            <w:tcW w:w="0" w:type="auto"/>
          </w:tcPr>
          <w:p w:rsidR="0088182B" w:rsidRPr="00CB0EE6" w:rsidRDefault="0088182B" w:rsidP="008B5B2F">
            <w:pPr>
              <w:jc w:val="center"/>
              <w:rPr>
                <w:sz w:val="22"/>
              </w:rPr>
            </w:pPr>
            <w:r w:rsidRPr="00CB0EE6">
              <w:rPr>
                <w:sz w:val="22"/>
              </w:rPr>
              <w:t>30</w:t>
            </w:r>
          </w:p>
        </w:tc>
        <w:tc>
          <w:tcPr>
            <w:tcW w:w="0" w:type="auto"/>
          </w:tcPr>
          <w:p w:rsidR="0088182B" w:rsidRPr="00CB0EE6" w:rsidRDefault="0088182B" w:rsidP="008B5B2F">
            <w:pPr>
              <w:jc w:val="center"/>
              <w:rPr>
                <w:sz w:val="22"/>
              </w:rPr>
            </w:pPr>
            <w:r w:rsidRPr="00CB0EE6">
              <w:rPr>
                <w:sz w:val="22"/>
              </w:rPr>
              <w:t>51</w:t>
            </w:r>
          </w:p>
        </w:tc>
        <w:tc>
          <w:tcPr>
            <w:tcW w:w="0" w:type="auto"/>
          </w:tcPr>
          <w:p w:rsidR="0088182B" w:rsidRPr="00CB0EE6" w:rsidRDefault="0088182B" w:rsidP="008B5B2F">
            <w:pPr>
              <w:jc w:val="center"/>
              <w:rPr>
                <w:sz w:val="22"/>
              </w:rPr>
            </w:pPr>
            <w:r>
              <w:rPr>
                <w:rFonts w:hint="eastAsia"/>
                <w:sz w:val="22"/>
              </w:rPr>
              <w:t>0.918</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106</w:t>
            </w:r>
          </w:p>
        </w:tc>
        <w:tc>
          <w:tcPr>
            <w:tcW w:w="0" w:type="auto"/>
          </w:tcPr>
          <w:p w:rsidR="0088182B" w:rsidRPr="00CB0EE6" w:rsidRDefault="0088182B" w:rsidP="008B5B2F">
            <w:pPr>
              <w:jc w:val="center"/>
              <w:rPr>
                <w:sz w:val="22"/>
              </w:rPr>
            </w:pPr>
            <w:r>
              <w:rPr>
                <w:rFonts w:hint="eastAsia"/>
                <w:sz w:val="22"/>
              </w:rPr>
              <w:t>0.954</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162</w:t>
            </w:r>
          </w:p>
        </w:tc>
        <w:tc>
          <w:tcPr>
            <w:tcW w:w="0" w:type="auto"/>
          </w:tcPr>
          <w:p w:rsidR="0088182B" w:rsidRPr="00CB0EE6" w:rsidRDefault="0088182B" w:rsidP="008B5B2F">
            <w:pPr>
              <w:jc w:val="center"/>
              <w:rPr>
                <w:sz w:val="22"/>
              </w:rPr>
            </w:pPr>
            <w:r>
              <w:rPr>
                <w:rFonts w:hint="eastAsia"/>
                <w:sz w:val="22"/>
              </w:rPr>
              <w:t>0.972</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217</w:t>
            </w:r>
          </w:p>
        </w:tc>
        <w:tc>
          <w:tcPr>
            <w:tcW w:w="0" w:type="auto"/>
          </w:tcPr>
          <w:p w:rsidR="0088182B" w:rsidRPr="00CB0EE6" w:rsidRDefault="0088182B" w:rsidP="008B5B2F">
            <w:pPr>
              <w:jc w:val="center"/>
              <w:rPr>
                <w:sz w:val="22"/>
              </w:rPr>
            </w:pPr>
            <w:r>
              <w:rPr>
                <w:rFonts w:hint="eastAsia"/>
                <w:sz w:val="22"/>
              </w:rPr>
              <w:t>0.9765</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273</w:t>
            </w:r>
          </w:p>
        </w:tc>
        <w:tc>
          <w:tcPr>
            <w:tcW w:w="0" w:type="auto"/>
          </w:tcPr>
          <w:p w:rsidR="0088182B" w:rsidRPr="00CB0EE6" w:rsidRDefault="0088182B" w:rsidP="008B5B2F">
            <w:pPr>
              <w:jc w:val="center"/>
              <w:rPr>
                <w:sz w:val="22"/>
              </w:rPr>
            </w:pPr>
            <w:r>
              <w:rPr>
                <w:rFonts w:hint="eastAsia"/>
                <w:sz w:val="22"/>
              </w:rPr>
              <w:t>0.9828</w:t>
            </w:r>
          </w:p>
        </w:tc>
      </w:tr>
      <w:tr w:rsidR="0088182B" w:rsidTr="008B5B2F">
        <w:trPr>
          <w:jc w:val="center"/>
        </w:trPr>
        <w:tc>
          <w:tcPr>
            <w:tcW w:w="0" w:type="auto"/>
          </w:tcPr>
          <w:p w:rsidR="0088182B" w:rsidRPr="00CB0EE6" w:rsidRDefault="0088182B" w:rsidP="008B5B2F">
            <w:pPr>
              <w:jc w:val="center"/>
              <w:rPr>
                <w:sz w:val="22"/>
              </w:rPr>
            </w:pPr>
            <w:r w:rsidRPr="00CB0EE6">
              <w:rPr>
                <w:sz w:val="22"/>
              </w:rPr>
              <w:t>60</w:t>
            </w:r>
          </w:p>
        </w:tc>
        <w:tc>
          <w:tcPr>
            <w:tcW w:w="0" w:type="auto"/>
          </w:tcPr>
          <w:p w:rsidR="0088182B" w:rsidRPr="00CB0EE6" w:rsidRDefault="0088182B" w:rsidP="008B5B2F">
            <w:pPr>
              <w:jc w:val="center"/>
              <w:rPr>
                <w:sz w:val="22"/>
              </w:rPr>
            </w:pPr>
            <w:r w:rsidRPr="00CB0EE6">
              <w:rPr>
                <w:sz w:val="22"/>
              </w:rPr>
              <w:t>24</w:t>
            </w:r>
          </w:p>
        </w:tc>
        <w:tc>
          <w:tcPr>
            <w:tcW w:w="0" w:type="auto"/>
          </w:tcPr>
          <w:p w:rsidR="0088182B" w:rsidRPr="00CB0EE6" w:rsidRDefault="0088182B" w:rsidP="008B5B2F">
            <w:pPr>
              <w:jc w:val="center"/>
              <w:rPr>
                <w:sz w:val="22"/>
              </w:rPr>
            </w:pPr>
            <w:r>
              <w:rPr>
                <w:rFonts w:hint="eastAsia"/>
                <w:sz w:val="22"/>
              </w:rPr>
              <w:t>0.864</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51</w:t>
            </w:r>
          </w:p>
        </w:tc>
        <w:tc>
          <w:tcPr>
            <w:tcW w:w="0" w:type="auto"/>
          </w:tcPr>
          <w:p w:rsidR="0088182B" w:rsidRPr="00CB0EE6" w:rsidRDefault="0088182B" w:rsidP="008B5B2F">
            <w:pPr>
              <w:jc w:val="center"/>
              <w:rPr>
                <w:sz w:val="22"/>
              </w:rPr>
            </w:pPr>
            <w:r>
              <w:rPr>
                <w:rFonts w:hint="eastAsia"/>
                <w:sz w:val="22"/>
              </w:rPr>
              <w:t>0.918</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79</w:t>
            </w:r>
          </w:p>
        </w:tc>
        <w:tc>
          <w:tcPr>
            <w:tcW w:w="0" w:type="auto"/>
          </w:tcPr>
          <w:p w:rsidR="0088182B" w:rsidRPr="00CB0EE6" w:rsidRDefault="0088182B" w:rsidP="008B5B2F">
            <w:pPr>
              <w:jc w:val="center"/>
              <w:rPr>
                <w:sz w:val="22"/>
              </w:rPr>
            </w:pPr>
            <w:r>
              <w:rPr>
                <w:rFonts w:hint="eastAsia"/>
                <w:sz w:val="22"/>
              </w:rPr>
              <w:t>0.948</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107</w:t>
            </w:r>
          </w:p>
        </w:tc>
        <w:tc>
          <w:tcPr>
            <w:tcW w:w="0" w:type="auto"/>
          </w:tcPr>
          <w:p w:rsidR="0088182B" w:rsidRPr="00CB0EE6" w:rsidRDefault="0088182B" w:rsidP="008B5B2F">
            <w:pPr>
              <w:jc w:val="center"/>
              <w:rPr>
                <w:sz w:val="22"/>
              </w:rPr>
            </w:pPr>
            <w:r>
              <w:rPr>
                <w:rFonts w:hint="eastAsia"/>
                <w:sz w:val="22"/>
              </w:rPr>
              <w:t>0.963</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135</w:t>
            </w:r>
          </w:p>
        </w:tc>
        <w:tc>
          <w:tcPr>
            <w:tcW w:w="0" w:type="auto"/>
          </w:tcPr>
          <w:p w:rsidR="0088182B" w:rsidRPr="00CB0EE6" w:rsidRDefault="0088182B" w:rsidP="008B5B2F">
            <w:pPr>
              <w:jc w:val="center"/>
              <w:rPr>
                <w:sz w:val="22"/>
              </w:rPr>
            </w:pPr>
            <w:r>
              <w:rPr>
                <w:rFonts w:hint="eastAsia"/>
                <w:sz w:val="22"/>
              </w:rPr>
              <w:t>0.97</w:t>
            </w:r>
            <w:r>
              <w:rPr>
                <w:sz w:val="22"/>
              </w:rPr>
              <w:t>2</w:t>
            </w:r>
          </w:p>
        </w:tc>
      </w:tr>
    </w:tbl>
    <w:p w:rsidR="0088182B" w:rsidRDefault="0088182B" w:rsidP="0088182B">
      <w:pPr>
        <w:rPr>
          <w:sz w:val="22"/>
        </w:rPr>
      </w:pPr>
    </w:p>
    <w:p w:rsidR="008B5B2F" w:rsidRDefault="0088182B" w:rsidP="0088182B">
      <w:pPr>
        <w:ind w:firstLineChars="150" w:firstLine="330"/>
        <w:rPr>
          <w:bCs/>
          <w:sz w:val="22"/>
        </w:rPr>
      </w:pPr>
      <w:r w:rsidRPr="001B0ABB">
        <w:rPr>
          <w:bCs/>
          <w:sz w:val="22"/>
        </w:rPr>
        <w:t>If NR-U use 20MHz carrier bandwidth, the nodes of NR, LAA and Wi-Fi can be well coexisted as having same bandwidth. LBT is carried out in each 20MHz band, the channel access mechanism of LAA can be used as baseline for the design of NR-U.</w:t>
      </w:r>
    </w:p>
    <w:p w:rsidR="008B5B2F" w:rsidRDefault="0088182B" w:rsidP="0088182B">
      <w:pPr>
        <w:ind w:firstLineChars="150" w:firstLine="330"/>
        <w:rPr>
          <w:bCs/>
          <w:sz w:val="22"/>
        </w:rPr>
      </w:pPr>
      <w:r w:rsidRPr="001B0ABB">
        <w:rPr>
          <w:bCs/>
          <w:sz w:val="22"/>
        </w:rPr>
        <w:t xml:space="preserve">If NR-U use wider carrier bandwidth, </w:t>
      </w:r>
      <w:r>
        <w:rPr>
          <w:bCs/>
          <w:sz w:val="22"/>
        </w:rPr>
        <w:t>t</w:t>
      </w:r>
      <w:r w:rsidRPr="00E665F8">
        <w:rPr>
          <w:bCs/>
          <w:sz w:val="22"/>
        </w:rPr>
        <w:t>aking 80MHz carrier bandwidth as an example</w:t>
      </w:r>
      <w:r w:rsidRPr="001B0ABB">
        <w:rPr>
          <w:bCs/>
          <w:sz w:val="22"/>
        </w:rPr>
        <w:t>,</w:t>
      </w:r>
      <w:r>
        <w:rPr>
          <w:bCs/>
          <w:sz w:val="22"/>
        </w:rPr>
        <w:t xml:space="preserve"> the </w:t>
      </w:r>
      <w:r w:rsidRPr="00C17DAF">
        <w:rPr>
          <w:bCs/>
          <w:sz w:val="22"/>
        </w:rPr>
        <w:t>implementation complexity for both eNB and UE</w:t>
      </w:r>
      <w:r>
        <w:rPr>
          <w:bCs/>
          <w:sz w:val="22"/>
        </w:rPr>
        <w:t xml:space="preserve"> can be reduced. Meanwhile, the OCB can get 6% promotion for 30kHz SCS and 11% for 60kHz SCS. </w:t>
      </w:r>
    </w:p>
    <w:p w:rsidR="008B5B2F" w:rsidRDefault="008B5B2F" w:rsidP="00547A44">
      <w:pPr>
        <w:jc w:val="both"/>
        <w:rPr>
          <w:bCs/>
          <w:sz w:val="22"/>
        </w:rPr>
      </w:pPr>
      <w:r>
        <w:rPr>
          <w:rFonts w:eastAsiaTheme="minorEastAsia" w:hint="eastAsia"/>
          <w:b/>
          <w:i/>
          <w:sz w:val="22"/>
          <w:szCs w:val="22"/>
          <w:lang w:val="en-US" w:eastAsia="zh-CN"/>
        </w:rPr>
        <w:t>Observation 1:</w:t>
      </w:r>
      <w:r>
        <w:rPr>
          <w:rFonts w:eastAsiaTheme="minorEastAsia"/>
          <w:b/>
          <w:i/>
          <w:sz w:val="22"/>
          <w:szCs w:val="22"/>
          <w:lang w:val="en-US" w:eastAsia="zh-CN"/>
        </w:rPr>
        <w:t xml:space="preserve"> Frequency resource utilization can be increased</w:t>
      </w:r>
      <w:r w:rsidR="00547A44">
        <w:rPr>
          <w:rFonts w:eastAsiaTheme="minorEastAsia"/>
          <w:b/>
          <w:i/>
          <w:sz w:val="22"/>
          <w:szCs w:val="22"/>
          <w:lang w:val="en-US" w:eastAsia="zh-CN"/>
        </w:rPr>
        <w:t xml:space="preserve"> for larger access bandwidth</w:t>
      </w:r>
      <w:r>
        <w:rPr>
          <w:rFonts w:eastAsiaTheme="minorEastAsia" w:hint="eastAsia"/>
          <w:b/>
          <w:i/>
          <w:sz w:val="22"/>
          <w:szCs w:val="22"/>
          <w:lang w:val="en-US" w:eastAsia="zh-CN"/>
        </w:rPr>
        <w:t>.</w:t>
      </w:r>
    </w:p>
    <w:p w:rsidR="0088182B" w:rsidRDefault="0088182B" w:rsidP="0088182B">
      <w:pPr>
        <w:ind w:firstLineChars="150" w:firstLine="330"/>
        <w:rPr>
          <w:bCs/>
          <w:sz w:val="22"/>
        </w:rPr>
      </w:pPr>
      <w:r>
        <w:rPr>
          <w:bCs/>
          <w:sz w:val="22"/>
        </w:rPr>
        <w:t>However,</w:t>
      </w:r>
      <w:r w:rsidRPr="001B0ABB">
        <w:rPr>
          <w:bCs/>
          <w:sz w:val="22"/>
        </w:rPr>
        <w:t xml:space="preserve"> some issues may occur</w:t>
      </w:r>
      <w:r>
        <w:rPr>
          <w:bCs/>
          <w:sz w:val="22"/>
        </w:rPr>
        <w:t xml:space="preserve"> when the carriers of different bandwidth coexists in the unlicensed spectrum</w:t>
      </w:r>
      <w:r w:rsidRPr="001B0ABB">
        <w:rPr>
          <w:bCs/>
          <w:sz w:val="22"/>
        </w:rPr>
        <w:t xml:space="preserve">. </w:t>
      </w:r>
      <w:r>
        <w:rPr>
          <w:bCs/>
          <w:sz w:val="22"/>
        </w:rPr>
        <w:t>For instance, i</w:t>
      </w:r>
      <w:r w:rsidRPr="001B0ABB">
        <w:rPr>
          <w:bCs/>
          <w:sz w:val="22"/>
        </w:rPr>
        <w:t xml:space="preserve">f </w:t>
      </w:r>
      <w:r>
        <w:rPr>
          <w:bCs/>
          <w:sz w:val="22"/>
        </w:rPr>
        <w:t>an 80MHz</w:t>
      </w:r>
      <w:r w:rsidRPr="001B0ABB">
        <w:rPr>
          <w:bCs/>
          <w:sz w:val="22"/>
        </w:rPr>
        <w:t xml:space="preserve"> carrier is blocked by a 20MHz carrier suddenly before transmission, there is no time left to adjust or rate match transmission signals</w:t>
      </w:r>
      <w:r w:rsidR="00547A44">
        <w:rPr>
          <w:bCs/>
          <w:sz w:val="22"/>
        </w:rPr>
        <w:t>,</w:t>
      </w:r>
      <w:r>
        <w:rPr>
          <w:bCs/>
          <w:sz w:val="22"/>
        </w:rPr>
        <w:t xml:space="preserve"> e</w:t>
      </w:r>
      <w:r w:rsidRPr="001B0ABB">
        <w:rPr>
          <w:bCs/>
          <w:sz w:val="22"/>
        </w:rPr>
        <w:t xml:space="preserve">xcept </w:t>
      </w:r>
      <w:r w:rsidR="00547A44">
        <w:rPr>
          <w:bCs/>
          <w:sz w:val="22"/>
        </w:rPr>
        <w:t xml:space="preserve">puncturing </w:t>
      </w:r>
      <w:r w:rsidRPr="001B0ABB">
        <w:rPr>
          <w:bCs/>
          <w:sz w:val="22"/>
        </w:rPr>
        <w:t xml:space="preserve">the 20MHz bandwidth resources immediately. </w:t>
      </w:r>
      <w:r w:rsidR="00547A44">
        <w:rPr>
          <w:bCs/>
          <w:sz w:val="22"/>
        </w:rPr>
        <w:t>If LBT for channel access is based on the whole bandwidth, t</w:t>
      </w:r>
      <w:r w:rsidRPr="001B0ABB">
        <w:rPr>
          <w:bCs/>
          <w:sz w:val="22"/>
        </w:rPr>
        <w:t xml:space="preserve">he rest 60MHz bandwidth cannot be used </w:t>
      </w:r>
      <w:r w:rsidR="00547A44">
        <w:rPr>
          <w:bCs/>
          <w:sz w:val="22"/>
        </w:rPr>
        <w:t>at this moment</w:t>
      </w:r>
      <w:r w:rsidRPr="001B0ABB">
        <w:rPr>
          <w:bCs/>
          <w:sz w:val="22"/>
        </w:rPr>
        <w:t xml:space="preserve">, but </w:t>
      </w:r>
      <w:r w:rsidR="00547A44">
        <w:rPr>
          <w:bCs/>
          <w:sz w:val="22"/>
        </w:rPr>
        <w:t>wait for</w:t>
      </w:r>
      <w:r w:rsidRPr="001B0ABB">
        <w:rPr>
          <w:bCs/>
          <w:sz w:val="22"/>
        </w:rPr>
        <w:t xml:space="preserve"> the next round of LBT channel competition. There is no doubt that it is a waste of resources.</w:t>
      </w:r>
      <w:r w:rsidR="00547A44">
        <w:rPr>
          <w:bCs/>
          <w:sz w:val="22"/>
        </w:rPr>
        <w:t xml:space="preserve"> However, even if LBT can be performed in each 20MHz bandwidth and punctured signal transmission is supported, there is also issue that almost every code blocks are under influence of punctured bandwidth and hard to decode correctly as left of figure 1 shows.</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959"/>
      </w:tblGrid>
      <w:tr w:rsidR="0088182B" w:rsidTr="0088182B">
        <w:tc>
          <w:tcPr>
            <w:tcW w:w="4928" w:type="dxa"/>
          </w:tcPr>
          <w:p w:rsidR="0088182B" w:rsidRDefault="0088182B" w:rsidP="0088182B">
            <w:pPr>
              <w:rPr>
                <w:bCs/>
                <w:sz w:val="22"/>
              </w:rPr>
            </w:pPr>
            <w:r>
              <w:object w:dxaOrig="10345" w:dyaOrig="7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181.2pt" o:ole="">
                  <v:imagedata r:id="rId8" o:title=""/>
                </v:shape>
                <o:OLEObject Type="Embed" ProgID="Visio.Drawing.11" ShapeID="_x0000_i1025" DrawAspect="Content" ObjectID="_1587534864" r:id="rId9"/>
              </w:object>
            </w:r>
          </w:p>
        </w:tc>
        <w:tc>
          <w:tcPr>
            <w:tcW w:w="4929" w:type="dxa"/>
          </w:tcPr>
          <w:p w:rsidR="0088182B" w:rsidRDefault="0088182B" w:rsidP="0088182B">
            <w:pPr>
              <w:rPr>
                <w:bCs/>
                <w:sz w:val="22"/>
              </w:rPr>
            </w:pPr>
            <w:r>
              <w:object w:dxaOrig="10345" w:dyaOrig="7872">
                <v:shape id="_x0000_i1026" type="#_x0000_t75" style="width:241.8pt;height:184.2pt" o:ole="">
                  <v:imagedata r:id="rId10" o:title=""/>
                </v:shape>
                <o:OLEObject Type="Embed" ProgID="Visio.Drawing.11" ShapeID="_x0000_i1026" DrawAspect="Content" ObjectID="_1587534865" r:id="rId11"/>
              </w:object>
            </w:r>
          </w:p>
        </w:tc>
      </w:tr>
    </w:tbl>
    <w:p w:rsidR="0088182B" w:rsidRDefault="0088182B" w:rsidP="0088182B">
      <w:pPr>
        <w:jc w:val="center"/>
      </w:pPr>
      <w:r>
        <w:t xml:space="preserve">Figure 1: </w:t>
      </w:r>
      <w:r w:rsidRPr="009D4E62">
        <w:t xml:space="preserve"> example of </w:t>
      </w:r>
      <w:r>
        <w:t>bandwidth group based LBT</w:t>
      </w:r>
    </w:p>
    <w:p w:rsidR="0088182B" w:rsidRDefault="0088182B" w:rsidP="0088182B">
      <w:pPr>
        <w:ind w:firstLineChars="150" w:firstLine="330"/>
        <w:rPr>
          <w:bCs/>
          <w:sz w:val="22"/>
        </w:rPr>
      </w:pPr>
      <w:r w:rsidRPr="001B0ABB">
        <w:rPr>
          <w:bCs/>
          <w:sz w:val="22"/>
        </w:rPr>
        <w:t xml:space="preserve">By dividing the wide band transmission into multiple bandwidth groups, the above problems will turn into that even if part of the frequency band is occupied, it will not waste the entire wideband bandwidth. As shown in </w:t>
      </w:r>
      <w:r w:rsidR="00547A44">
        <w:rPr>
          <w:bCs/>
          <w:sz w:val="22"/>
        </w:rPr>
        <w:t>the right of figure 1</w:t>
      </w:r>
      <w:r w:rsidRPr="001B0ABB">
        <w:rPr>
          <w:bCs/>
          <w:sz w:val="22"/>
        </w:rPr>
        <w:t xml:space="preserve">, the whole 80MHz is divided into 4 bandwidth groups of each 20MHz. The mapping of coded bits to physical REs is in </w:t>
      </w:r>
      <w:r w:rsidR="00547A44">
        <w:rPr>
          <w:bCs/>
          <w:sz w:val="22"/>
        </w:rPr>
        <w:t>frequency</w:t>
      </w:r>
      <w:r w:rsidRPr="001B0ABB">
        <w:rPr>
          <w:bCs/>
          <w:sz w:val="22"/>
        </w:rPr>
        <w:t xml:space="preserve"> fir</w:t>
      </w:r>
      <w:r>
        <w:rPr>
          <w:bCs/>
          <w:sz w:val="22"/>
        </w:rPr>
        <w:t>st, then time, then group. If a</w:t>
      </w:r>
      <w:r w:rsidRPr="001B0ABB">
        <w:rPr>
          <w:bCs/>
          <w:sz w:val="22"/>
        </w:rPr>
        <w:t xml:space="preserve"> Wi-Fi </w:t>
      </w:r>
      <w:r>
        <w:rPr>
          <w:bCs/>
          <w:sz w:val="22"/>
        </w:rPr>
        <w:t xml:space="preserve">note of 20MHz </w:t>
      </w:r>
      <w:r w:rsidRPr="001B0ABB">
        <w:rPr>
          <w:bCs/>
          <w:sz w:val="22"/>
        </w:rPr>
        <w:t xml:space="preserve">is occupying channel suddenly before transmission, only limited CBGs are under influence. For example, </w:t>
      </w:r>
      <w:r w:rsidRPr="001B0ABB">
        <w:rPr>
          <w:bCs/>
          <w:sz w:val="22"/>
        </w:rPr>
        <w:lastRenderedPageBreak/>
        <w:t>there are 8 CBGs, and 2 CBGs (1/4 of total) are under influence and need retransmission. Which enables higher spectrum utilization for wider bandwidth operation under the competitive channel access mechanism.</w:t>
      </w:r>
    </w:p>
    <w:p w:rsidR="004E2915" w:rsidRDefault="004E2915" w:rsidP="004E2915">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 </w:t>
      </w:r>
      <w:r>
        <w:rPr>
          <w:rFonts w:eastAsiaTheme="minorEastAsia"/>
          <w:b/>
          <w:i/>
          <w:sz w:val="22"/>
          <w:szCs w:val="22"/>
          <w:lang w:val="en-US" w:eastAsia="zh-CN"/>
        </w:rPr>
        <w:t>S</w:t>
      </w:r>
      <w:r>
        <w:rPr>
          <w:rFonts w:eastAsiaTheme="minorEastAsia" w:hint="eastAsia"/>
          <w:b/>
          <w:i/>
          <w:sz w:val="22"/>
          <w:szCs w:val="22"/>
          <w:lang w:val="en-US" w:eastAsia="zh-CN"/>
        </w:rPr>
        <w:t>ubband</w:t>
      </w:r>
      <w:r>
        <w:rPr>
          <w:rFonts w:eastAsiaTheme="minorEastAsia"/>
          <w:b/>
          <w:i/>
          <w:sz w:val="22"/>
          <w:szCs w:val="22"/>
          <w:lang w:val="en-US" w:eastAsia="zh-CN"/>
        </w:rPr>
        <w:t xml:space="preserve"> group based channel access procedures for wide bandwidth operation should be studied</w:t>
      </w:r>
      <w:r>
        <w:rPr>
          <w:rFonts w:eastAsiaTheme="minorEastAsia" w:hint="eastAsia"/>
          <w:b/>
          <w:i/>
          <w:sz w:val="22"/>
          <w:szCs w:val="22"/>
          <w:lang w:val="en-US" w:eastAsia="zh-CN"/>
        </w:rPr>
        <w:t>.</w:t>
      </w:r>
    </w:p>
    <w:p w:rsidR="004E2915" w:rsidRPr="0088182B" w:rsidRDefault="004E2915" w:rsidP="004E2915">
      <w:pPr>
        <w:jc w:val="both"/>
        <w:rPr>
          <w:b/>
          <w:sz w:val="28"/>
          <w:szCs w:val="28"/>
          <w:lang w:val="en-US"/>
        </w:rPr>
      </w:pPr>
    </w:p>
    <w:p w:rsidR="0088182B" w:rsidRPr="00CE334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8182B" w:rsidRPr="00CE334B" w:rsidRDefault="0088182B" w:rsidP="0088182B">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we provided our views on </w:t>
      </w:r>
      <w:r>
        <w:rPr>
          <w:rFonts w:eastAsia="宋体"/>
          <w:color w:val="000000" w:themeColor="text1"/>
          <w:sz w:val="22"/>
          <w:szCs w:val="22"/>
          <w:lang w:eastAsia="zh-CN"/>
        </w:rPr>
        <w:t xml:space="preserve">channel access procedure </w:t>
      </w:r>
      <w:r w:rsidRPr="00E32E12">
        <w:rPr>
          <w:rFonts w:eastAsia="宋体"/>
          <w:color w:val="000000" w:themeColor="text1"/>
          <w:sz w:val="22"/>
          <w:szCs w:val="22"/>
          <w:lang w:eastAsia="zh-CN"/>
        </w:rPr>
        <w:t xml:space="preserve">as single carrier with bandwidth greater than 20 MHz </w:t>
      </w:r>
      <w:r>
        <w:rPr>
          <w:rFonts w:eastAsia="宋体"/>
          <w:color w:val="000000" w:themeColor="text1"/>
          <w:sz w:val="22"/>
          <w:szCs w:val="22"/>
          <w:lang w:eastAsia="zh-CN"/>
        </w:rPr>
        <w:t>for NR-U</w:t>
      </w:r>
      <w:r w:rsidRPr="00CE334B">
        <w:rPr>
          <w:rFonts w:eastAsia="宋体" w:hint="eastAsia"/>
          <w:color w:val="000000" w:themeColor="text1"/>
          <w:sz w:val="22"/>
          <w:szCs w:val="22"/>
          <w:lang w:eastAsia="zh-CN"/>
        </w:rPr>
        <w:t xml:space="preserve"> and propose</w:t>
      </w:r>
      <w:r>
        <w:rPr>
          <w:rFonts w:eastAsia="宋体" w:hint="eastAsia"/>
          <w:color w:val="000000" w:themeColor="text1"/>
          <w:sz w:val="22"/>
          <w:szCs w:val="22"/>
          <w:lang w:eastAsia="zh-CN"/>
        </w:rPr>
        <w:t>d</w:t>
      </w:r>
      <w:r w:rsidRPr="00CE334B">
        <w:rPr>
          <w:rFonts w:eastAsia="宋体" w:hint="eastAsia"/>
          <w:color w:val="000000" w:themeColor="text1"/>
          <w:sz w:val="22"/>
          <w:szCs w:val="22"/>
          <w:lang w:eastAsia="zh-CN"/>
        </w:rPr>
        <w:t xml:space="preserve"> that:</w:t>
      </w:r>
    </w:p>
    <w:p w:rsidR="00547A44" w:rsidRDefault="00547A44" w:rsidP="00547A44">
      <w:pPr>
        <w:jc w:val="both"/>
        <w:rPr>
          <w:bCs/>
          <w:sz w:val="22"/>
        </w:rPr>
      </w:pPr>
      <w:r>
        <w:rPr>
          <w:rFonts w:eastAsiaTheme="minorEastAsia" w:hint="eastAsia"/>
          <w:b/>
          <w:i/>
          <w:sz w:val="22"/>
          <w:szCs w:val="22"/>
          <w:lang w:val="en-US" w:eastAsia="zh-CN"/>
        </w:rPr>
        <w:t>Observation 1:</w:t>
      </w:r>
      <w:r>
        <w:rPr>
          <w:rFonts w:eastAsiaTheme="minorEastAsia"/>
          <w:b/>
          <w:i/>
          <w:sz w:val="22"/>
          <w:szCs w:val="22"/>
          <w:lang w:val="en-US" w:eastAsia="zh-CN"/>
        </w:rPr>
        <w:t xml:space="preserve"> Frequency resource utilization can be increased for larger access bandwidth</w:t>
      </w:r>
      <w:r>
        <w:rPr>
          <w:rFonts w:eastAsiaTheme="minorEastAsia" w:hint="eastAsia"/>
          <w:b/>
          <w:i/>
          <w:sz w:val="22"/>
          <w:szCs w:val="22"/>
          <w:lang w:val="en-US" w:eastAsia="zh-CN"/>
        </w:rPr>
        <w:t>.</w:t>
      </w:r>
    </w:p>
    <w:p w:rsidR="0088182B" w:rsidRDefault="0088182B" w:rsidP="0088182B">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004E2915">
        <w:rPr>
          <w:rFonts w:eastAsiaTheme="minorEastAsia" w:hint="eastAsia"/>
          <w:b/>
          <w:i/>
          <w:sz w:val="22"/>
          <w:szCs w:val="22"/>
          <w:lang w:val="en-US" w:eastAsia="zh-CN"/>
        </w:rPr>
        <w:t xml:space="preserve">: </w:t>
      </w:r>
      <w:r w:rsidR="004E2915">
        <w:rPr>
          <w:rFonts w:eastAsiaTheme="minorEastAsia"/>
          <w:b/>
          <w:i/>
          <w:sz w:val="22"/>
          <w:szCs w:val="22"/>
          <w:lang w:val="en-US" w:eastAsia="zh-CN"/>
        </w:rPr>
        <w:t>S</w:t>
      </w:r>
      <w:r w:rsidR="004E2915">
        <w:rPr>
          <w:rFonts w:eastAsiaTheme="minorEastAsia" w:hint="eastAsia"/>
          <w:b/>
          <w:i/>
          <w:sz w:val="22"/>
          <w:szCs w:val="22"/>
          <w:lang w:val="en-US" w:eastAsia="zh-CN"/>
        </w:rPr>
        <w:t>ubband</w:t>
      </w:r>
      <w:r w:rsidR="004E2915">
        <w:rPr>
          <w:rFonts w:eastAsiaTheme="minorEastAsia"/>
          <w:b/>
          <w:i/>
          <w:sz w:val="22"/>
          <w:szCs w:val="22"/>
          <w:lang w:val="en-US" w:eastAsia="zh-CN"/>
        </w:rPr>
        <w:t xml:space="preserve"> group based channel access procedures for wide bandwidth operation should be studied</w:t>
      </w:r>
      <w:r>
        <w:rPr>
          <w:rFonts w:eastAsiaTheme="minorEastAsia" w:hint="eastAsia"/>
          <w:b/>
          <w:i/>
          <w:sz w:val="22"/>
          <w:szCs w:val="22"/>
          <w:lang w:val="en-US" w:eastAsia="zh-CN"/>
        </w:rPr>
        <w:t>.</w:t>
      </w:r>
    </w:p>
    <w:p w:rsidR="004E2915" w:rsidRPr="0088182B" w:rsidRDefault="004E2915" w:rsidP="0088182B">
      <w:pPr>
        <w:jc w:val="both"/>
        <w:rPr>
          <w:b/>
          <w:sz w:val="28"/>
          <w:szCs w:val="28"/>
          <w:lang w:val="en-US"/>
        </w:rPr>
      </w:pPr>
    </w:p>
    <w:p w:rsidR="0088182B" w:rsidRPr="0088182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88182B">
        <w:rPr>
          <w:rFonts w:ascii="Times New Roman" w:eastAsia="宋体" w:hAnsi="Times New Roman" w:cs="Times New Roman"/>
          <w:bCs w:val="0"/>
          <w:color w:val="auto"/>
          <w:kern w:val="32"/>
          <w:lang w:val="en-US" w:eastAsia="zh-CN"/>
        </w:rPr>
        <w:t>Reference</w:t>
      </w:r>
    </w:p>
    <w:p w:rsidR="0088182B" w:rsidRDefault="0088182B" w:rsidP="0088182B">
      <w:pPr>
        <w:contextualSpacing/>
        <w:rPr>
          <w:rFonts w:eastAsia="宋体"/>
          <w:color w:val="000000"/>
        </w:rPr>
      </w:pPr>
      <w:r w:rsidRPr="003344EE">
        <w:rPr>
          <w:rFonts w:eastAsia="宋体"/>
          <w:color w:val="000000"/>
        </w:rPr>
        <w:t>[1]</w:t>
      </w:r>
      <w:r w:rsidRPr="00407D97">
        <w:rPr>
          <w:rFonts w:eastAsia="宋体"/>
          <w:color w:val="000000"/>
        </w:rPr>
        <w:t xml:space="preserve"> RP-172021, Revised SID on NR-based Access to Unlicensed Spectrum, Qualcomm Incorporated, 3GPP TSG RAN Meeting #77, September, 2017.</w:t>
      </w:r>
    </w:p>
    <w:p w:rsidR="0088182B" w:rsidRDefault="0088182B" w:rsidP="0088182B">
      <w:pPr>
        <w:contextualSpacing/>
        <w:rPr>
          <w:rFonts w:eastAsia="宋体"/>
          <w:color w:val="000000"/>
        </w:rPr>
      </w:pPr>
      <w:r>
        <w:rPr>
          <w:rFonts w:eastAsia="宋体"/>
          <w:color w:val="000000"/>
        </w:rPr>
        <w:t>[2]</w:t>
      </w:r>
      <w:r w:rsidRPr="003344EE">
        <w:rPr>
          <w:rFonts w:eastAsia="宋体"/>
          <w:color w:val="000000"/>
        </w:rPr>
        <w:t xml:space="preserve"> RAN1 Chairman’s Notes, 3G</w:t>
      </w:r>
      <w:r>
        <w:rPr>
          <w:rFonts w:eastAsia="宋体"/>
          <w:color w:val="000000"/>
        </w:rPr>
        <w:t xml:space="preserve">PP TSG RAN WG1 Meeting #92bis, </w:t>
      </w:r>
      <w:r w:rsidRPr="003344EE">
        <w:rPr>
          <w:rFonts w:eastAsia="宋体"/>
          <w:color w:val="000000"/>
        </w:rPr>
        <w:t>Sanya, China, April 16th – 20th, 2018</w:t>
      </w:r>
      <w:r>
        <w:rPr>
          <w:rFonts w:eastAsia="宋体"/>
          <w:color w:val="000000"/>
        </w:rPr>
        <w:t>.</w:t>
      </w:r>
    </w:p>
    <w:p w:rsidR="0088182B" w:rsidRDefault="0088182B" w:rsidP="0088182B">
      <w:pPr>
        <w:contextualSpacing/>
        <w:rPr>
          <w:rFonts w:eastAsia="宋体"/>
          <w:color w:val="000000"/>
        </w:rPr>
      </w:pPr>
      <w:r>
        <w:rPr>
          <w:rFonts w:eastAsia="宋体"/>
          <w:color w:val="000000"/>
        </w:rPr>
        <w:t xml:space="preserve">[3] </w:t>
      </w:r>
      <w:r w:rsidRPr="009F468B">
        <w:rPr>
          <w:rFonts w:eastAsia="宋体"/>
          <w:color w:val="000000"/>
        </w:rPr>
        <w:t>3GPP T</w:t>
      </w:r>
      <w:r>
        <w:rPr>
          <w:rFonts w:eastAsia="宋体"/>
          <w:color w:val="000000"/>
        </w:rPr>
        <w:t>S</w:t>
      </w:r>
      <w:r w:rsidRPr="009F468B">
        <w:rPr>
          <w:rFonts w:eastAsia="宋体"/>
          <w:color w:val="000000"/>
        </w:rPr>
        <w:t xml:space="preserve"> 3</w:t>
      </w:r>
      <w:r>
        <w:rPr>
          <w:rFonts w:eastAsia="宋体"/>
          <w:color w:val="000000"/>
        </w:rPr>
        <w:t>8</w:t>
      </w:r>
      <w:r w:rsidRPr="009F468B">
        <w:rPr>
          <w:rFonts w:eastAsia="宋体"/>
          <w:color w:val="000000"/>
        </w:rPr>
        <w:t>.</w:t>
      </w:r>
      <w:r>
        <w:rPr>
          <w:rFonts w:eastAsia="宋体"/>
          <w:color w:val="000000"/>
        </w:rPr>
        <w:t>101</w:t>
      </w:r>
      <w:r w:rsidRPr="009F468B">
        <w:rPr>
          <w:rFonts w:eastAsia="宋体"/>
          <w:color w:val="000000"/>
        </w:rPr>
        <w:t>, User Equipment (UE) radio transmission and reception, V15.1.0 (2018-03).</w:t>
      </w:r>
    </w:p>
    <w:p w:rsidR="00DD63FA" w:rsidRPr="00DD63FA" w:rsidRDefault="00DD63FA" w:rsidP="00DD63FA">
      <w:pPr>
        <w:rPr>
          <w:rFonts w:eastAsia="宋体"/>
          <w:color w:val="000000"/>
          <w:lang w:eastAsia="zh-CN"/>
        </w:rPr>
      </w:pPr>
      <w:bookmarkStart w:id="4" w:name="_GoBack"/>
      <w:bookmarkEnd w:id="4"/>
    </w:p>
    <w:sectPr w:rsidR="00DD63FA" w:rsidRPr="00DD63FA"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42A" w:rsidRPr="00D733E0" w:rsidRDefault="001E742A" w:rsidP="00D400AF">
      <w:pPr>
        <w:spacing w:after="0"/>
        <w:rPr>
          <w:rFonts w:ascii="Arial" w:eastAsia="宋体" w:hAnsi="Arial" w:cs="Arial"/>
          <w:color w:val="0000FF"/>
          <w:kern w:val="2"/>
          <w:lang w:val="en-US" w:eastAsia="zh-CN"/>
        </w:rPr>
      </w:pPr>
      <w:r>
        <w:separator/>
      </w:r>
    </w:p>
  </w:endnote>
  <w:endnote w:type="continuationSeparator" w:id="0">
    <w:p w:rsidR="001E742A" w:rsidRPr="00D733E0" w:rsidRDefault="001E742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1703D" w:rsidRPr="0001703D">
          <w:rPr>
            <w:noProof/>
            <w:sz w:val="21"/>
            <w:lang w:val="zh-CN" w:eastAsia="zh-CN"/>
          </w:rPr>
          <w:t>2</w:t>
        </w:r>
        <w:r w:rsidRPr="007A56A3">
          <w:rPr>
            <w:sz w:val="21"/>
          </w:rPr>
          <w:fldChar w:fldCharType="end"/>
        </w:r>
      </w:p>
    </w:sdtContent>
  </w:sdt>
  <w:p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42A" w:rsidRPr="00D733E0" w:rsidRDefault="001E742A" w:rsidP="00D400AF">
      <w:pPr>
        <w:spacing w:after="0"/>
        <w:rPr>
          <w:rFonts w:ascii="Arial" w:eastAsia="宋体" w:hAnsi="Arial" w:cs="Arial"/>
          <w:color w:val="0000FF"/>
          <w:kern w:val="2"/>
          <w:lang w:val="en-US" w:eastAsia="zh-CN"/>
        </w:rPr>
      </w:pPr>
      <w:r>
        <w:separator/>
      </w:r>
    </w:p>
  </w:footnote>
  <w:footnote w:type="continuationSeparator" w:id="0">
    <w:p w:rsidR="001E742A" w:rsidRPr="00D733E0" w:rsidRDefault="001E742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EB1A11"/>
    <w:multiLevelType w:val="hybridMultilevel"/>
    <w:tmpl w:val="4D4A618E"/>
    <w:lvl w:ilvl="0" w:tplc="148CC3C2">
      <w:numFmt w:val="bullet"/>
      <w:lvlText w:val="•"/>
      <w:lvlJc w:val="left"/>
      <w:pPr>
        <w:ind w:left="735" w:hanging="420"/>
      </w:pPr>
      <w:rPr>
        <w:rFonts w:ascii="宋体" w:eastAsia="宋体" w:hAnsi="宋体" w:cs="Times New Roman" w:hint="eastAsia"/>
        <w:lang w:val="en-US"/>
      </w:rPr>
    </w:lvl>
    <w:lvl w:ilvl="1" w:tplc="04090005">
      <w:start w:val="1"/>
      <w:numFmt w:val="bullet"/>
      <w:lvlText w:val=""/>
      <w:lvlJc w:val="left"/>
      <w:pPr>
        <w:ind w:left="1155" w:hanging="420"/>
      </w:pPr>
      <w:rPr>
        <w:rFonts w:ascii="Wingdings" w:hAnsi="Wingdings" w:hint="default"/>
      </w:rPr>
    </w:lvl>
    <w:lvl w:ilvl="2" w:tplc="04090005">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41A1A"/>
    <w:multiLevelType w:val="hybridMultilevel"/>
    <w:tmpl w:val="81E00D00"/>
    <w:lvl w:ilvl="0" w:tplc="BBCAB974">
      <w:start w:val="1"/>
      <w:numFmt w:val="bullet"/>
      <w:lvlText w:val="•"/>
      <w:lvlJc w:val="left"/>
      <w:pPr>
        <w:tabs>
          <w:tab w:val="num" w:pos="720"/>
        </w:tabs>
        <w:ind w:left="720" w:hanging="360"/>
      </w:pPr>
      <w:rPr>
        <w:rFonts w:ascii="Arial" w:hAnsi="Arial" w:hint="default"/>
      </w:rPr>
    </w:lvl>
    <w:lvl w:ilvl="1" w:tplc="211C7980">
      <w:start w:val="1"/>
      <w:numFmt w:val="bullet"/>
      <w:lvlText w:val=""/>
      <w:lvlJc w:val="left"/>
      <w:pPr>
        <w:tabs>
          <w:tab w:val="num" w:pos="1440"/>
        </w:tabs>
        <w:ind w:left="1440" w:hanging="360"/>
      </w:pPr>
      <w:rPr>
        <w:rFonts w:ascii="Wingdings" w:hAnsi="Wingdings" w:cs="Wingdings"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3A36C4"/>
    <w:multiLevelType w:val="hybridMultilevel"/>
    <w:tmpl w:val="91165EFE"/>
    <w:lvl w:ilvl="0" w:tplc="550AF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9E4308"/>
    <w:multiLevelType w:val="hybridMultilevel"/>
    <w:tmpl w:val="F8568F74"/>
    <w:lvl w:ilvl="0" w:tplc="652E3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0"/>
  </w:num>
  <w:num w:numId="4">
    <w:abstractNumId w:val="9"/>
  </w:num>
  <w:num w:numId="5">
    <w:abstractNumId w:val="4"/>
  </w:num>
  <w:num w:numId="6">
    <w:abstractNumId w:val="15"/>
  </w:num>
  <w:num w:numId="7">
    <w:abstractNumId w:val="13"/>
  </w:num>
  <w:num w:numId="8">
    <w:abstractNumId w:val="5"/>
  </w:num>
  <w:num w:numId="9">
    <w:abstractNumId w:val="7"/>
  </w:num>
  <w:num w:numId="10">
    <w:abstractNumId w:val="8"/>
  </w:num>
  <w:num w:numId="11">
    <w:abstractNumId w:val="14"/>
  </w:num>
  <w:num w:numId="12">
    <w:abstractNumId w:val="3"/>
  </w:num>
  <w:num w:numId="13">
    <w:abstractNumId w:val="6"/>
  </w:num>
  <w:num w:numId="14">
    <w:abstractNumId w:val="16"/>
  </w:num>
  <w:num w:numId="15">
    <w:abstractNumId w:val="11"/>
  </w:num>
  <w:num w:numId="16">
    <w:abstractNumId w:val="1"/>
  </w:num>
  <w:num w:numId="1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2D06"/>
    <w:rsid w:val="00003642"/>
    <w:rsid w:val="0000390B"/>
    <w:rsid w:val="00004A85"/>
    <w:rsid w:val="00005974"/>
    <w:rsid w:val="000061D6"/>
    <w:rsid w:val="00013AB2"/>
    <w:rsid w:val="000140A2"/>
    <w:rsid w:val="000148A6"/>
    <w:rsid w:val="0001540B"/>
    <w:rsid w:val="00016683"/>
    <w:rsid w:val="0001703D"/>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9EE"/>
    <w:rsid w:val="00046FC3"/>
    <w:rsid w:val="000472D7"/>
    <w:rsid w:val="00047F8B"/>
    <w:rsid w:val="00055E84"/>
    <w:rsid w:val="0005775A"/>
    <w:rsid w:val="000605C5"/>
    <w:rsid w:val="000609E1"/>
    <w:rsid w:val="00060F59"/>
    <w:rsid w:val="00061D32"/>
    <w:rsid w:val="000626F7"/>
    <w:rsid w:val="00062A5B"/>
    <w:rsid w:val="00062C1D"/>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6264"/>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0CC2"/>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56BEE"/>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6AC5"/>
    <w:rsid w:val="001C76E8"/>
    <w:rsid w:val="001D02C5"/>
    <w:rsid w:val="001D0EF4"/>
    <w:rsid w:val="001D200D"/>
    <w:rsid w:val="001D2D63"/>
    <w:rsid w:val="001E1C35"/>
    <w:rsid w:val="001E71EF"/>
    <w:rsid w:val="001E742A"/>
    <w:rsid w:val="001F0668"/>
    <w:rsid w:val="001F107C"/>
    <w:rsid w:val="001F3148"/>
    <w:rsid w:val="001F31D5"/>
    <w:rsid w:val="001F4100"/>
    <w:rsid w:val="001F5AD3"/>
    <w:rsid w:val="001F75F2"/>
    <w:rsid w:val="00203A9D"/>
    <w:rsid w:val="00203CBA"/>
    <w:rsid w:val="002050D9"/>
    <w:rsid w:val="00205701"/>
    <w:rsid w:val="00210CFC"/>
    <w:rsid w:val="0021115F"/>
    <w:rsid w:val="002116D2"/>
    <w:rsid w:val="002120E6"/>
    <w:rsid w:val="002127EA"/>
    <w:rsid w:val="00212C67"/>
    <w:rsid w:val="00212F21"/>
    <w:rsid w:val="0021350D"/>
    <w:rsid w:val="00215216"/>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3CFA"/>
    <w:rsid w:val="00371C6F"/>
    <w:rsid w:val="003749BE"/>
    <w:rsid w:val="00375B67"/>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37791"/>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2915"/>
    <w:rsid w:val="004E360A"/>
    <w:rsid w:val="004E44B5"/>
    <w:rsid w:val="004F0D4E"/>
    <w:rsid w:val="004F52F8"/>
    <w:rsid w:val="004F63B5"/>
    <w:rsid w:val="0050415E"/>
    <w:rsid w:val="00504F42"/>
    <w:rsid w:val="005077FE"/>
    <w:rsid w:val="00513254"/>
    <w:rsid w:val="00516226"/>
    <w:rsid w:val="0051781B"/>
    <w:rsid w:val="00517CBE"/>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47A44"/>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874D5"/>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E7C3F"/>
    <w:rsid w:val="005F0C50"/>
    <w:rsid w:val="005F1FA5"/>
    <w:rsid w:val="005F3C5C"/>
    <w:rsid w:val="005F5348"/>
    <w:rsid w:val="005F6FF1"/>
    <w:rsid w:val="00600795"/>
    <w:rsid w:val="006007F2"/>
    <w:rsid w:val="00601EB6"/>
    <w:rsid w:val="00602D82"/>
    <w:rsid w:val="00604E17"/>
    <w:rsid w:val="00606615"/>
    <w:rsid w:val="00610066"/>
    <w:rsid w:val="006110D5"/>
    <w:rsid w:val="006117EA"/>
    <w:rsid w:val="00612A2D"/>
    <w:rsid w:val="006142D5"/>
    <w:rsid w:val="0062010B"/>
    <w:rsid w:val="0062164C"/>
    <w:rsid w:val="0062284D"/>
    <w:rsid w:val="0062522D"/>
    <w:rsid w:val="00625AB6"/>
    <w:rsid w:val="0063149A"/>
    <w:rsid w:val="00631541"/>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65391"/>
    <w:rsid w:val="006724BF"/>
    <w:rsid w:val="00672ED9"/>
    <w:rsid w:val="00673C30"/>
    <w:rsid w:val="006763B6"/>
    <w:rsid w:val="00676F2F"/>
    <w:rsid w:val="00684824"/>
    <w:rsid w:val="00686239"/>
    <w:rsid w:val="00686668"/>
    <w:rsid w:val="00687805"/>
    <w:rsid w:val="006908C3"/>
    <w:rsid w:val="00691FB1"/>
    <w:rsid w:val="00693841"/>
    <w:rsid w:val="00696E70"/>
    <w:rsid w:val="006978FD"/>
    <w:rsid w:val="006A0A2C"/>
    <w:rsid w:val="006A4DEB"/>
    <w:rsid w:val="006A4F59"/>
    <w:rsid w:val="006A620E"/>
    <w:rsid w:val="006A726B"/>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4F7C"/>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E45"/>
    <w:rsid w:val="00792F9F"/>
    <w:rsid w:val="00793295"/>
    <w:rsid w:val="00794DBC"/>
    <w:rsid w:val="00795B8C"/>
    <w:rsid w:val="007A05FE"/>
    <w:rsid w:val="007A1937"/>
    <w:rsid w:val="007A2EFF"/>
    <w:rsid w:val="007A4E78"/>
    <w:rsid w:val="007A56A3"/>
    <w:rsid w:val="007A5A18"/>
    <w:rsid w:val="007B2301"/>
    <w:rsid w:val="007B31A1"/>
    <w:rsid w:val="007B3213"/>
    <w:rsid w:val="007B432E"/>
    <w:rsid w:val="007B5DC1"/>
    <w:rsid w:val="007B70FF"/>
    <w:rsid w:val="007B7698"/>
    <w:rsid w:val="007B76FA"/>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1D0"/>
    <w:rsid w:val="00822B45"/>
    <w:rsid w:val="008247E3"/>
    <w:rsid w:val="008272C8"/>
    <w:rsid w:val="008272D3"/>
    <w:rsid w:val="00833A27"/>
    <w:rsid w:val="00834134"/>
    <w:rsid w:val="008353EE"/>
    <w:rsid w:val="0083586C"/>
    <w:rsid w:val="00836330"/>
    <w:rsid w:val="008368FC"/>
    <w:rsid w:val="008373AD"/>
    <w:rsid w:val="00841173"/>
    <w:rsid w:val="00841ED1"/>
    <w:rsid w:val="00842F4C"/>
    <w:rsid w:val="00844905"/>
    <w:rsid w:val="00844BF6"/>
    <w:rsid w:val="00844D87"/>
    <w:rsid w:val="0085509B"/>
    <w:rsid w:val="00862790"/>
    <w:rsid w:val="00863A0E"/>
    <w:rsid w:val="00865679"/>
    <w:rsid w:val="00866B4F"/>
    <w:rsid w:val="00866D83"/>
    <w:rsid w:val="00873BD4"/>
    <w:rsid w:val="00874CD4"/>
    <w:rsid w:val="0087676C"/>
    <w:rsid w:val="00876861"/>
    <w:rsid w:val="0088182B"/>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5B2F"/>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3CB"/>
    <w:rsid w:val="008E1908"/>
    <w:rsid w:val="008E236A"/>
    <w:rsid w:val="008E3529"/>
    <w:rsid w:val="008F0594"/>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70D"/>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0446"/>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33A"/>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CC8"/>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11E"/>
    <w:rsid w:val="00B76B2D"/>
    <w:rsid w:val="00B76C15"/>
    <w:rsid w:val="00B82BFC"/>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60FE"/>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5F88"/>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1CF1"/>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3F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2E12"/>
    <w:rsid w:val="00E33DC6"/>
    <w:rsid w:val="00E3438B"/>
    <w:rsid w:val="00E343C7"/>
    <w:rsid w:val="00E44D6B"/>
    <w:rsid w:val="00E478DD"/>
    <w:rsid w:val="00E50456"/>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1C7B"/>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79C6"/>
    <w:rsid w:val="00EE11D6"/>
    <w:rsid w:val="00EE1776"/>
    <w:rsid w:val="00EE26A1"/>
    <w:rsid w:val="00EE30FD"/>
    <w:rsid w:val="00EE5364"/>
    <w:rsid w:val="00EE6592"/>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41B"/>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BD35CC-0DA7-42B5-A520-CEF71B7A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rsid w:val="00D400AF"/>
    <w:rPr>
      <w:sz w:val="21"/>
      <w:szCs w:val="21"/>
    </w:rPr>
  </w:style>
  <w:style w:type="paragraph" w:styleId="afd">
    <w:name w:val="annotation text"/>
    <w:basedOn w:val="a"/>
    <w:link w:val="afe"/>
    <w:rsid w:val="00D400AF"/>
  </w:style>
  <w:style w:type="character" w:customStyle="1" w:styleId="afe">
    <w:name w:val="批注文字 字符"/>
    <w:basedOn w:val="a0"/>
    <w:link w:val="afd"/>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5323349">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8552157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418137707">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29092-6F65-4730-AFC6-2B2D88F0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3</Pages>
  <Words>998</Words>
  <Characters>5692</Characters>
  <Application>Microsoft Office Word</Application>
  <DocSecurity>0</DocSecurity>
  <Lines>47</Lines>
  <Paragraphs>13</Paragraphs>
  <ScaleCrop>false</ScaleCrop>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42</cp:revision>
  <dcterms:created xsi:type="dcterms:W3CDTF">2017-11-09T02:39:00Z</dcterms:created>
  <dcterms:modified xsi:type="dcterms:W3CDTF">2018-05-11T01:08:00Z</dcterms:modified>
</cp:coreProperties>
</file>