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225DE05C"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#93</w:t>
      </w:r>
      <w:r w:rsidR="00316FFE">
        <w:rPr>
          <w:rFonts w:ascii="Arial" w:hAnsi="Arial" w:cs="Arial"/>
          <w:b/>
          <w:sz w:val="24"/>
        </w:rPr>
        <w:t xml:space="preserve">       </w:t>
      </w:r>
      <w:r w:rsidR="0030068F" w:rsidRPr="00FC7BBB">
        <w:rPr>
          <w:rFonts w:ascii="Arial" w:hAnsi="Arial" w:cs="Arial"/>
          <w:b/>
          <w:sz w:val="24"/>
        </w:rPr>
        <w:t xml:space="preserve">                    </w:t>
      </w:r>
      <w:r w:rsidR="007759AA">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sidRPr="00FC7BBB">
        <w:rPr>
          <w:rFonts w:ascii="Arial" w:hAnsi="Arial" w:cs="Arial"/>
          <w:b/>
          <w:sz w:val="24"/>
        </w:rPr>
        <w:t xml:space="preserve">  </w:t>
      </w:r>
      <w:r w:rsidR="007759AA">
        <w:rPr>
          <w:rFonts w:ascii="Arial" w:hAnsi="Arial" w:cs="Arial"/>
          <w:b/>
          <w:sz w:val="24"/>
        </w:rPr>
        <w:t xml:space="preserve">      </w:t>
      </w:r>
      <w:r w:rsidR="0030068F" w:rsidRPr="00FC7BBB">
        <w:rPr>
          <w:rFonts w:ascii="Arial" w:hAnsi="Arial" w:cs="Arial"/>
          <w:b/>
          <w:sz w:val="24"/>
        </w:rPr>
        <w:t xml:space="preserve"> </w:t>
      </w:r>
      <w:r w:rsidR="0030068F">
        <w:rPr>
          <w:rFonts w:ascii="Arial" w:hAnsi="Arial" w:cs="Arial"/>
          <w:b/>
          <w:sz w:val="24"/>
        </w:rPr>
        <w:t xml:space="preserve"> </w:t>
      </w:r>
      <w:r w:rsidR="00624A6F">
        <w:rPr>
          <w:rFonts w:ascii="Arial" w:hAnsi="Arial" w:cs="Arial"/>
          <w:b/>
          <w:sz w:val="24"/>
        </w:rPr>
        <w:t>R1-180654</w:t>
      </w:r>
      <w:r w:rsidR="00D169D8">
        <w:rPr>
          <w:rFonts w:ascii="Arial" w:hAnsi="Arial" w:cs="Arial"/>
          <w:b/>
          <w:sz w:val="24"/>
        </w:rPr>
        <w:t>5</w:t>
      </w:r>
    </w:p>
    <w:p w14:paraId="719E3DBE" w14:textId="4F3E796D" w:rsidR="0030068F" w:rsidRPr="00FC7BBB" w:rsidRDefault="00AA1021" w:rsidP="0030068F">
      <w:pPr>
        <w:spacing w:after="0"/>
        <w:rPr>
          <w:rFonts w:ascii="Arial" w:hAnsi="Arial" w:cs="Arial"/>
          <w:b/>
          <w:sz w:val="24"/>
        </w:rPr>
      </w:pPr>
      <w:r>
        <w:rPr>
          <w:rFonts w:ascii="Arial" w:hAnsi="Arial" w:cs="Arial"/>
          <w:b/>
          <w:sz w:val="24"/>
          <w:lang w:val="en-US"/>
        </w:rPr>
        <w:t>Busan</w:t>
      </w:r>
      <w:r w:rsidR="00E22F72">
        <w:rPr>
          <w:rFonts w:ascii="Arial" w:hAnsi="Arial" w:cs="Arial"/>
          <w:b/>
          <w:sz w:val="24"/>
          <w:lang w:val="en-US"/>
        </w:rPr>
        <w:t xml:space="preserve">, </w:t>
      </w:r>
      <w:r>
        <w:rPr>
          <w:rFonts w:ascii="Arial" w:hAnsi="Arial" w:cs="Arial"/>
          <w:b/>
          <w:sz w:val="24"/>
          <w:lang w:val="en-US"/>
        </w:rPr>
        <w:t>Korea</w:t>
      </w:r>
      <w:r w:rsidR="00E22F72" w:rsidRPr="002C4AFA">
        <w:rPr>
          <w:rFonts w:ascii="Arial" w:hAnsi="Arial" w:cs="Arial"/>
          <w:b/>
          <w:sz w:val="24"/>
          <w:lang w:val="en-US"/>
        </w:rPr>
        <w:t xml:space="preserve">, </w:t>
      </w:r>
      <w:r>
        <w:rPr>
          <w:rFonts w:ascii="Arial" w:hAnsi="Arial" w:cs="Arial"/>
          <w:b/>
          <w:sz w:val="24"/>
          <w:lang w:val="en-US"/>
        </w:rPr>
        <w:t>May</w:t>
      </w:r>
      <w:r w:rsidR="00E22F72">
        <w:rPr>
          <w:rFonts w:ascii="Arial" w:hAnsi="Arial" w:cs="Arial"/>
          <w:b/>
          <w:sz w:val="24"/>
          <w:lang w:val="en-US"/>
        </w:rPr>
        <w:t xml:space="preserve"> </w:t>
      </w:r>
      <w:r w:rsidR="00F31ABF">
        <w:rPr>
          <w:rFonts w:ascii="Arial" w:hAnsi="Arial" w:cs="Arial"/>
          <w:b/>
          <w:sz w:val="24"/>
          <w:lang w:val="en-US"/>
        </w:rPr>
        <w:t>21</w:t>
      </w:r>
      <w:r w:rsidR="00F31ABF">
        <w:rPr>
          <w:rFonts w:ascii="Arial" w:hAnsi="Arial" w:cs="Arial"/>
          <w:b/>
          <w:sz w:val="24"/>
          <w:vertAlign w:val="superscript"/>
          <w:lang w:val="en-US"/>
        </w:rPr>
        <w:t>st</w:t>
      </w:r>
      <w:r w:rsidR="00F31ABF">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5</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2BC4CFA2"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169D8">
        <w:rPr>
          <w:rFonts w:ascii="Arial" w:hAnsi="Arial" w:cs="Arial"/>
          <w:b/>
          <w:bCs/>
          <w:sz w:val="24"/>
          <w:lang w:val="en-US"/>
        </w:rPr>
        <w:t>7.6.4.2</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26D1079"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9D8" w:rsidRPr="00D169D8">
        <w:rPr>
          <w:rFonts w:ascii="Arial" w:hAnsi="Arial" w:cs="Arial"/>
          <w:b/>
          <w:bCs/>
          <w:sz w:val="24"/>
          <w:lang w:val="en-US"/>
        </w:rPr>
        <w:t xml:space="preserve">Potential enhancements to NR initial access and mobility </w:t>
      </w:r>
      <w:r w:rsidR="00D169D8">
        <w:rPr>
          <w:rFonts w:ascii="Arial" w:hAnsi="Arial" w:cs="Arial"/>
          <w:b/>
          <w:bCs/>
          <w:sz w:val="24"/>
          <w:lang w:val="en-US"/>
        </w:rPr>
        <w:t>to support unlicensed 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675F19DE" w14:textId="77777777" w:rsidR="00D169D8" w:rsidRDefault="00D169D8" w:rsidP="00D169D8">
      <w:r>
        <w:t xml:space="preserve">In RAN1 #92, the study on NR-based access to unlicensed spectrum has started with the following objectives [1]: </w:t>
      </w:r>
    </w:p>
    <w:p w14:paraId="4670409A" w14:textId="77777777" w:rsidR="00D169D8" w:rsidRPr="00706C1E" w:rsidRDefault="00D169D8" w:rsidP="00D169D8">
      <w:pPr>
        <w:numPr>
          <w:ilvl w:val="0"/>
          <w:numId w:val="29"/>
        </w:numPr>
        <w:overflowPunct w:val="0"/>
        <w:autoSpaceDE w:val="0"/>
        <w:autoSpaceDN w:val="0"/>
        <w:adjustRightInd w:val="0"/>
        <w:spacing w:after="180"/>
        <w:jc w:val="left"/>
        <w:rPr>
          <w:bCs/>
          <w:lang w:val="en-US"/>
        </w:rPr>
      </w:pPr>
      <w:r w:rsidRPr="00706C1E">
        <w:rPr>
          <w:bCs/>
          <w:lang w:val="en-US"/>
        </w:rPr>
        <w:t xml:space="preserve">Study NR-based operation in unlicensed spectrum (RAN1, RAN2, RAN4) including </w:t>
      </w:r>
    </w:p>
    <w:p w14:paraId="5B6B1D73" w14:textId="77777777" w:rsidR="00D169D8" w:rsidRPr="00706C1E" w:rsidRDefault="00D169D8" w:rsidP="00D169D8">
      <w:pPr>
        <w:numPr>
          <w:ilvl w:val="1"/>
          <w:numId w:val="30"/>
        </w:numPr>
        <w:overflowPunct w:val="0"/>
        <w:autoSpaceDE w:val="0"/>
        <w:autoSpaceDN w:val="0"/>
        <w:adjustRightInd w:val="0"/>
        <w:spacing w:after="0"/>
        <w:jc w:val="left"/>
        <w:rPr>
          <w:bCs/>
          <w:lang w:val="en-US"/>
        </w:rPr>
      </w:pPr>
      <w:r w:rsidRPr="00706C1E">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755A5E3"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Consider unlicensed bands both below and above 6GHz, up to 52.6GHz</w:t>
      </w:r>
    </w:p>
    <w:p w14:paraId="6BC9B886"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 xml:space="preserve">Consider unlicensed bands above 52.6GHz to the extent that waveform design principles remain unchanged with respect to below 52.6GHz bands </w:t>
      </w:r>
    </w:p>
    <w:p w14:paraId="34B8DC53"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eastAsia="zh-CN"/>
        </w:rPr>
        <w:t>Consider similar forward compatibility principles made in the NR WI</w:t>
      </w:r>
      <w:r w:rsidRPr="00706C1E">
        <w:rPr>
          <w:bCs/>
          <w:lang w:val="en-US"/>
        </w:rPr>
        <w:t xml:space="preserve"> </w:t>
      </w:r>
    </w:p>
    <w:p w14:paraId="32E92881" w14:textId="77777777" w:rsidR="00D169D8" w:rsidRPr="00706C1E" w:rsidRDefault="00D169D8" w:rsidP="00D169D8">
      <w:pPr>
        <w:numPr>
          <w:ilvl w:val="1"/>
          <w:numId w:val="30"/>
        </w:numPr>
        <w:overflowPunct w:val="0"/>
        <w:autoSpaceDE w:val="0"/>
        <w:autoSpaceDN w:val="0"/>
        <w:adjustRightInd w:val="0"/>
        <w:spacing w:after="0"/>
        <w:jc w:val="left"/>
        <w:rPr>
          <w:bCs/>
        </w:rPr>
      </w:pPr>
      <w:r w:rsidRPr="00706C1E">
        <w:rPr>
          <w:bCs/>
        </w:rPr>
        <w:t>Initial access, channel access. Scheduling/HARQ, and mobility including connected/inactive/idle mode operation and radio-link monitoring/failure</w:t>
      </w:r>
    </w:p>
    <w:p w14:paraId="35C3BA3A" w14:textId="77777777" w:rsidR="00D169D8" w:rsidRPr="00706C1E" w:rsidRDefault="00D169D8" w:rsidP="00D169D8">
      <w:pPr>
        <w:numPr>
          <w:ilvl w:val="1"/>
          <w:numId w:val="30"/>
        </w:numPr>
        <w:overflowPunct w:val="0"/>
        <w:autoSpaceDE w:val="0"/>
        <w:autoSpaceDN w:val="0"/>
        <w:adjustRightInd w:val="0"/>
        <w:spacing w:after="0"/>
        <w:jc w:val="left"/>
        <w:rPr>
          <w:bCs/>
          <w:lang w:val="en-US"/>
        </w:rPr>
      </w:pPr>
      <w:r w:rsidRPr="00706C1E">
        <w:rPr>
          <w:bCs/>
          <w:lang w:val="en-US"/>
        </w:rPr>
        <w:t xml:space="preserve">Coexistence methods within NR-based and between NR-based operation in unlicensed and LTE-based LAA and with other incumbent RATs in accordance with regulatory requirements in e.g., 5GHz , 37GHz, 60GHz bands </w:t>
      </w:r>
    </w:p>
    <w:p w14:paraId="30CC02FC" w14:textId="77777777" w:rsidR="00D169D8"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1D9B5511" w14:textId="77777777" w:rsidR="00D169D8" w:rsidRDefault="00D169D8" w:rsidP="00D169D8">
      <w:pPr>
        <w:overflowPunct w:val="0"/>
        <w:autoSpaceDE w:val="0"/>
        <w:autoSpaceDN w:val="0"/>
        <w:adjustRightInd w:val="0"/>
        <w:spacing w:after="0"/>
        <w:jc w:val="left"/>
        <w:rPr>
          <w:bCs/>
          <w:lang w:val="en-US"/>
        </w:rPr>
      </w:pPr>
    </w:p>
    <w:p w14:paraId="052E2999" w14:textId="77777777" w:rsidR="001932BE" w:rsidRDefault="00D169D8" w:rsidP="00D169D8">
      <w:pPr>
        <w:overflowPunct w:val="0"/>
        <w:autoSpaceDE w:val="0"/>
        <w:autoSpaceDN w:val="0"/>
        <w:adjustRightInd w:val="0"/>
        <w:spacing w:after="0"/>
        <w:jc w:val="left"/>
        <w:rPr>
          <w:bCs/>
          <w:lang w:val="en-US"/>
        </w:rPr>
      </w:pPr>
      <w:r>
        <w:rPr>
          <w:bCs/>
          <w:lang w:val="en-US"/>
        </w:rPr>
        <w:t>In this contribution</w:t>
      </w:r>
      <w:r w:rsidR="001932BE">
        <w:rPr>
          <w:bCs/>
          <w:lang w:val="en-US"/>
        </w:rPr>
        <w:t xml:space="preserve">, potential enhancement </w:t>
      </w:r>
      <w:r w:rsidR="001932BE" w:rsidRPr="001932BE">
        <w:rPr>
          <w:bCs/>
          <w:lang w:val="en-US"/>
        </w:rPr>
        <w:t>to NR initial access and mobility to support</w:t>
      </w:r>
      <w:r w:rsidR="001932BE">
        <w:rPr>
          <w:bCs/>
          <w:lang w:val="en-US"/>
        </w:rPr>
        <w:t xml:space="preserve"> </w:t>
      </w:r>
      <w:r w:rsidR="001932BE" w:rsidRPr="001932BE">
        <w:rPr>
          <w:bCs/>
          <w:lang w:val="en-US"/>
        </w:rPr>
        <w:t xml:space="preserve">unlicensed operation </w:t>
      </w:r>
      <w:r w:rsidR="001932BE">
        <w:rPr>
          <w:bCs/>
          <w:lang w:val="en-US"/>
        </w:rPr>
        <w:t xml:space="preserve">will be mainly </w:t>
      </w:r>
      <w:proofErr w:type="gramStart"/>
      <w:r w:rsidR="001932BE">
        <w:rPr>
          <w:bCs/>
          <w:lang w:val="en-US"/>
        </w:rPr>
        <w:t>discussed</w:t>
      </w:r>
      <w:proofErr w:type="gramEnd"/>
      <w:r w:rsidR="001932BE">
        <w:rPr>
          <w:bCs/>
          <w:lang w:val="en-US"/>
        </w:rPr>
        <w:t xml:space="preserve"> including the following aspects:</w:t>
      </w:r>
    </w:p>
    <w:p w14:paraId="16245C21" w14:textId="10681F24" w:rsidR="001932BE" w:rsidRDefault="00CB3774" w:rsidP="001932BE">
      <w:pPr>
        <w:pStyle w:val="ListParagraph"/>
        <w:numPr>
          <w:ilvl w:val="0"/>
          <w:numId w:val="29"/>
        </w:numPr>
        <w:overflowPunct w:val="0"/>
        <w:autoSpaceDE w:val="0"/>
        <w:autoSpaceDN w:val="0"/>
        <w:adjustRightInd w:val="0"/>
        <w:spacing w:after="0"/>
        <w:jc w:val="left"/>
        <w:rPr>
          <w:bCs/>
          <w:lang w:val="en-US"/>
        </w:rPr>
      </w:pPr>
      <w:r>
        <w:rPr>
          <w:bCs/>
          <w:lang w:val="en-US"/>
        </w:rPr>
        <w:t>Enhancement to the 4-step random access procedure</w:t>
      </w:r>
    </w:p>
    <w:p w14:paraId="2DD646D5" w14:textId="18529E0B" w:rsidR="00CB3774" w:rsidRDefault="00CB3774" w:rsidP="001932BE">
      <w:pPr>
        <w:pStyle w:val="ListParagraph"/>
        <w:numPr>
          <w:ilvl w:val="0"/>
          <w:numId w:val="29"/>
        </w:numPr>
        <w:overflowPunct w:val="0"/>
        <w:autoSpaceDE w:val="0"/>
        <w:autoSpaceDN w:val="0"/>
        <w:adjustRightInd w:val="0"/>
        <w:spacing w:after="0"/>
        <w:jc w:val="left"/>
        <w:rPr>
          <w:bCs/>
          <w:lang w:val="en-US"/>
        </w:rPr>
      </w:pPr>
      <w:r>
        <w:rPr>
          <w:bCs/>
          <w:lang w:val="en-US"/>
        </w:rPr>
        <w:t>Discussion on the preamble formats</w:t>
      </w:r>
    </w:p>
    <w:p w14:paraId="51F2574C" w14:textId="33C9D1BE" w:rsidR="001932BE" w:rsidRPr="00CB3774" w:rsidRDefault="00CB3774" w:rsidP="00D169D8">
      <w:pPr>
        <w:pStyle w:val="ListParagraph"/>
        <w:numPr>
          <w:ilvl w:val="0"/>
          <w:numId w:val="29"/>
        </w:numPr>
        <w:overflowPunct w:val="0"/>
        <w:autoSpaceDE w:val="0"/>
        <w:autoSpaceDN w:val="0"/>
        <w:adjustRightInd w:val="0"/>
        <w:spacing w:after="0"/>
        <w:jc w:val="left"/>
        <w:rPr>
          <w:bCs/>
          <w:lang w:val="en-US"/>
        </w:rPr>
      </w:pPr>
      <w:r>
        <w:rPr>
          <w:bCs/>
          <w:lang w:val="en-US"/>
        </w:rPr>
        <w:t>Enhancement to the paging monitoring</w:t>
      </w:r>
    </w:p>
    <w:p w14:paraId="1729F230" w14:textId="0735B696" w:rsidR="00B530F8" w:rsidRDefault="00CB3774" w:rsidP="00CB3774">
      <w:pPr>
        <w:pStyle w:val="Heading1"/>
        <w:rPr>
          <w:sz w:val="28"/>
        </w:rPr>
      </w:pPr>
      <w:r w:rsidRPr="00CB3774">
        <w:rPr>
          <w:sz w:val="28"/>
        </w:rPr>
        <w:t>Enhancement to the 4-step random access procedure</w:t>
      </w:r>
    </w:p>
    <w:p w14:paraId="0EB694F9" w14:textId="2AC51F31" w:rsidR="000A458E" w:rsidRDefault="00740B8B" w:rsidP="0098537A">
      <w:r>
        <w:t xml:space="preserve">To begin with, </w:t>
      </w:r>
      <w:r w:rsidR="002A67EE">
        <w:t xml:space="preserve">Release 15 NR </w:t>
      </w:r>
      <w:r w:rsidR="00BF0BCD">
        <w:t>uses</w:t>
      </w:r>
      <w:r w:rsidR="002A67EE">
        <w:t xml:space="preserve"> 4-step random access procedure like LTE. </w:t>
      </w:r>
      <w:r w:rsidR="000A458E">
        <w:t>The 4-step random access procedure consists of Msg-1 (PRACH), Msg-2 (RAR), Msg-3</w:t>
      </w:r>
      <w:r w:rsidR="00984FB8">
        <w:t xml:space="preserve">, </w:t>
      </w:r>
      <w:r w:rsidR="00BF0BCD">
        <w:t xml:space="preserve">and </w:t>
      </w:r>
      <w:r w:rsidR="00984FB8">
        <w:t>Msg-4 (collision resolution)</w:t>
      </w:r>
      <w:r w:rsidR="00BF0BCD">
        <w:t xml:space="preserve"> transmissions</w:t>
      </w:r>
      <w:r w:rsidR="00984FB8">
        <w:t xml:space="preserve">. </w:t>
      </w:r>
      <w:r>
        <w:t xml:space="preserve">Accordingly, </w:t>
      </w:r>
      <w:r w:rsidR="0098537A">
        <w:t xml:space="preserve">unless a new random access procedure is adopted for NR, it can be assumed that </w:t>
      </w:r>
      <w:r w:rsidR="000A458E">
        <w:t>Release 15 4-step random access procedure is the baseline fo</w:t>
      </w:r>
      <w:r w:rsidR="0098537A">
        <w:t xml:space="preserve">r NR-unlicensed study. </w:t>
      </w:r>
      <w:r w:rsidR="00984FB8">
        <w:t>The following enhancements</w:t>
      </w:r>
      <w:r w:rsidR="0098537A">
        <w:t xml:space="preserve"> are envisioned </w:t>
      </w:r>
      <w:r w:rsidR="00984FB8">
        <w:t>to 4-step random access procedure</w:t>
      </w:r>
      <w:r w:rsidR="0098537A">
        <w:t>.</w:t>
      </w:r>
    </w:p>
    <w:p w14:paraId="6B8BDA41" w14:textId="5B7C386E" w:rsidR="002C2AD3" w:rsidRPr="002C2AD3" w:rsidRDefault="002C2AD3" w:rsidP="002C2AD3">
      <w:pPr>
        <w:pStyle w:val="Heading2"/>
        <w:rPr>
          <w:rFonts w:ascii="Arial" w:hAnsi="Arial"/>
        </w:rPr>
      </w:pPr>
      <w:r w:rsidRPr="002C2AD3">
        <w:rPr>
          <w:rFonts w:ascii="Arial" w:hAnsi="Arial"/>
        </w:rPr>
        <w:t>Multiple PRACH resource configuration</w:t>
      </w:r>
    </w:p>
    <w:p w14:paraId="760E82C8" w14:textId="6D14A7FA" w:rsidR="002C2AD3" w:rsidRPr="002C2AD3" w:rsidRDefault="002C2AD3" w:rsidP="00E202E1">
      <w:pPr>
        <w:pStyle w:val="N1"/>
        <w:spacing w:after="120"/>
        <w:ind w:left="0"/>
        <w:jc w:val="both"/>
        <w:rPr>
          <w:rFonts w:ascii="Times" w:eastAsia="Batang" w:hAnsi="Times" w:cs="Times New Roman"/>
          <w:sz w:val="20"/>
          <w:szCs w:val="24"/>
          <w:lang w:val="en-GB" w:eastAsia="en-US" w:bidi="ar-SA"/>
        </w:rPr>
      </w:pPr>
      <w:r w:rsidRPr="002C2AD3">
        <w:rPr>
          <w:rFonts w:ascii="Times" w:eastAsia="Batang" w:hAnsi="Times" w:cs="Times New Roman"/>
          <w:sz w:val="20"/>
          <w:szCs w:val="24"/>
          <w:lang w:val="en-GB" w:eastAsia="en-US" w:bidi="ar-SA"/>
        </w:rPr>
        <w:t xml:space="preserve">Wideband operation of NR-unlicensed is possible by configuring </w:t>
      </w:r>
      <w:r w:rsidR="00F31ABF">
        <w:rPr>
          <w:rFonts w:ascii="Times" w:eastAsia="Batang" w:hAnsi="Times" w:cs="Times New Roman"/>
          <w:sz w:val="20"/>
          <w:szCs w:val="24"/>
          <w:lang w:val="en-GB" w:eastAsia="en-US" w:bidi="ar-SA"/>
        </w:rPr>
        <w:t xml:space="preserve">the </w:t>
      </w:r>
      <w:r>
        <w:rPr>
          <w:rFonts w:ascii="Times" w:eastAsia="Batang" w:hAnsi="Times" w:cs="Times New Roman"/>
          <w:sz w:val="20"/>
          <w:szCs w:val="24"/>
          <w:lang w:val="en-GB" w:eastAsia="en-US" w:bidi="ar-SA"/>
        </w:rPr>
        <w:t>channel BW</w:t>
      </w:r>
      <w:r w:rsidRPr="002C2AD3">
        <w:rPr>
          <w:rFonts w:ascii="Times" w:eastAsia="Batang" w:hAnsi="Times" w:cs="Times New Roman"/>
          <w:sz w:val="20"/>
          <w:szCs w:val="24"/>
          <w:lang w:val="en-GB" w:eastAsia="en-US" w:bidi="ar-SA"/>
        </w:rPr>
        <w:t xml:space="preserve"> or the bandwidth part (BWP) to be an integer multiple of</w:t>
      </w:r>
      <w:r>
        <w:rPr>
          <w:rFonts w:ascii="Times" w:eastAsia="Batang" w:hAnsi="Times" w:cs="Times New Roman"/>
          <w:sz w:val="20"/>
          <w:szCs w:val="24"/>
          <w:lang w:val="en-GB" w:eastAsia="en-US" w:bidi="ar-SA"/>
        </w:rPr>
        <w:t xml:space="preserve"> 20 MHz spectrum. Consider that a </w:t>
      </w:r>
      <w:r w:rsidRPr="002C2AD3">
        <w:rPr>
          <w:rFonts w:ascii="Times" w:eastAsia="Batang" w:hAnsi="Times" w:cs="Times New Roman"/>
          <w:sz w:val="20"/>
          <w:szCs w:val="24"/>
          <w:lang w:val="en-GB" w:eastAsia="en-US" w:bidi="ar-SA"/>
        </w:rPr>
        <w:t>single PRACH resource is configured in a wideband carrier</w:t>
      </w:r>
      <w:r w:rsidR="00EA152A">
        <w:rPr>
          <w:rFonts w:ascii="Times" w:eastAsia="Batang" w:hAnsi="Times" w:cs="Times New Roman"/>
          <w:sz w:val="20"/>
          <w:szCs w:val="24"/>
          <w:lang w:val="en-GB" w:eastAsia="en-US" w:bidi="ar-SA"/>
        </w:rPr>
        <w:t>. I</w:t>
      </w:r>
      <w:r w:rsidRPr="002C2AD3">
        <w:rPr>
          <w:rFonts w:ascii="Times" w:eastAsia="Batang" w:hAnsi="Times" w:cs="Times New Roman"/>
          <w:sz w:val="20"/>
          <w:szCs w:val="24"/>
          <w:lang w:val="en-GB" w:eastAsia="en-US" w:bidi="ar-SA"/>
        </w:rPr>
        <w:t>f 20 MHz spectrum that includes the configured PRACH resource is occupied by other neighbouring network</w:t>
      </w:r>
      <w:r>
        <w:rPr>
          <w:rFonts w:ascii="Times" w:eastAsia="Batang" w:hAnsi="Times" w:cs="Times New Roman"/>
          <w:sz w:val="20"/>
          <w:szCs w:val="24"/>
          <w:lang w:val="en-GB" w:eastAsia="en-US" w:bidi="ar-SA"/>
        </w:rPr>
        <w:t>,</w:t>
      </w:r>
      <w:r w:rsidRPr="002C2AD3">
        <w:rPr>
          <w:rFonts w:ascii="Times" w:eastAsia="Batang" w:hAnsi="Times" w:cs="Times New Roman"/>
          <w:sz w:val="20"/>
          <w:szCs w:val="24"/>
          <w:lang w:val="en-GB" w:eastAsia="en-US" w:bidi="ar-SA"/>
        </w:rPr>
        <w:t xml:space="preserve"> the </w:t>
      </w:r>
      <w:r w:rsidR="00EA152A">
        <w:rPr>
          <w:rFonts w:ascii="Times" w:eastAsia="Batang" w:hAnsi="Times" w:cs="Times New Roman"/>
          <w:sz w:val="20"/>
          <w:szCs w:val="24"/>
          <w:lang w:val="en-GB" w:eastAsia="en-US" w:bidi="ar-SA"/>
        </w:rPr>
        <w:t xml:space="preserve">preamble transmission has to be delayed to the next occasion and, thereby, the overall initial access delay will increase. </w:t>
      </w:r>
    </w:p>
    <w:p w14:paraId="3D7F901F" w14:textId="0BCE9722" w:rsidR="002C2AD3" w:rsidRPr="002C2AD3" w:rsidRDefault="002C2AD3" w:rsidP="00E202E1">
      <w:pPr>
        <w:pStyle w:val="N1"/>
        <w:spacing w:after="120"/>
        <w:ind w:left="0"/>
        <w:jc w:val="both"/>
        <w:rPr>
          <w:rFonts w:ascii="Times" w:eastAsia="Batang" w:hAnsi="Times" w:cs="Times New Roman"/>
          <w:sz w:val="20"/>
          <w:szCs w:val="24"/>
          <w:lang w:val="en-GB" w:eastAsia="en-US" w:bidi="ar-SA"/>
        </w:rPr>
      </w:pPr>
      <w:r w:rsidRPr="002C2AD3">
        <w:rPr>
          <w:rFonts w:ascii="Times" w:eastAsia="Batang" w:hAnsi="Times" w:cs="Times New Roman"/>
          <w:sz w:val="20"/>
          <w:szCs w:val="24"/>
          <w:lang w:val="en-GB" w:eastAsia="en-US" w:bidi="ar-SA"/>
        </w:rPr>
        <w:t xml:space="preserve">In order to overcome the abovementioned issue, it can be considered that multiple PRACH resources are configured in the frequency domain as illustrated in the figure below.  </w:t>
      </w:r>
    </w:p>
    <w:p w14:paraId="3E37F2A1" w14:textId="4ECF8FDB" w:rsidR="002C2AD3" w:rsidRPr="002C2AD3" w:rsidRDefault="002C2AD3" w:rsidP="002C2AD3">
      <w:pPr>
        <w:pStyle w:val="N1"/>
        <w:ind w:left="0"/>
        <w:jc w:val="both"/>
        <w:rPr>
          <w:rFonts w:ascii="Times" w:eastAsia="Batang" w:hAnsi="Times" w:cs="Times New Roman"/>
          <w:sz w:val="20"/>
          <w:szCs w:val="24"/>
          <w:lang w:val="en-GB" w:eastAsia="en-US" w:bidi="ar-SA"/>
        </w:rPr>
      </w:pPr>
      <w:r w:rsidRPr="002C2AD3">
        <w:rPr>
          <w:rFonts w:ascii="Times" w:eastAsia="Batang" w:hAnsi="Times" w:cs="Times New Roman"/>
          <w:sz w:val="20"/>
          <w:szCs w:val="24"/>
          <w:lang w:val="en-GB" w:eastAsia="en-US" w:bidi="ar-SA"/>
        </w:rPr>
        <w:t xml:space="preserve"> </w:t>
      </w:r>
    </w:p>
    <w:p w14:paraId="0AD84CBE" w14:textId="77777777" w:rsidR="002C2AD3" w:rsidRDefault="002C2AD3" w:rsidP="002C2AD3">
      <w:pPr>
        <w:pStyle w:val="N1"/>
        <w:jc w:val="center"/>
      </w:pPr>
    </w:p>
    <w:p w14:paraId="6ACECDA8" w14:textId="77777777" w:rsidR="002C2AD3" w:rsidRDefault="002C2AD3" w:rsidP="002C2AD3">
      <w:pPr>
        <w:pStyle w:val="N1"/>
        <w:jc w:val="center"/>
      </w:pPr>
    </w:p>
    <w:p w14:paraId="1AB489FD" w14:textId="26F106DC" w:rsidR="002C2AD3" w:rsidRDefault="002C2AD3" w:rsidP="002C2AD3">
      <w:pPr>
        <w:pStyle w:val="N1"/>
        <w:jc w:val="center"/>
      </w:pPr>
    </w:p>
    <w:p w14:paraId="473A8878" w14:textId="5DC11617" w:rsidR="002C2AD3" w:rsidRDefault="002C2AD3" w:rsidP="002C2AD3">
      <w:pPr>
        <w:pStyle w:val="N1"/>
        <w:jc w:val="center"/>
      </w:pPr>
      <w:r w:rsidRPr="002C2AD3">
        <w:rPr>
          <w:noProof/>
          <w:lang w:bidi="ar-SA"/>
        </w:rPr>
        <w:drawing>
          <wp:inline distT="0" distB="0" distL="0" distR="0" wp14:anchorId="53796A56" wp14:editId="39EBD256">
            <wp:extent cx="1302182" cy="1426029"/>
            <wp:effectExtent l="0" t="0" r="0" b="317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2"/>
                    <a:srcRect r="45211"/>
                    <a:stretch/>
                  </pic:blipFill>
                  <pic:spPr>
                    <a:xfrm>
                      <a:off x="0" y="0"/>
                      <a:ext cx="1305166" cy="1429297"/>
                    </a:xfrm>
                    <a:prstGeom prst="rect">
                      <a:avLst/>
                    </a:prstGeom>
                  </pic:spPr>
                </pic:pic>
              </a:graphicData>
            </a:graphic>
          </wp:inline>
        </w:drawing>
      </w:r>
    </w:p>
    <w:p w14:paraId="592CBD1E" w14:textId="77777777" w:rsidR="002C2AD3" w:rsidRDefault="002C2AD3" w:rsidP="002C2AD3">
      <w:pPr>
        <w:pStyle w:val="N1"/>
      </w:pPr>
      <w:r>
        <w:t xml:space="preserve"> </w:t>
      </w:r>
    </w:p>
    <w:p w14:paraId="24601659" w14:textId="501109C6" w:rsidR="002C2AD3" w:rsidRPr="006829A7" w:rsidRDefault="002C2AD3" w:rsidP="002C2AD3">
      <w:pPr>
        <w:pStyle w:val="N1"/>
        <w:jc w:val="center"/>
        <w:rPr>
          <w:rFonts w:eastAsia="Batang" w:cstheme="minorBidi"/>
          <w:b/>
          <w:sz w:val="18"/>
          <w:lang w:eastAsia="en-US" w:bidi="ar-SA"/>
        </w:rPr>
      </w:pPr>
      <w:r w:rsidRPr="006829A7">
        <w:rPr>
          <w:rFonts w:eastAsia="Batang" w:cstheme="minorBidi"/>
          <w:b/>
          <w:sz w:val="18"/>
          <w:lang w:eastAsia="en-US" w:bidi="ar-SA"/>
        </w:rPr>
        <w:t>Figure</w:t>
      </w:r>
      <w:r>
        <w:rPr>
          <w:rFonts w:eastAsia="Batang" w:cstheme="minorBidi"/>
          <w:b/>
          <w:sz w:val="18"/>
          <w:lang w:eastAsia="en-US" w:bidi="ar-SA"/>
        </w:rPr>
        <w:t xml:space="preserve"> </w:t>
      </w:r>
      <w:r w:rsidR="007759AA">
        <w:rPr>
          <w:rFonts w:eastAsia="Batang" w:cstheme="minorBidi"/>
          <w:b/>
          <w:sz w:val="18"/>
          <w:lang w:eastAsia="en-US" w:bidi="ar-SA"/>
        </w:rPr>
        <w:t>1</w:t>
      </w:r>
      <w:r w:rsidRPr="006829A7">
        <w:rPr>
          <w:rFonts w:eastAsia="Batang" w:cstheme="minorBidi"/>
          <w:b/>
          <w:sz w:val="18"/>
          <w:lang w:eastAsia="en-US" w:bidi="ar-SA"/>
        </w:rPr>
        <w:t xml:space="preserve">. Multiple PRACH resource configuration in frequency domain </w:t>
      </w:r>
      <w:r w:rsidR="00EA152A">
        <w:rPr>
          <w:rFonts w:eastAsia="Batang" w:cstheme="minorBidi"/>
          <w:b/>
          <w:sz w:val="18"/>
          <w:lang w:eastAsia="en-US" w:bidi="ar-SA"/>
        </w:rPr>
        <w:t>on</w:t>
      </w:r>
      <w:r w:rsidRPr="006829A7">
        <w:rPr>
          <w:rFonts w:eastAsia="Batang" w:cstheme="minorBidi"/>
          <w:b/>
          <w:sz w:val="18"/>
          <w:lang w:eastAsia="en-US" w:bidi="ar-SA"/>
        </w:rPr>
        <w:t xml:space="preserve"> a NR wideband carrier</w:t>
      </w:r>
    </w:p>
    <w:p w14:paraId="131D9FED" w14:textId="77777777" w:rsidR="00E202E1" w:rsidRDefault="00E202E1" w:rsidP="0098537A">
      <w:pPr>
        <w:rPr>
          <w:lang w:val="en-US"/>
        </w:rPr>
      </w:pPr>
    </w:p>
    <w:p w14:paraId="288C2783" w14:textId="4C7D2279" w:rsidR="00E202E1" w:rsidRDefault="00E202E1" w:rsidP="00E202E1">
      <w:pPr>
        <w:pStyle w:val="N1"/>
        <w:spacing w:after="120"/>
        <w:ind w:left="0"/>
        <w:jc w:val="both"/>
        <w:rPr>
          <w:rFonts w:ascii="Times" w:eastAsia="Batang" w:hAnsi="Times" w:cs="Times New Roman"/>
          <w:sz w:val="20"/>
          <w:szCs w:val="24"/>
          <w:lang w:val="en-GB" w:eastAsia="en-US" w:bidi="ar-SA"/>
        </w:rPr>
      </w:pPr>
      <w:r>
        <w:rPr>
          <w:rFonts w:ascii="Times" w:eastAsia="Batang" w:hAnsi="Times" w:cs="Times New Roman"/>
          <w:sz w:val="20"/>
          <w:szCs w:val="24"/>
          <w:lang w:val="en-GB" w:eastAsia="en-US" w:bidi="ar-SA"/>
        </w:rPr>
        <w:t>With multiple PRACH resource configuration</w:t>
      </w:r>
      <w:r w:rsidR="00F31ABF">
        <w:rPr>
          <w:rFonts w:ascii="Times" w:eastAsia="Batang" w:hAnsi="Times" w:cs="Times New Roman"/>
          <w:sz w:val="20"/>
          <w:szCs w:val="24"/>
          <w:lang w:val="en-GB" w:eastAsia="en-US" w:bidi="ar-SA"/>
        </w:rPr>
        <w:t>s</w:t>
      </w:r>
      <w:r>
        <w:rPr>
          <w:rFonts w:ascii="Times" w:eastAsia="Batang" w:hAnsi="Times" w:cs="Times New Roman"/>
          <w:sz w:val="20"/>
          <w:szCs w:val="24"/>
          <w:lang w:val="en-GB" w:eastAsia="en-US" w:bidi="ar-SA"/>
        </w:rPr>
        <w:t xml:space="preserve"> in frequency domain, a</w:t>
      </w:r>
      <w:r w:rsidRPr="002C2AD3">
        <w:rPr>
          <w:rFonts w:ascii="Times" w:eastAsia="Batang" w:hAnsi="Times" w:cs="Times New Roman"/>
          <w:sz w:val="20"/>
          <w:szCs w:val="24"/>
          <w:lang w:val="en-GB" w:eastAsia="en-US" w:bidi="ar-SA"/>
        </w:rPr>
        <w:t xml:space="preserve"> UE </w:t>
      </w:r>
      <w:r w:rsidR="003830B1">
        <w:rPr>
          <w:rFonts w:ascii="Times" w:eastAsia="Batang" w:hAnsi="Times" w:cs="Times New Roman"/>
          <w:sz w:val="20"/>
          <w:szCs w:val="24"/>
          <w:lang w:val="en-GB" w:eastAsia="en-US" w:bidi="ar-SA"/>
        </w:rPr>
        <w:t xml:space="preserve">can </w:t>
      </w:r>
      <w:r w:rsidRPr="002C2AD3">
        <w:rPr>
          <w:rFonts w:ascii="Times" w:eastAsia="Batang" w:hAnsi="Times" w:cs="Times New Roman"/>
          <w:sz w:val="20"/>
          <w:szCs w:val="24"/>
          <w:lang w:val="en-GB" w:eastAsia="en-US" w:bidi="ar-SA"/>
        </w:rPr>
        <w:t xml:space="preserve">select </w:t>
      </w:r>
      <w:r w:rsidR="003830B1">
        <w:rPr>
          <w:rFonts w:ascii="Times" w:eastAsia="Batang" w:hAnsi="Times" w:cs="Times New Roman"/>
          <w:sz w:val="20"/>
          <w:szCs w:val="24"/>
          <w:lang w:val="en-GB" w:eastAsia="en-US" w:bidi="ar-SA"/>
        </w:rPr>
        <w:t>a</w:t>
      </w:r>
      <w:r w:rsidRPr="002C2AD3">
        <w:rPr>
          <w:rFonts w:ascii="Times" w:eastAsia="Batang" w:hAnsi="Times" w:cs="Times New Roman"/>
          <w:sz w:val="20"/>
          <w:szCs w:val="24"/>
          <w:lang w:val="en-GB" w:eastAsia="en-US" w:bidi="ar-SA"/>
        </w:rPr>
        <w:t xml:space="preserve"> PRACH resource among </w:t>
      </w:r>
      <w:r w:rsidR="003830B1">
        <w:rPr>
          <w:rFonts w:ascii="Times" w:eastAsia="Batang" w:hAnsi="Times" w:cs="Times New Roman"/>
          <w:sz w:val="20"/>
          <w:szCs w:val="24"/>
          <w:lang w:val="en-GB" w:eastAsia="en-US" w:bidi="ar-SA"/>
        </w:rPr>
        <w:t>those that passed</w:t>
      </w:r>
      <w:r w:rsidRPr="002C2AD3">
        <w:rPr>
          <w:rFonts w:ascii="Times" w:eastAsia="Batang" w:hAnsi="Times" w:cs="Times New Roman"/>
          <w:sz w:val="20"/>
          <w:szCs w:val="24"/>
          <w:lang w:val="en-GB" w:eastAsia="en-US" w:bidi="ar-SA"/>
        </w:rPr>
        <w:t xml:space="preserve"> LBT. If multiple PRACH resources</w:t>
      </w:r>
      <w:r w:rsidR="003830B1">
        <w:rPr>
          <w:rFonts w:ascii="Times" w:eastAsia="Batang" w:hAnsi="Times" w:cs="Times New Roman"/>
          <w:sz w:val="20"/>
          <w:szCs w:val="24"/>
          <w:lang w:val="en-GB" w:eastAsia="en-US" w:bidi="ar-SA"/>
        </w:rPr>
        <w:t xml:space="preserve"> passed LBT</w:t>
      </w:r>
      <w:r w:rsidRPr="002C2AD3">
        <w:rPr>
          <w:rFonts w:ascii="Times" w:eastAsia="Batang" w:hAnsi="Times" w:cs="Times New Roman"/>
          <w:sz w:val="20"/>
          <w:szCs w:val="24"/>
          <w:lang w:val="en-GB" w:eastAsia="en-US" w:bidi="ar-SA"/>
        </w:rPr>
        <w:t>, the UE can choose to transmit</w:t>
      </w:r>
      <w:r w:rsidR="003830B1">
        <w:rPr>
          <w:rFonts w:ascii="Times" w:eastAsia="Batang" w:hAnsi="Times" w:cs="Times New Roman"/>
          <w:sz w:val="20"/>
          <w:szCs w:val="24"/>
          <w:lang w:val="en-GB" w:eastAsia="en-US" w:bidi="ar-SA"/>
        </w:rPr>
        <w:t xml:space="preserve"> the</w:t>
      </w:r>
      <w:r w:rsidRPr="002C2AD3">
        <w:rPr>
          <w:rFonts w:ascii="Times" w:eastAsia="Batang" w:hAnsi="Times" w:cs="Times New Roman"/>
          <w:sz w:val="20"/>
          <w:szCs w:val="24"/>
          <w:lang w:val="en-GB" w:eastAsia="en-US" w:bidi="ar-SA"/>
        </w:rPr>
        <w:t xml:space="preserve"> preamble over one of such PRACH resources. </w:t>
      </w:r>
    </w:p>
    <w:p w14:paraId="50440F4B" w14:textId="466E895B" w:rsidR="00470FFB" w:rsidRPr="00574A3F" w:rsidRDefault="00E202E1" w:rsidP="00470FFB">
      <w:pPr>
        <w:spacing w:before="240" w:after="240"/>
      </w:pPr>
      <w:r>
        <w:rPr>
          <w:b/>
          <w:szCs w:val="20"/>
          <w:lang w:val="en-US"/>
        </w:rPr>
        <w:t>Proposal 1</w:t>
      </w:r>
      <w:r w:rsidRPr="00BF4801">
        <w:rPr>
          <w:b/>
          <w:szCs w:val="20"/>
          <w:lang w:val="en-US"/>
        </w:rPr>
        <w:t xml:space="preserve">: </w:t>
      </w:r>
      <w:r>
        <w:rPr>
          <w:b/>
          <w:szCs w:val="20"/>
          <w:lang w:val="en-US"/>
        </w:rPr>
        <w:t xml:space="preserve">NR-unlicensed supports multiple </w:t>
      </w:r>
      <w:r w:rsidR="00470FFB">
        <w:rPr>
          <w:b/>
          <w:szCs w:val="20"/>
          <w:lang w:val="en-US"/>
        </w:rPr>
        <w:t xml:space="preserve">PRACH resource configuration in </w:t>
      </w:r>
      <w:r w:rsidR="003830B1">
        <w:rPr>
          <w:b/>
          <w:szCs w:val="20"/>
          <w:lang w:val="en-US"/>
        </w:rPr>
        <w:t xml:space="preserve">the </w:t>
      </w:r>
      <w:r w:rsidR="00470FFB">
        <w:rPr>
          <w:b/>
          <w:szCs w:val="20"/>
          <w:lang w:val="en-US"/>
        </w:rPr>
        <w:t xml:space="preserve">frequency domain. </w:t>
      </w:r>
    </w:p>
    <w:p w14:paraId="125B58CD" w14:textId="6741D1CB" w:rsidR="00470FFB" w:rsidRPr="002C2AD3" w:rsidRDefault="00470FFB" w:rsidP="00470FFB">
      <w:pPr>
        <w:pStyle w:val="Heading2"/>
        <w:rPr>
          <w:rFonts w:ascii="Arial" w:hAnsi="Arial"/>
        </w:rPr>
      </w:pPr>
      <w:r w:rsidRPr="00470FFB">
        <w:rPr>
          <w:rFonts w:ascii="Arial" w:hAnsi="Arial"/>
        </w:rPr>
        <w:t>Power ramping with preamble transmission</w:t>
      </w:r>
    </w:p>
    <w:p w14:paraId="3A8A4339" w14:textId="66F44785" w:rsidR="00470FFB" w:rsidRDefault="00033CFA" w:rsidP="00470FFB">
      <w:r>
        <w:t xml:space="preserve">In NR, similar to LTE, a UE ramps up its transmission power when it transmitted preamble but </w:t>
      </w:r>
      <w:r w:rsidR="00F31ABF">
        <w:t xml:space="preserve">did </w:t>
      </w:r>
      <w:r>
        <w:t>not hear back from</w:t>
      </w:r>
      <w:r w:rsidR="003830B1">
        <w:t xml:space="preserve"> the</w:t>
      </w:r>
      <w:r>
        <w:t xml:space="preserve"> </w:t>
      </w:r>
      <w:proofErr w:type="spellStart"/>
      <w:r>
        <w:t>gNB</w:t>
      </w:r>
      <w:proofErr w:type="spellEnd"/>
      <w:r>
        <w:t xml:space="preserve">, i.e., RAR, except for </w:t>
      </w:r>
      <w:r w:rsidR="00703B16">
        <w:t xml:space="preserve">the case </w:t>
      </w:r>
      <w:r>
        <w:t xml:space="preserve">when the UE changed its transmission beam. </w:t>
      </w:r>
      <w:r w:rsidR="005F3CA7">
        <w:t>In the licensed spectrum, if a UE intends to transmit preamble, it can always do in the configured PRACH resource. However, in unlicensed spectrum</w:t>
      </w:r>
      <w:r w:rsidR="00470FFB">
        <w:t xml:space="preserve">, it is possible that preamble transmission can be blocked due to the LBT failure for frequency range that contains configured PRACH resource. </w:t>
      </w:r>
      <w:r w:rsidR="005F3CA7">
        <w:t xml:space="preserve">Since </w:t>
      </w:r>
      <w:r w:rsidR="00470FFB">
        <w:t xml:space="preserve">the actual preamble transmission </w:t>
      </w:r>
      <w:r w:rsidR="00703B16">
        <w:t>has</w:t>
      </w:r>
      <w:r w:rsidR="00470FFB">
        <w:t xml:space="preserve"> not </w:t>
      </w:r>
      <w:r w:rsidR="00703B16">
        <w:t>been occurred</w:t>
      </w:r>
      <w:r w:rsidR="00470FFB">
        <w:t xml:space="preserve">, the actual transmission counter should not be increased. Furthermore, the preamble transmission power should not be ramped up in this case as it is not the case that the preamble was transmitted but not heard by the </w:t>
      </w:r>
      <w:proofErr w:type="spellStart"/>
      <w:r w:rsidR="00470FFB">
        <w:t>gNB</w:t>
      </w:r>
      <w:proofErr w:type="spellEnd"/>
      <w:r w:rsidR="00470FFB">
        <w:t>.</w:t>
      </w:r>
    </w:p>
    <w:p w14:paraId="4FEB9E5C" w14:textId="59BBA1BB" w:rsidR="005F3CA7" w:rsidRPr="00574A3F" w:rsidRDefault="005F3CA7" w:rsidP="005F3CA7">
      <w:pPr>
        <w:spacing w:before="240" w:after="240"/>
      </w:pPr>
      <w:r>
        <w:rPr>
          <w:b/>
          <w:szCs w:val="20"/>
          <w:lang w:val="en-US"/>
        </w:rPr>
        <w:t>Proposal 2</w:t>
      </w:r>
      <w:r w:rsidRPr="00BF4801">
        <w:rPr>
          <w:b/>
          <w:szCs w:val="20"/>
          <w:lang w:val="en-US"/>
        </w:rPr>
        <w:t xml:space="preserve">: </w:t>
      </w:r>
      <w:r>
        <w:rPr>
          <w:b/>
          <w:szCs w:val="20"/>
          <w:lang w:val="en-US"/>
        </w:rPr>
        <w:t xml:space="preserve">A UE does not perform power ramping when preamble transmission is not executed due to the LBT failure. </w:t>
      </w:r>
    </w:p>
    <w:p w14:paraId="183DBD55" w14:textId="2F8F4E6B" w:rsidR="005F3CA7" w:rsidRPr="005F3CA7" w:rsidRDefault="005F3CA7" w:rsidP="005F3CA7">
      <w:pPr>
        <w:pStyle w:val="Heading2"/>
        <w:rPr>
          <w:rFonts w:ascii="Arial" w:hAnsi="Arial"/>
        </w:rPr>
      </w:pPr>
      <w:r w:rsidRPr="005F3CA7">
        <w:rPr>
          <w:rFonts w:ascii="Arial" w:hAnsi="Arial"/>
        </w:rPr>
        <w:t>Extension of the RAR window</w:t>
      </w:r>
    </w:p>
    <w:p w14:paraId="13951D8E" w14:textId="2ED3E477" w:rsidR="005F3CA7" w:rsidRDefault="005F3CA7" w:rsidP="00D65FA4">
      <w:r>
        <w:t>Similarly with the motivation described in the previous section, i</w:t>
      </w:r>
      <w:r w:rsidRPr="005F3CA7">
        <w:t xml:space="preserve">n the unlicensed spectrum, it can be expectable that the RAR cannot be transmitted during the configured RAR window due to the medium unavailability although </w:t>
      </w:r>
      <w:r w:rsidR="00D65FA4">
        <w:t xml:space="preserve">preamble </w:t>
      </w:r>
      <w:r w:rsidRPr="005F3CA7">
        <w:t xml:space="preserve">was correctly received at the </w:t>
      </w:r>
      <w:proofErr w:type="spellStart"/>
      <w:r w:rsidRPr="005F3CA7">
        <w:t>gNB</w:t>
      </w:r>
      <w:proofErr w:type="spellEnd"/>
      <w:r w:rsidRPr="005F3CA7">
        <w:t>.</w:t>
      </w:r>
      <w:r w:rsidR="00D65FA4">
        <w:t xml:space="preserve"> Therefore, it can be considered to extend the maximum configurable RAR window size to accommodate the LBT failure. By doing so, potential increase in the random access delay due to the failure of RAR transmission can be </w:t>
      </w:r>
      <w:r w:rsidR="002F257B">
        <w:t>avoided</w:t>
      </w:r>
      <w:r w:rsidR="00D65FA4">
        <w:t xml:space="preserve">. </w:t>
      </w:r>
    </w:p>
    <w:p w14:paraId="19EDFE05" w14:textId="04DB0FBE" w:rsidR="00D65FA4" w:rsidRDefault="00D65FA4" w:rsidP="00D65FA4">
      <w:pPr>
        <w:spacing w:before="240" w:after="240"/>
      </w:pPr>
      <w:r>
        <w:rPr>
          <w:b/>
          <w:szCs w:val="20"/>
          <w:lang w:val="en-US"/>
        </w:rPr>
        <w:t>Proposal 3: The maximum configurable RAR window is extended for NR-unlicensed.</w:t>
      </w:r>
    </w:p>
    <w:p w14:paraId="7E696FEF" w14:textId="348C4AE9" w:rsidR="00B976CD" w:rsidRDefault="00B976CD" w:rsidP="00B976CD">
      <w:pPr>
        <w:pStyle w:val="Heading1"/>
        <w:rPr>
          <w:sz w:val="28"/>
        </w:rPr>
      </w:pPr>
      <w:r w:rsidRPr="00B976CD">
        <w:rPr>
          <w:sz w:val="28"/>
        </w:rPr>
        <w:t>Discussion on the preamble formats</w:t>
      </w:r>
    </w:p>
    <w:p w14:paraId="6B7C4B52" w14:textId="5FC19925" w:rsidR="00D62C70" w:rsidRDefault="00D65FA4" w:rsidP="00D65FA4">
      <w:r>
        <w:t xml:space="preserve">Release </w:t>
      </w:r>
      <w:r w:rsidR="00B976CD">
        <w:t>15 NR supports two PRACH sequence lengths, i.e., L</w:t>
      </w:r>
      <w:r w:rsidR="00023E86">
        <w:t>-839 and L-139.</w:t>
      </w:r>
      <w:r>
        <w:t xml:space="preserve"> </w:t>
      </w:r>
      <w:r w:rsidR="00023E86">
        <w:t>L-</w:t>
      </w:r>
      <w:r w:rsidR="00D62C70">
        <w:t>839</w:t>
      </w:r>
      <w:r w:rsidR="00023E86">
        <w:t xml:space="preserve"> sequence can use 1.25 kHz and 5 kHz SCS. When 1.25 kHz and 5 kHz SCS </w:t>
      </w:r>
      <w:r w:rsidR="006F59E5">
        <w:t>are</w:t>
      </w:r>
      <w:r w:rsidR="00023E86">
        <w:t xml:space="preserve"> used, the occupied BW </w:t>
      </w:r>
      <w:r w:rsidR="006F59E5">
        <w:t>is</w:t>
      </w:r>
      <w:r w:rsidR="00023E86">
        <w:t xml:space="preserve"> 1.25 MHz and 5 MHz, respectively. </w:t>
      </w:r>
      <w:r w:rsidR="006F59E5">
        <w:t xml:space="preserve">L-839 sequence is only supported in FR1. </w:t>
      </w:r>
      <w:r w:rsidR="00D62C70">
        <w:t xml:space="preserve">L-139 sequence can use the same SCS with the data channel, i.e., 15, 30, 60, and 120 kHz. </w:t>
      </w:r>
      <w:r w:rsidR="002B6ECA">
        <w:t xml:space="preserve">For L-139 sequence, </w:t>
      </w:r>
      <w:r w:rsidR="00392005">
        <w:t>15 and 30 kHz SCS is supported in FR1 and 60 and 120 kHz SCS is supported in FR2.</w:t>
      </w:r>
    </w:p>
    <w:p w14:paraId="08955978" w14:textId="65CBFBDA" w:rsidR="00491799" w:rsidRDefault="00D6469D" w:rsidP="00D65FA4">
      <w:r>
        <w:t xml:space="preserve">L-839 sequence uses </w:t>
      </w:r>
      <w:r w:rsidR="0049177B">
        <w:t xml:space="preserve">much smaller SCS than data channel and thus can possess much longer symbol and CP duration. Thus, L-839 sequence format can provide </w:t>
      </w:r>
      <w:r w:rsidR="006F59E5">
        <w:t xml:space="preserve">higher </w:t>
      </w:r>
      <w:r w:rsidR="0049177B">
        <w:t>resolvability of larger delay spread.</w:t>
      </w:r>
      <w:r w:rsidR="00D65FA4">
        <w:t xml:space="preserve"> </w:t>
      </w:r>
      <w:r w:rsidR="0049177B">
        <w:t xml:space="preserve">However, L-839 sequence requires guard band provisioning due to the SCS </w:t>
      </w:r>
      <w:r w:rsidR="002F257B">
        <w:t xml:space="preserve">being </w:t>
      </w:r>
      <w:r w:rsidR="0049177B">
        <w:t>different from data channel. The guard band overhead can be magnified if interlaced based PRACH waveform is considered.</w:t>
      </w:r>
      <w:r w:rsidR="00D65FA4">
        <w:t xml:space="preserve"> </w:t>
      </w:r>
      <w:r w:rsidR="00491799">
        <w:t xml:space="preserve">Given that unlicensed carriers are mainly considered for relatively smaller coverage due to the transmission power limitation imposed by regulatory requirements, L-139 sequence </w:t>
      </w:r>
      <w:r w:rsidR="006B3DDD">
        <w:t xml:space="preserve">may suffice the need for unlicensed usage. Furthermore, guard band may not be needed as the preamble can be transmitted with the same SCS with data. </w:t>
      </w:r>
    </w:p>
    <w:p w14:paraId="50EC1D39" w14:textId="0E7C9A75" w:rsidR="00D65FA4" w:rsidRPr="00D65FA4" w:rsidRDefault="00D65FA4" w:rsidP="00D65FA4">
      <w:pPr>
        <w:spacing w:before="240" w:after="240"/>
        <w:rPr>
          <w:lang w:val="en-US"/>
        </w:rPr>
      </w:pPr>
      <w:r>
        <w:rPr>
          <w:b/>
          <w:szCs w:val="20"/>
          <w:lang w:val="en-US"/>
        </w:rPr>
        <w:t xml:space="preserve">Proposal 4: L-139 preamble can be considered for NR-unlicensed. </w:t>
      </w:r>
    </w:p>
    <w:p w14:paraId="602E91DC" w14:textId="5ADE8274" w:rsidR="00CB3774" w:rsidRDefault="006B3DDD" w:rsidP="006B3DDD">
      <w:pPr>
        <w:pStyle w:val="Heading1"/>
        <w:rPr>
          <w:sz w:val="28"/>
        </w:rPr>
      </w:pPr>
      <w:r w:rsidRPr="006B3DDD">
        <w:rPr>
          <w:sz w:val="28"/>
        </w:rPr>
        <w:lastRenderedPageBreak/>
        <w:t>Enhancement to the paging monitoring</w:t>
      </w:r>
    </w:p>
    <w:p w14:paraId="3A8A8ABE" w14:textId="11F08399" w:rsidR="00980135" w:rsidRDefault="00980135" w:rsidP="00980135">
      <w:r>
        <w:t>It is noted that t</w:t>
      </w:r>
      <w:r w:rsidR="00FE08A7">
        <w:t xml:space="preserve">he latency involved with paging transmission has direct bearing </w:t>
      </w:r>
      <w:r w:rsidR="002F257B">
        <w:t xml:space="preserve">to </w:t>
      </w:r>
      <w:r w:rsidR="00624874">
        <w:t>the call connection latency. This becomes</w:t>
      </w:r>
      <w:r w:rsidR="007A3A8A">
        <w:t xml:space="preserve"> especially</w:t>
      </w:r>
      <w:r w:rsidR="00624874">
        <w:t xml:space="preserve"> an important issue for the standalone system where </w:t>
      </w:r>
      <w:proofErr w:type="spellStart"/>
      <w:r w:rsidR="00624874">
        <w:t>PCell</w:t>
      </w:r>
      <w:proofErr w:type="spellEnd"/>
      <w:r w:rsidR="00624874">
        <w:t xml:space="preserve"> is a</w:t>
      </w:r>
      <w:r>
        <w:t xml:space="preserve">lso on the unlicensed spectrum. </w:t>
      </w:r>
      <w:r w:rsidR="00AC7203">
        <w:t xml:space="preserve">If </w:t>
      </w:r>
      <w:proofErr w:type="spellStart"/>
      <w:r w:rsidR="00AC7203">
        <w:t>gNB</w:t>
      </w:r>
      <w:proofErr w:type="spellEnd"/>
      <w:r w:rsidR="00AC7203">
        <w:t xml:space="preserve"> could not transmit paging due to LBT, the paging transmission would have to be delayed to the next available occasion. </w:t>
      </w:r>
    </w:p>
    <w:p w14:paraId="1529C15D" w14:textId="3C4E5904" w:rsidR="00980135" w:rsidRDefault="00AC7203" w:rsidP="00AC7203">
      <w:r>
        <w:t>Given the significan</w:t>
      </w:r>
      <w:r w:rsidR="00583171">
        <w:t>ce</w:t>
      </w:r>
      <w:r>
        <w:t xml:space="preserve"> of paging transmission, it is important to design</w:t>
      </w:r>
      <w:r w:rsidR="00583171">
        <w:t xml:space="preserve"> the paging mechanism reliable for NR-unlicensed system. </w:t>
      </w:r>
      <w:r w:rsidR="00C05667">
        <w:t>In</w:t>
      </w:r>
      <w:r w:rsidR="00583171">
        <w:t xml:space="preserve"> this regard,</w:t>
      </w:r>
      <w:r w:rsidR="00C05667">
        <w:t xml:space="preserve"> a paging monitoring w</w:t>
      </w:r>
      <w:r w:rsidR="00744E67">
        <w:t xml:space="preserve">indow concept can be introduced. </w:t>
      </w:r>
      <w:r w:rsidR="00980135">
        <w:t>With the existing paging occasion configuration, the same goal can be achievable as well by configuring more frequent occasion</w:t>
      </w:r>
      <w:r w:rsidR="00583171">
        <w:t>s</w:t>
      </w:r>
      <w:r w:rsidR="00980135">
        <w:t xml:space="preserve">. </w:t>
      </w:r>
      <w:r w:rsidR="00010EF9">
        <w:t xml:space="preserve">Then, however, </w:t>
      </w:r>
      <w:r w:rsidR="00980135">
        <w:t xml:space="preserve">the UE </w:t>
      </w:r>
      <w:r w:rsidR="001B5349">
        <w:t xml:space="preserve">will have to wake up and monitor paging </w:t>
      </w:r>
      <w:r w:rsidR="00583171">
        <w:t xml:space="preserve">channel </w:t>
      </w:r>
      <w:r w:rsidR="001B5349">
        <w:t>more often, which will increase UE’s power consumption</w:t>
      </w:r>
      <w:r w:rsidR="00583171">
        <w:t xml:space="preserve"> and shortens UE’s sleep duration. </w:t>
      </w:r>
      <w:r w:rsidR="001B5349">
        <w:t>In the paging window concept,</w:t>
      </w:r>
      <w:r w:rsidR="00583171">
        <w:t xml:space="preserve"> however,</w:t>
      </w:r>
      <w:r w:rsidR="001B5349">
        <w:t xml:space="preserve"> the frequency of the paging monitoring occasion can be maintained the same</w:t>
      </w:r>
      <w:r w:rsidR="00735B8B">
        <w:t>,</w:t>
      </w:r>
      <w:r w:rsidR="001B5349">
        <w:t xml:space="preserve"> but with extended monitoring duration. </w:t>
      </w:r>
    </w:p>
    <w:p w14:paraId="67BEB4D9" w14:textId="05A48FB5" w:rsidR="00AC7203" w:rsidRDefault="00744E67" w:rsidP="00AC7203">
      <w:r>
        <w:t xml:space="preserve">The paging transmission </w:t>
      </w:r>
      <w:r w:rsidR="00980135">
        <w:t xml:space="preserve">may use </w:t>
      </w:r>
      <w:r>
        <w:t>Cat-4 LBT with highest priority, if not multiplexed with DL-SCH.</w:t>
      </w:r>
    </w:p>
    <w:p w14:paraId="04A4CF56" w14:textId="77777777" w:rsidR="00980135" w:rsidRDefault="00980135" w:rsidP="00AC7203"/>
    <w:p w14:paraId="1A2CCD04" w14:textId="584DC6EF" w:rsidR="00AC7203" w:rsidRPr="006B3DDD" w:rsidRDefault="00AC7203" w:rsidP="00D65FA4">
      <w:pPr>
        <w:jc w:val="center"/>
      </w:pPr>
      <w:r w:rsidRPr="00AC7203">
        <w:rPr>
          <w:noProof/>
          <w:lang w:val="en-US" w:eastAsia="ko-KR"/>
        </w:rPr>
        <w:drawing>
          <wp:inline distT="0" distB="0" distL="0" distR="0" wp14:anchorId="3AD598D0" wp14:editId="2F54432C">
            <wp:extent cx="2813078" cy="826295"/>
            <wp:effectExtent l="0" t="0" r="635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813078" cy="826295"/>
                    </a:xfrm>
                    <a:prstGeom prst="rect">
                      <a:avLst/>
                    </a:prstGeom>
                  </pic:spPr>
                </pic:pic>
              </a:graphicData>
            </a:graphic>
          </wp:inline>
        </w:drawing>
      </w:r>
    </w:p>
    <w:p w14:paraId="7CA424D4" w14:textId="70C48038" w:rsidR="00D65FA4" w:rsidRPr="006829A7" w:rsidRDefault="00D65FA4" w:rsidP="00D65FA4">
      <w:pPr>
        <w:pStyle w:val="N1"/>
        <w:ind w:left="0"/>
        <w:jc w:val="center"/>
        <w:rPr>
          <w:rFonts w:eastAsia="Batang" w:cstheme="minorBidi"/>
          <w:b/>
          <w:sz w:val="18"/>
          <w:lang w:eastAsia="en-US" w:bidi="ar-SA"/>
        </w:rPr>
      </w:pPr>
      <w:r w:rsidRPr="006829A7">
        <w:rPr>
          <w:rFonts w:eastAsia="Batang" w:cstheme="minorBidi"/>
          <w:b/>
          <w:sz w:val="18"/>
          <w:lang w:eastAsia="en-US" w:bidi="ar-SA"/>
        </w:rPr>
        <w:t>Figure</w:t>
      </w:r>
      <w:r>
        <w:rPr>
          <w:rFonts w:eastAsia="Batang" w:cstheme="minorBidi"/>
          <w:b/>
          <w:sz w:val="18"/>
          <w:lang w:eastAsia="en-US" w:bidi="ar-SA"/>
        </w:rPr>
        <w:t xml:space="preserve"> </w:t>
      </w:r>
      <w:r w:rsidR="007759AA">
        <w:rPr>
          <w:rFonts w:eastAsia="Batang" w:cstheme="minorBidi"/>
          <w:b/>
          <w:sz w:val="18"/>
          <w:lang w:eastAsia="en-US" w:bidi="ar-SA"/>
        </w:rPr>
        <w:t>2</w:t>
      </w:r>
      <w:r w:rsidRPr="006829A7">
        <w:rPr>
          <w:rFonts w:eastAsia="Batang" w:cstheme="minorBidi"/>
          <w:b/>
          <w:sz w:val="18"/>
          <w:lang w:eastAsia="en-US" w:bidi="ar-SA"/>
        </w:rPr>
        <w:t>.</w:t>
      </w:r>
      <w:r>
        <w:rPr>
          <w:rFonts w:eastAsia="Batang" w:cstheme="minorBidi"/>
          <w:b/>
          <w:sz w:val="18"/>
          <w:lang w:eastAsia="en-US" w:bidi="ar-SA"/>
        </w:rPr>
        <w:t xml:space="preserve"> Illustration of</w:t>
      </w:r>
      <w:r w:rsidRPr="006829A7">
        <w:rPr>
          <w:rFonts w:eastAsia="Batang" w:cstheme="minorBidi"/>
          <w:b/>
          <w:sz w:val="18"/>
          <w:lang w:eastAsia="en-US" w:bidi="ar-SA"/>
        </w:rPr>
        <w:t xml:space="preserve"> </w:t>
      </w:r>
      <w:r>
        <w:rPr>
          <w:rFonts w:eastAsia="Batang" w:cstheme="minorBidi"/>
          <w:b/>
          <w:sz w:val="18"/>
          <w:lang w:eastAsia="en-US" w:bidi="ar-SA"/>
        </w:rPr>
        <w:t>the paging window concept</w:t>
      </w:r>
    </w:p>
    <w:p w14:paraId="692D8938" w14:textId="77777777" w:rsidR="00980135" w:rsidRDefault="00980135" w:rsidP="00980135">
      <w:pPr>
        <w:spacing w:before="240" w:after="240"/>
        <w:rPr>
          <w:b/>
          <w:szCs w:val="20"/>
          <w:lang w:val="en-US"/>
        </w:rPr>
      </w:pPr>
    </w:p>
    <w:p w14:paraId="1F88B6EE" w14:textId="75BAC0F1" w:rsidR="006B3DDD" w:rsidRPr="00D65FA4" w:rsidRDefault="00980135" w:rsidP="001B5349">
      <w:pPr>
        <w:spacing w:before="240" w:after="240"/>
        <w:rPr>
          <w:lang w:val="en-US"/>
        </w:rPr>
      </w:pPr>
      <w:r>
        <w:rPr>
          <w:b/>
          <w:szCs w:val="20"/>
          <w:lang w:val="en-US"/>
        </w:rPr>
        <w:t xml:space="preserve">Proposal 5: </w:t>
      </w:r>
      <w:r w:rsidR="001B5349">
        <w:rPr>
          <w:b/>
          <w:szCs w:val="20"/>
          <w:lang w:val="en-US"/>
        </w:rPr>
        <w:t xml:space="preserve">Paging monitoring window concept is introduced for NR-unlicensed.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7AA150A6" w14:textId="47CC9E7C" w:rsidR="001B5349" w:rsidRDefault="001B5349" w:rsidP="001B5349">
      <w:pPr>
        <w:overflowPunct w:val="0"/>
        <w:autoSpaceDE w:val="0"/>
        <w:autoSpaceDN w:val="0"/>
        <w:adjustRightInd w:val="0"/>
        <w:spacing w:after="0"/>
        <w:jc w:val="left"/>
        <w:rPr>
          <w:bCs/>
          <w:lang w:val="en-US"/>
        </w:rPr>
      </w:pPr>
      <w:r>
        <w:t xml:space="preserve">In this contribution, </w:t>
      </w:r>
      <w:r>
        <w:rPr>
          <w:bCs/>
          <w:lang w:val="en-US"/>
        </w:rPr>
        <w:t xml:space="preserve">potential enhancements </w:t>
      </w:r>
      <w:r w:rsidRPr="001932BE">
        <w:rPr>
          <w:bCs/>
          <w:lang w:val="en-US"/>
        </w:rPr>
        <w:t>to NR initial access and mobility to support</w:t>
      </w:r>
      <w:r>
        <w:rPr>
          <w:bCs/>
          <w:lang w:val="en-US"/>
        </w:rPr>
        <w:t xml:space="preserve"> </w:t>
      </w:r>
      <w:r w:rsidRPr="001932BE">
        <w:rPr>
          <w:bCs/>
          <w:lang w:val="en-US"/>
        </w:rPr>
        <w:t xml:space="preserve">unlicensed operation </w:t>
      </w:r>
      <w:r>
        <w:rPr>
          <w:bCs/>
          <w:lang w:val="en-US"/>
        </w:rPr>
        <w:t xml:space="preserve">were discussed. To be more specific, possible enhancements to the 4-step random access procedure </w:t>
      </w:r>
      <w:r w:rsidR="00911153">
        <w:rPr>
          <w:bCs/>
          <w:lang w:val="en-US"/>
        </w:rPr>
        <w:t>were</w:t>
      </w:r>
      <w:r>
        <w:rPr>
          <w:bCs/>
          <w:lang w:val="en-US"/>
        </w:rPr>
        <w:t xml:space="preserve"> discussed including configuring multiple PRACH resources in </w:t>
      </w:r>
      <w:r w:rsidR="00735B8B">
        <w:rPr>
          <w:bCs/>
          <w:lang w:val="en-US"/>
        </w:rPr>
        <w:t xml:space="preserve">the </w:t>
      </w:r>
      <w:r>
        <w:rPr>
          <w:bCs/>
          <w:lang w:val="en-US"/>
        </w:rPr>
        <w:t xml:space="preserve">frequency domain, UE power ramping behavior when preamble is not transmitted due to the LBT failure, and the RAR monitoring window extension. Two lengths of preamble sequences were also discussed in terms of their suitability for the purpose of unlicensed operation. Lastly, paging monitoring window concept was discussed as a potential solution to the paging occasion blocking issue due to LBT. To this end, the following proposals were driven: </w:t>
      </w:r>
    </w:p>
    <w:p w14:paraId="2F4B9BFE" w14:textId="19985276" w:rsidR="001B5349" w:rsidRPr="001B5349" w:rsidRDefault="001B5349" w:rsidP="001B5349">
      <w:pPr>
        <w:spacing w:before="120"/>
      </w:pPr>
      <w:r>
        <w:rPr>
          <w:b/>
          <w:szCs w:val="20"/>
          <w:lang w:val="en-US"/>
        </w:rPr>
        <w:t>Proposal 1</w:t>
      </w:r>
      <w:r w:rsidRPr="00BF4801">
        <w:rPr>
          <w:b/>
          <w:szCs w:val="20"/>
          <w:lang w:val="en-US"/>
        </w:rPr>
        <w:t xml:space="preserve">: </w:t>
      </w:r>
      <w:r>
        <w:rPr>
          <w:b/>
          <w:szCs w:val="20"/>
          <w:lang w:val="en-US"/>
        </w:rPr>
        <w:t xml:space="preserve">NR-unlicensed supports multiple PRACH resource configuration in </w:t>
      </w:r>
      <w:r w:rsidR="003830B1">
        <w:rPr>
          <w:b/>
          <w:szCs w:val="20"/>
          <w:lang w:val="en-US"/>
        </w:rPr>
        <w:t xml:space="preserve">the </w:t>
      </w:r>
      <w:r>
        <w:rPr>
          <w:b/>
          <w:szCs w:val="20"/>
          <w:lang w:val="en-US"/>
        </w:rPr>
        <w:t xml:space="preserve">frequency domain. </w:t>
      </w:r>
    </w:p>
    <w:p w14:paraId="2A3F801B" w14:textId="2DEFEB8A" w:rsidR="001B5349" w:rsidRPr="001B5349" w:rsidRDefault="001B5349" w:rsidP="001B5349">
      <w:pPr>
        <w:spacing w:before="120"/>
      </w:pPr>
      <w:r>
        <w:rPr>
          <w:b/>
          <w:szCs w:val="20"/>
          <w:lang w:val="en-US"/>
        </w:rPr>
        <w:t>Proposal 2</w:t>
      </w:r>
      <w:r w:rsidRPr="00BF4801">
        <w:rPr>
          <w:b/>
          <w:szCs w:val="20"/>
          <w:lang w:val="en-US"/>
        </w:rPr>
        <w:t xml:space="preserve">: </w:t>
      </w:r>
      <w:r>
        <w:rPr>
          <w:b/>
          <w:szCs w:val="20"/>
          <w:lang w:val="en-US"/>
        </w:rPr>
        <w:t xml:space="preserve">A UE does not perform power ramping when preamble transmission is not executed due to the LBT failure. </w:t>
      </w:r>
      <w:bookmarkStart w:id="1" w:name="_GoBack"/>
      <w:bookmarkEnd w:id="1"/>
    </w:p>
    <w:p w14:paraId="61224C2C" w14:textId="682BD177" w:rsidR="001B5349" w:rsidRPr="001B5349" w:rsidRDefault="001B5349" w:rsidP="001B5349">
      <w:pPr>
        <w:spacing w:before="120"/>
      </w:pPr>
      <w:r>
        <w:rPr>
          <w:b/>
          <w:szCs w:val="20"/>
          <w:lang w:val="en-US"/>
        </w:rPr>
        <w:t>Proposal 3: The maximum configurable RAR window is extended for NR-unlicensed.</w:t>
      </w:r>
    </w:p>
    <w:p w14:paraId="02AC33B9" w14:textId="5D3E3339" w:rsidR="001B5349" w:rsidRPr="001B5349" w:rsidRDefault="001B5349" w:rsidP="001B5349">
      <w:pPr>
        <w:spacing w:before="120"/>
        <w:rPr>
          <w:lang w:val="en-US"/>
        </w:rPr>
      </w:pPr>
      <w:r>
        <w:rPr>
          <w:b/>
          <w:szCs w:val="20"/>
          <w:lang w:val="en-US"/>
        </w:rPr>
        <w:t xml:space="preserve">Proposal 4: L-139 preamble can be considered for NR-unlicensed. </w:t>
      </w:r>
    </w:p>
    <w:p w14:paraId="3464C1C6" w14:textId="6C024CDD" w:rsidR="001B5349" w:rsidRPr="001B5349" w:rsidRDefault="001B5349" w:rsidP="001B5349">
      <w:pPr>
        <w:spacing w:before="120"/>
        <w:rPr>
          <w:lang w:val="en-US"/>
        </w:rPr>
      </w:pPr>
      <w:r>
        <w:rPr>
          <w:b/>
          <w:szCs w:val="20"/>
          <w:lang w:val="en-US"/>
        </w:rPr>
        <w:t xml:space="preserve">Proposal 5: Paging monitoring window concept is introduced for NR-unlicensed. </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35FFC8A4" w:rsidR="0050700A" w:rsidRPr="001B5349" w:rsidRDefault="001932BE" w:rsidP="001B5349">
      <w:pPr>
        <w:pStyle w:val="BodyText"/>
        <w:overflowPunct w:val="0"/>
        <w:ind w:left="420" w:hanging="240"/>
        <w:textAlignment w:val="baseline"/>
        <w:rPr>
          <w:rFonts w:ascii="Times New Roman" w:hAnsi="Times New Roman"/>
        </w:rPr>
      </w:pPr>
      <w:r w:rsidRPr="00396B04">
        <w:rPr>
          <w:rFonts w:ascii="Times New Roman" w:hAnsi="Times New Roman"/>
        </w:rPr>
        <w:t>[1] RP-172021, “New SID on NR-based Access to Unlicensed Spectrum,” Qualcomm Inc., 3GPP TSG RAN Meeting #77, September, 2017.</w:t>
      </w:r>
      <w:r w:rsidR="008E205A">
        <w:rPr>
          <w:rFonts w:ascii="Times New Roman" w:hAnsi="Times New Roman"/>
        </w:rPr>
        <w:t xml:space="preserve"> </w:t>
      </w:r>
    </w:p>
    <w:sectPr w:rsidR="0050700A" w:rsidRPr="001B5349"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32C12" w14:textId="77777777" w:rsidR="001B2FD5" w:rsidRDefault="001B2FD5"/>
  </w:endnote>
  <w:endnote w:type="continuationSeparator" w:id="0">
    <w:p w14:paraId="1B5D7F8D" w14:textId="77777777" w:rsidR="001B2FD5" w:rsidRDefault="001B2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B4C25" w14:textId="77777777" w:rsidR="001B2FD5" w:rsidRDefault="001B2FD5"/>
  </w:footnote>
  <w:footnote w:type="continuationSeparator" w:id="0">
    <w:p w14:paraId="2BD25B3B" w14:textId="77777777" w:rsidR="001B2FD5" w:rsidRDefault="001B2F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17317"/>
    <w:multiLevelType w:val="hybridMultilevel"/>
    <w:tmpl w:val="14FC5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1A4A3D"/>
    <w:multiLevelType w:val="hybridMultilevel"/>
    <w:tmpl w:val="B890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F2708"/>
    <w:multiLevelType w:val="hybridMultilevel"/>
    <w:tmpl w:val="3BF0E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D33492"/>
    <w:multiLevelType w:val="hybridMultilevel"/>
    <w:tmpl w:val="F904C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4"/>
  </w:num>
  <w:num w:numId="4">
    <w:abstractNumId w:val="0"/>
  </w:num>
  <w:num w:numId="5">
    <w:abstractNumId w:val="24"/>
  </w:num>
  <w:num w:numId="6">
    <w:abstractNumId w:val="7"/>
  </w:num>
  <w:num w:numId="7">
    <w:abstractNumId w:val="13"/>
  </w:num>
  <w:num w:numId="8">
    <w:abstractNumId w:val="18"/>
  </w:num>
  <w:num w:numId="9">
    <w:abstractNumId w:val="16"/>
  </w:num>
  <w:num w:numId="10">
    <w:abstractNumId w:val="11"/>
  </w:num>
  <w:num w:numId="11">
    <w:abstractNumId w:val="28"/>
  </w:num>
  <w:num w:numId="12">
    <w:abstractNumId w:val="1"/>
  </w:num>
  <w:num w:numId="13">
    <w:abstractNumId w:val="17"/>
  </w:num>
  <w:num w:numId="14">
    <w:abstractNumId w:val="12"/>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30"/>
  </w:num>
  <w:num w:numId="20">
    <w:abstractNumId w:val="29"/>
  </w:num>
  <w:num w:numId="21">
    <w:abstractNumId w:val="23"/>
  </w:num>
  <w:num w:numId="22">
    <w:abstractNumId w:val="21"/>
  </w:num>
  <w:num w:numId="23">
    <w:abstractNumId w:val="31"/>
  </w:num>
  <w:num w:numId="24">
    <w:abstractNumId w:val="8"/>
  </w:num>
  <w:num w:numId="25">
    <w:abstractNumId w:val="10"/>
  </w:num>
  <w:num w:numId="26">
    <w:abstractNumId w:val="34"/>
  </w:num>
  <w:num w:numId="27">
    <w:abstractNumId w:val="27"/>
  </w:num>
  <w:num w:numId="28">
    <w:abstractNumId w:val="22"/>
  </w:num>
  <w:num w:numId="29">
    <w:abstractNumId w:val="14"/>
  </w:num>
  <w:num w:numId="30">
    <w:abstractNumId w:val="26"/>
  </w:num>
  <w:num w:numId="31">
    <w:abstractNumId w:val="32"/>
  </w:num>
  <w:num w:numId="32">
    <w:abstractNumId w:val="20"/>
  </w:num>
  <w:num w:numId="33">
    <w:abstractNumId w:val="25"/>
  </w:num>
  <w:num w:numId="34">
    <w:abstractNumId w:val="5"/>
  </w:num>
  <w:num w:numId="35">
    <w:abstractNumId w:val="9"/>
  </w:num>
  <w:num w:numId="36">
    <w:abstractNumId w:val="2"/>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E49"/>
    <w:rsid w:val="00006B72"/>
    <w:rsid w:val="00007449"/>
    <w:rsid w:val="000078D4"/>
    <w:rsid w:val="000079E9"/>
    <w:rsid w:val="00007F5E"/>
    <w:rsid w:val="00010410"/>
    <w:rsid w:val="00010EF9"/>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3E86"/>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3CFA"/>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458E"/>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63"/>
    <w:rsid w:val="0011438A"/>
    <w:rsid w:val="00114401"/>
    <w:rsid w:val="00114DE7"/>
    <w:rsid w:val="00114E20"/>
    <w:rsid w:val="00114F42"/>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D5C"/>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2BE"/>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2FD5"/>
    <w:rsid w:val="001B35EC"/>
    <w:rsid w:val="001B39B6"/>
    <w:rsid w:val="001B3D53"/>
    <w:rsid w:val="001B41B4"/>
    <w:rsid w:val="001B5349"/>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BD9"/>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67704"/>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7EE"/>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6ECA"/>
    <w:rsid w:val="002B73A6"/>
    <w:rsid w:val="002B7715"/>
    <w:rsid w:val="002C0FFF"/>
    <w:rsid w:val="002C1047"/>
    <w:rsid w:val="002C116F"/>
    <w:rsid w:val="002C130C"/>
    <w:rsid w:val="002C1D16"/>
    <w:rsid w:val="002C26BF"/>
    <w:rsid w:val="002C2AD3"/>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257B"/>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4CA"/>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0B1"/>
    <w:rsid w:val="00383583"/>
    <w:rsid w:val="00383647"/>
    <w:rsid w:val="0038367F"/>
    <w:rsid w:val="0038379E"/>
    <w:rsid w:val="00383B43"/>
    <w:rsid w:val="00384AAF"/>
    <w:rsid w:val="003860BD"/>
    <w:rsid w:val="00387CB0"/>
    <w:rsid w:val="00390456"/>
    <w:rsid w:val="0039057B"/>
    <w:rsid w:val="00391B15"/>
    <w:rsid w:val="00391EA8"/>
    <w:rsid w:val="00392005"/>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5DF"/>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0FFB"/>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77B"/>
    <w:rsid w:val="00491799"/>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741"/>
    <w:rsid w:val="0052481B"/>
    <w:rsid w:val="00524923"/>
    <w:rsid w:val="00524E8F"/>
    <w:rsid w:val="005263CB"/>
    <w:rsid w:val="00526CE7"/>
    <w:rsid w:val="00527F4B"/>
    <w:rsid w:val="00530836"/>
    <w:rsid w:val="00530D0D"/>
    <w:rsid w:val="0053124F"/>
    <w:rsid w:val="005321AB"/>
    <w:rsid w:val="00534142"/>
    <w:rsid w:val="00534389"/>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D8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6E"/>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A3F"/>
    <w:rsid w:val="00574BD8"/>
    <w:rsid w:val="00574F86"/>
    <w:rsid w:val="005751D4"/>
    <w:rsid w:val="005759EF"/>
    <w:rsid w:val="00575C5B"/>
    <w:rsid w:val="005763F7"/>
    <w:rsid w:val="0057646F"/>
    <w:rsid w:val="005769F0"/>
    <w:rsid w:val="00577365"/>
    <w:rsid w:val="00580C62"/>
    <w:rsid w:val="005822A7"/>
    <w:rsid w:val="0058241D"/>
    <w:rsid w:val="00583171"/>
    <w:rsid w:val="00584006"/>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069"/>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1522"/>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CA7"/>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874"/>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3DDD"/>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9E5"/>
    <w:rsid w:val="0070020C"/>
    <w:rsid w:val="007004CD"/>
    <w:rsid w:val="00700AC5"/>
    <w:rsid w:val="00700D86"/>
    <w:rsid w:val="00701118"/>
    <w:rsid w:val="00701EDA"/>
    <w:rsid w:val="00701FA6"/>
    <w:rsid w:val="0070252D"/>
    <w:rsid w:val="00702C60"/>
    <w:rsid w:val="00703B16"/>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B8B"/>
    <w:rsid w:val="00735C75"/>
    <w:rsid w:val="00735E6F"/>
    <w:rsid w:val="00735FD0"/>
    <w:rsid w:val="00736298"/>
    <w:rsid w:val="0073698F"/>
    <w:rsid w:val="00736CAD"/>
    <w:rsid w:val="007402BB"/>
    <w:rsid w:val="007402E0"/>
    <w:rsid w:val="00740B8B"/>
    <w:rsid w:val="00741D65"/>
    <w:rsid w:val="00742FD6"/>
    <w:rsid w:val="00744263"/>
    <w:rsid w:val="00744A94"/>
    <w:rsid w:val="00744AB6"/>
    <w:rsid w:val="00744B8D"/>
    <w:rsid w:val="00744E67"/>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9AA"/>
    <w:rsid w:val="00775A22"/>
    <w:rsid w:val="00775E6D"/>
    <w:rsid w:val="007775A4"/>
    <w:rsid w:val="0077796E"/>
    <w:rsid w:val="00777CF5"/>
    <w:rsid w:val="00777E9C"/>
    <w:rsid w:val="00777EBC"/>
    <w:rsid w:val="00780933"/>
    <w:rsid w:val="0078136F"/>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A8A"/>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153"/>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4D0D"/>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135"/>
    <w:rsid w:val="009809EC"/>
    <w:rsid w:val="00980A63"/>
    <w:rsid w:val="00980D0B"/>
    <w:rsid w:val="00981077"/>
    <w:rsid w:val="00982BE8"/>
    <w:rsid w:val="00982DEB"/>
    <w:rsid w:val="00983246"/>
    <w:rsid w:val="00983B02"/>
    <w:rsid w:val="00983C1C"/>
    <w:rsid w:val="00983F69"/>
    <w:rsid w:val="00984FB8"/>
    <w:rsid w:val="009850F7"/>
    <w:rsid w:val="0098537A"/>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203"/>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5A6D"/>
    <w:rsid w:val="00B96390"/>
    <w:rsid w:val="00B96F54"/>
    <w:rsid w:val="00B976CD"/>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0BCD"/>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667"/>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561"/>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71"/>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774"/>
    <w:rsid w:val="00CB3834"/>
    <w:rsid w:val="00CB39AC"/>
    <w:rsid w:val="00CB648D"/>
    <w:rsid w:val="00CB6538"/>
    <w:rsid w:val="00CB694B"/>
    <w:rsid w:val="00CB7014"/>
    <w:rsid w:val="00CB7541"/>
    <w:rsid w:val="00CB75BD"/>
    <w:rsid w:val="00CB7770"/>
    <w:rsid w:val="00CB7CFA"/>
    <w:rsid w:val="00CC0628"/>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9D8"/>
    <w:rsid w:val="00D16B6C"/>
    <w:rsid w:val="00D17072"/>
    <w:rsid w:val="00D170A0"/>
    <w:rsid w:val="00D1737B"/>
    <w:rsid w:val="00D17DCD"/>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70"/>
    <w:rsid w:val="00D62CB7"/>
    <w:rsid w:val="00D62E57"/>
    <w:rsid w:val="00D63A2C"/>
    <w:rsid w:val="00D63D8D"/>
    <w:rsid w:val="00D63FED"/>
    <w:rsid w:val="00D640F4"/>
    <w:rsid w:val="00D64186"/>
    <w:rsid w:val="00D643DE"/>
    <w:rsid w:val="00D64405"/>
    <w:rsid w:val="00D6457A"/>
    <w:rsid w:val="00D6469D"/>
    <w:rsid w:val="00D64D78"/>
    <w:rsid w:val="00D6522C"/>
    <w:rsid w:val="00D656A9"/>
    <w:rsid w:val="00D65FA4"/>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255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5E88"/>
    <w:rsid w:val="00DE6CE1"/>
    <w:rsid w:val="00DE6EE8"/>
    <w:rsid w:val="00DE6FAF"/>
    <w:rsid w:val="00DE77EE"/>
    <w:rsid w:val="00DE7B8D"/>
    <w:rsid w:val="00DE7BF0"/>
    <w:rsid w:val="00DE7C6D"/>
    <w:rsid w:val="00DE7FA7"/>
    <w:rsid w:val="00DF046F"/>
    <w:rsid w:val="00DF0586"/>
    <w:rsid w:val="00DF05CA"/>
    <w:rsid w:val="00DF086D"/>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2E1"/>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D59"/>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6DE3"/>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0C1C"/>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2D35"/>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52A"/>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4BB"/>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0A5"/>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ABF"/>
    <w:rsid w:val="00F31B65"/>
    <w:rsid w:val="00F3205B"/>
    <w:rsid w:val="00F325BF"/>
    <w:rsid w:val="00F32B0C"/>
    <w:rsid w:val="00F33134"/>
    <w:rsid w:val="00F33847"/>
    <w:rsid w:val="00F343E4"/>
    <w:rsid w:val="00F34416"/>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10E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47D"/>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8A7"/>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2C2AD3"/>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C2AD3"/>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42E2A-BDC1-4014-B3D0-D82C91FA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3</Pages>
  <Words>1387</Words>
  <Characters>7616</Characters>
  <Application>Microsoft Office Word</Application>
  <DocSecurity>0</DocSecurity>
  <Lines>121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9059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4</cp:revision>
  <cp:lastPrinted>2017-10-24T05:18:00Z</cp:lastPrinted>
  <dcterms:created xsi:type="dcterms:W3CDTF">2018-05-11T20:19:00Z</dcterms:created>
  <dcterms:modified xsi:type="dcterms:W3CDTF">2018-05-12T02:08:00Z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c4991700-3f6b-4c56-9bac-7814969df36c</vt:lpwstr>
  </property>
  <property fmtid="{D5CDD505-2E9C-101B-9397-08002B2CF9AE}" pid="3" name="CTP_TimeStamp">
    <vt:lpwstr>2018-05-12 02:08:53Z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