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177589D9" w:rsidR="0030068F" w:rsidRPr="00FC7BBB" w:rsidRDefault="00AA1021" w:rsidP="0030068F">
      <w:pPr>
        <w:tabs>
          <w:tab w:val="right" w:pos="9360"/>
        </w:tabs>
        <w:spacing w:after="0"/>
        <w:rPr>
          <w:rFonts w:ascii="Arial" w:hAnsi="Arial" w:cs="Arial"/>
          <w:b/>
          <w:i/>
          <w:sz w:val="24"/>
          <w:lang w:eastAsia="zh-CN"/>
        </w:rPr>
      </w:pPr>
      <w:r>
        <w:rPr>
          <w:rFonts w:ascii="Arial" w:hAnsi="Arial" w:cs="Arial"/>
          <w:b/>
          <w:sz w:val="24"/>
          <w:lang w:val="en-US"/>
        </w:rPr>
        <w:t>3GPP TSG RAN WG1 Meeting #93</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624A6F">
        <w:rPr>
          <w:rFonts w:ascii="Arial" w:hAnsi="Arial" w:cs="Arial"/>
          <w:b/>
          <w:sz w:val="24"/>
        </w:rPr>
        <w:t>R1-180654</w:t>
      </w:r>
      <w:r w:rsidR="0026001C">
        <w:rPr>
          <w:rFonts w:ascii="Arial" w:hAnsi="Arial" w:cs="Arial"/>
          <w:b/>
          <w:sz w:val="24"/>
        </w:rPr>
        <w:t>1</w:t>
      </w:r>
    </w:p>
    <w:p w14:paraId="719E3DBE" w14:textId="2166C5C6" w:rsidR="0030068F" w:rsidRPr="00FC7BBB" w:rsidRDefault="00AA1021" w:rsidP="0030068F">
      <w:pPr>
        <w:spacing w:after="0"/>
        <w:rPr>
          <w:rFonts w:ascii="Arial" w:hAnsi="Arial" w:cs="Arial"/>
          <w:b/>
          <w:sz w:val="24"/>
        </w:rPr>
      </w:pPr>
      <w:r>
        <w:rPr>
          <w:rFonts w:ascii="Arial" w:hAnsi="Arial" w:cs="Arial"/>
          <w:b/>
          <w:sz w:val="24"/>
          <w:lang w:val="en-US"/>
        </w:rPr>
        <w:t>Busan</w:t>
      </w:r>
      <w:r w:rsidR="00E22F72">
        <w:rPr>
          <w:rFonts w:ascii="Arial" w:hAnsi="Arial" w:cs="Arial"/>
          <w:b/>
          <w:sz w:val="24"/>
          <w:lang w:val="en-US"/>
        </w:rPr>
        <w:t xml:space="preserve">, </w:t>
      </w:r>
      <w:r>
        <w:rPr>
          <w:rFonts w:ascii="Arial" w:hAnsi="Arial" w:cs="Arial"/>
          <w:b/>
          <w:sz w:val="24"/>
          <w:lang w:val="en-US"/>
        </w:rPr>
        <w:t>Korea</w:t>
      </w:r>
      <w:r w:rsidR="00E22F72" w:rsidRPr="002C4AFA">
        <w:rPr>
          <w:rFonts w:ascii="Arial" w:hAnsi="Arial" w:cs="Arial"/>
          <w:b/>
          <w:sz w:val="24"/>
          <w:lang w:val="en-US"/>
        </w:rPr>
        <w:t xml:space="preserve">, </w:t>
      </w:r>
      <w:r>
        <w:rPr>
          <w:rFonts w:ascii="Arial" w:hAnsi="Arial" w:cs="Arial"/>
          <w:b/>
          <w:sz w:val="24"/>
          <w:lang w:val="en-US"/>
        </w:rPr>
        <w:t>May</w:t>
      </w:r>
      <w:r w:rsidR="00E22F72">
        <w:rPr>
          <w:rFonts w:ascii="Arial" w:hAnsi="Arial" w:cs="Arial"/>
          <w:b/>
          <w:sz w:val="24"/>
          <w:lang w:val="en-US"/>
        </w:rPr>
        <w:t xml:space="preserve"> </w:t>
      </w:r>
      <w:r w:rsidR="00E84792">
        <w:rPr>
          <w:rFonts w:ascii="Arial" w:hAnsi="Arial" w:cs="Arial"/>
          <w:b/>
          <w:sz w:val="24"/>
          <w:lang w:val="en-US"/>
        </w:rPr>
        <w:t>21</w:t>
      </w:r>
      <w:r w:rsidR="00E84792">
        <w:rPr>
          <w:rFonts w:ascii="Arial" w:hAnsi="Arial" w:cs="Arial"/>
          <w:b/>
          <w:sz w:val="24"/>
          <w:vertAlign w:val="superscript"/>
          <w:lang w:val="en-US"/>
        </w:rPr>
        <w:t>st</w:t>
      </w:r>
      <w:r w:rsidR="00E84792">
        <w:rPr>
          <w:rFonts w:ascii="Arial" w:hAnsi="Arial" w:cs="Arial"/>
          <w:b/>
          <w:sz w:val="24"/>
          <w:lang w:val="en-US"/>
        </w:rPr>
        <w:t xml:space="preserve"> </w:t>
      </w:r>
      <w:r w:rsidR="00E22F72">
        <w:rPr>
          <w:rFonts w:ascii="Arial" w:hAnsi="Arial" w:cs="Arial"/>
          <w:b/>
          <w:sz w:val="24"/>
          <w:lang w:val="en-US"/>
        </w:rPr>
        <w:t>– 2</w:t>
      </w:r>
      <w:r>
        <w:rPr>
          <w:rFonts w:ascii="Arial" w:hAnsi="Arial" w:cs="Arial"/>
          <w:b/>
          <w:sz w:val="24"/>
          <w:lang w:val="en-US"/>
        </w:rPr>
        <w:t>5</w:t>
      </w:r>
      <w:r w:rsidR="00E22F72" w:rsidRPr="003E5A52">
        <w:rPr>
          <w:rFonts w:ascii="Arial" w:hAnsi="Arial" w:cs="Arial"/>
          <w:b/>
          <w:sz w:val="24"/>
          <w:vertAlign w:val="superscript"/>
          <w:lang w:val="en-US"/>
        </w:rPr>
        <w:t>th</w:t>
      </w:r>
      <w:r w:rsidR="00E22F72">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34EDB16"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F14005">
        <w:rPr>
          <w:rFonts w:ascii="Arial" w:hAnsi="Arial" w:cs="Arial"/>
          <w:b/>
          <w:bCs/>
          <w:sz w:val="24"/>
          <w:lang w:val="en-US"/>
        </w:rPr>
        <w:t>7.6.2</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E97F8AD"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26001C" w:rsidRPr="0026001C">
        <w:rPr>
          <w:rFonts w:ascii="Arial" w:hAnsi="Arial" w:cs="Arial"/>
          <w:b/>
          <w:bCs/>
          <w:sz w:val="24"/>
          <w:lang w:val="en-US"/>
        </w:rPr>
        <w:t>On the NR frame structure to support unlicensed operation</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72753082" w:rsidR="00396B04" w:rsidRDefault="00396B04" w:rsidP="00396B04">
      <w:r>
        <w:t>In RAN1 #92</w:t>
      </w:r>
      <w:r w:rsidR="00AA1021">
        <w:t>b</w:t>
      </w:r>
      <w:r>
        <w:t>,</w:t>
      </w:r>
      <w:r w:rsidR="00AA1021">
        <w:t xml:space="preserve"> the following</w:t>
      </w:r>
      <w:r w:rsidR="007F490A">
        <w:t xml:space="preserve"> agreement was made [1]: </w:t>
      </w:r>
    </w:p>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625E79F5" w14:textId="77777777" w:rsidR="00E32EBB" w:rsidRPr="00085D5D" w:rsidRDefault="00E32EBB" w:rsidP="00E32EBB">
            <w:r w:rsidRPr="005C369E">
              <w:rPr>
                <w:highlight w:val="green"/>
              </w:rPr>
              <w:t>Agreement:</w:t>
            </w:r>
          </w:p>
          <w:p w14:paraId="5D798A7D" w14:textId="77777777" w:rsidR="00E32EBB" w:rsidRPr="00E32EBB" w:rsidRDefault="00E32EBB" w:rsidP="00E32EBB">
            <w:pPr>
              <w:pStyle w:val="ListParagraph"/>
              <w:widowControl w:val="0"/>
              <w:numPr>
                <w:ilvl w:val="0"/>
                <w:numId w:val="35"/>
              </w:numPr>
              <w:spacing w:after="0"/>
              <w:rPr>
                <w:lang w:val="en-US"/>
              </w:rPr>
            </w:pPr>
            <w:r w:rsidRPr="00E32EBB">
              <w:rPr>
                <w:lang w:val="en-US"/>
              </w:rPr>
              <w:t xml:space="preserve">NR-U supports both Type-A and Type-B mapping already supported in NR </w:t>
            </w:r>
          </w:p>
          <w:p w14:paraId="1AC2B920" w14:textId="77777777" w:rsidR="00E32EBB" w:rsidRPr="00D7139F" w:rsidRDefault="00E32EBB" w:rsidP="00E32EBB">
            <w:pPr>
              <w:widowControl w:val="0"/>
              <w:numPr>
                <w:ilvl w:val="1"/>
                <w:numId w:val="35"/>
              </w:numPr>
              <w:spacing w:after="0"/>
              <w:rPr>
                <w:lang w:val="en-US"/>
              </w:rPr>
            </w:pPr>
            <w:r>
              <w:rPr>
                <w:lang w:val="en-US"/>
              </w:rPr>
              <w:t>Additional starting positions and durations are not precluded</w:t>
            </w:r>
          </w:p>
          <w:p w14:paraId="3B44C0B0" w14:textId="77777777" w:rsidR="00E32EBB" w:rsidRPr="0001199A" w:rsidRDefault="00E32EBB" w:rsidP="00E32EBB">
            <w:pPr>
              <w:widowControl w:val="0"/>
              <w:numPr>
                <w:ilvl w:val="0"/>
                <w:numId w:val="35"/>
              </w:numPr>
              <w:spacing w:after="0"/>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57A10564" w14:textId="77777777" w:rsidR="00E32EBB" w:rsidRPr="0001199A" w:rsidRDefault="00E32EBB" w:rsidP="00E32EBB">
            <w:pPr>
              <w:widowControl w:val="0"/>
              <w:numPr>
                <w:ilvl w:val="1"/>
                <w:numId w:val="35"/>
              </w:numPr>
              <w:spacing w:after="0"/>
              <w:rPr>
                <w:lang w:val="en-US"/>
              </w:rPr>
            </w:pPr>
            <w:r w:rsidRPr="0001199A">
              <w:rPr>
                <w:lang w:val="en-US"/>
              </w:rPr>
              <w:t xml:space="preserve">Study performance difference between </w:t>
            </w:r>
            <w:r>
              <w:rPr>
                <w:lang w:val="en-US"/>
              </w:rPr>
              <w:t>different SCS</w:t>
            </w:r>
          </w:p>
          <w:p w14:paraId="5758A4EB" w14:textId="77777777" w:rsidR="00E32EBB" w:rsidRPr="0001199A" w:rsidRDefault="00E32EBB" w:rsidP="00E32EBB">
            <w:pPr>
              <w:widowControl w:val="0"/>
              <w:numPr>
                <w:ilvl w:val="1"/>
                <w:numId w:val="35"/>
              </w:numPr>
              <w:spacing w:after="0"/>
              <w:rPr>
                <w:lang w:val="en-US"/>
              </w:rPr>
            </w:pPr>
            <w:r>
              <w:rPr>
                <w:lang w:val="en-US"/>
              </w:rPr>
              <w:t>Study if changes to UL design are needed to meet the PSD and OCB requirements</w:t>
            </w:r>
          </w:p>
          <w:p w14:paraId="7EBBB22B" w14:textId="77777777" w:rsidR="00E32EBB" w:rsidRPr="0001199A" w:rsidRDefault="00E32EBB" w:rsidP="00E32EBB">
            <w:pPr>
              <w:widowControl w:val="0"/>
              <w:numPr>
                <w:ilvl w:val="1"/>
                <w:numId w:val="35"/>
              </w:numPr>
              <w:spacing w:after="0"/>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01AF23EB" w14:textId="77777777" w:rsidR="00E32EBB" w:rsidRPr="0001199A" w:rsidRDefault="00E32EBB" w:rsidP="00E32EBB">
            <w:pPr>
              <w:widowControl w:val="0"/>
              <w:numPr>
                <w:ilvl w:val="1"/>
                <w:numId w:val="35"/>
              </w:numPr>
              <w:spacing w:after="0"/>
              <w:rPr>
                <w:lang w:val="en-US"/>
              </w:rPr>
            </w:pPr>
            <w:r w:rsidRPr="0001199A">
              <w:rPr>
                <w:lang w:val="en-US"/>
              </w:rPr>
              <w:t xml:space="preserve">Impact on MIB and SIB1 content </w:t>
            </w:r>
          </w:p>
          <w:p w14:paraId="3701B16F" w14:textId="77777777" w:rsidR="00E32EBB" w:rsidRPr="0001199A" w:rsidRDefault="00E32EBB" w:rsidP="00E32EBB">
            <w:pPr>
              <w:widowControl w:val="0"/>
              <w:numPr>
                <w:ilvl w:val="1"/>
                <w:numId w:val="35"/>
              </w:numPr>
              <w:spacing w:after="0"/>
              <w:rPr>
                <w:lang w:val="en-US"/>
              </w:rPr>
            </w:pPr>
            <w:r>
              <w:rPr>
                <w:lang w:val="en-US"/>
              </w:rPr>
              <w:t>Need for use of E</w:t>
            </w:r>
            <w:r w:rsidRPr="0001199A">
              <w:rPr>
                <w:lang w:val="en-US"/>
              </w:rPr>
              <w:t>CP</w:t>
            </w:r>
            <w:r>
              <w:rPr>
                <w:lang w:val="en-US"/>
              </w:rPr>
              <w:t xml:space="preserve"> for 60KHz</w:t>
            </w:r>
          </w:p>
          <w:p w14:paraId="5700B89B" w14:textId="77777777" w:rsidR="00E32EBB" w:rsidRPr="00F3000D" w:rsidRDefault="00E32EBB" w:rsidP="00E32EBB">
            <w:pPr>
              <w:widowControl w:val="0"/>
              <w:numPr>
                <w:ilvl w:val="1"/>
                <w:numId w:val="35"/>
              </w:numPr>
              <w:spacing w:after="0"/>
              <w:rPr>
                <w:lang w:val="en-US"/>
              </w:rPr>
            </w:pPr>
            <w:r w:rsidRPr="0001199A">
              <w:rPr>
                <w:lang w:val="en-US"/>
              </w:rPr>
              <w:t>RACH design with 60KHz SCS</w:t>
            </w:r>
            <w:r>
              <w:rPr>
                <w:lang w:val="en-US"/>
              </w:rPr>
              <w:t xml:space="preserve"> in addition to options currently part of NR</w:t>
            </w:r>
          </w:p>
          <w:p w14:paraId="51B6F583" w14:textId="77777777" w:rsidR="00E32EBB" w:rsidRDefault="00E32EBB" w:rsidP="00E32EBB">
            <w:pPr>
              <w:widowControl w:val="0"/>
              <w:numPr>
                <w:ilvl w:val="1"/>
                <w:numId w:val="35"/>
              </w:numPr>
              <w:spacing w:after="0"/>
              <w:rPr>
                <w:lang w:val="en-US"/>
              </w:rPr>
            </w:pPr>
            <w:r w:rsidRPr="0001199A">
              <w:rPr>
                <w:lang w:val="en-US"/>
              </w:rPr>
              <w:t xml:space="preserve">Other considerations are not precluded. </w:t>
            </w:r>
          </w:p>
          <w:p w14:paraId="72F58F4F" w14:textId="77777777" w:rsidR="00E32EBB" w:rsidRDefault="00E32EBB" w:rsidP="00E32EBB">
            <w:pPr>
              <w:widowControl w:val="0"/>
              <w:numPr>
                <w:ilvl w:val="1"/>
                <w:numId w:val="35"/>
              </w:numPr>
              <w:spacing w:after="0"/>
              <w:rPr>
                <w:lang w:val="en-US"/>
              </w:rPr>
            </w:pPr>
            <w:r>
              <w:rPr>
                <w:lang w:val="en-US"/>
              </w:rPr>
              <w:t>Impact on support of different BWs with different SCS</w:t>
            </w:r>
          </w:p>
          <w:p w14:paraId="5187B90B" w14:textId="77777777" w:rsidR="00E32EBB" w:rsidRPr="0001199A" w:rsidRDefault="00E32EBB" w:rsidP="00E32EBB">
            <w:pPr>
              <w:widowControl w:val="0"/>
              <w:numPr>
                <w:ilvl w:val="0"/>
                <w:numId w:val="35"/>
              </w:numPr>
              <w:spacing w:after="0"/>
              <w:rPr>
                <w:lang w:val="en-US"/>
              </w:rPr>
            </w:pPr>
            <w:r>
              <w:rPr>
                <w:lang w:val="en-US"/>
              </w:rPr>
              <w:t>Study s</w:t>
            </w:r>
            <w:r w:rsidRPr="0001199A">
              <w:rPr>
                <w:lang w:val="en-US"/>
              </w:rPr>
              <w:t>upport</w:t>
            </w:r>
            <w:r>
              <w:rPr>
                <w:lang w:val="en-US"/>
              </w:rPr>
              <w:t>ing</w:t>
            </w:r>
            <w:r w:rsidRPr="0001199A">
              <w:rPr>
                <w:lang w:val="en-US"/>
              </w:rPr>
              <w:t xml:space="preserve"> more than one switching points within a TxOP</w:t>
            </w:r>
          </w:p>
          <w:p w14:paraId="45E10D0A" w14:textId="6448FD69" w:rsidR="00F770AA" w:rsidRPr="00E32EBB" w:rsidRDefault="00E32EBB" w:rsidP="00E32EBB">
            <w:pPr>
              <w:widowControl w:val="0"/>
              <w:numPr>
                <w:ilvl w:val="1"/>
                <w:numId w:val="35"/>
              </w:numPr>
              <w:rPr>
                <w:lang w:val="en-US"/>
              </w:rPr>
            </w:pPr>
            <w:r w:rsidRPr="0001199A">
              <w:rPr>
                <w:lang w:val="en-US"/>
              </w:rPr>
              <w:t>FFS the LBT requirement for each DL/UL data/control burst in the TxOP</w:t>
            </w:r>
          </w:p>
        </w:tc>
      </w:tr>
    </w:tbl>
    <w:p w14:paraId="19060C4F" w14:textId="77777777" w:rsidR="00F770AA" w:rsidRDefault="00F770AA" w:rsidP="00396B04"/>
    <w:p w14:paraId="066450E0" w14:textId="7EBE05FB" w:rsidR="00B40357" w:rsidRDefault="002E370A" w:rsidP="00B40357">
      <w:r>
        <w:t xml:space="preserve">With the basis </w:t>
      </w:r>
      <w:r w:rsidR="00E84792">
        <w:t xml:space="preserve">of </w:t>
      </w:r>
      <w:r>
        <w:t>the</w:t>
      </w:r>
      <w:r w:rsidR="00B40357">
        <w:t xml:space="preserve"> above agreement, the following issues will be discussed in this contribution:</w:t>
      </w:r>
    </w:p>
    <w:p w14:paraId="22CA455E" w14:textId="77777777" w:rsidR="00B40357" w:rsidRDefault="00B40357" w:rsidP="002E370A">
      <w:pPr>
        <w:pStyle w:val="ListParagraph"/>
        <w:numPr>
          <w:ilvl w:val="0"/>
          <w:numId w:val="32"/>
        </w:numPr>
        <w:spacing w:after="0"/>
      </w:pPr>
      <w:r>
        <w:t xml:space="preserve">Discussion on the pros/cons of different numerology options (i.e., SCS and CP) for the purpose of NR-unlicensed operation. </w:t>
      </w:r>
    </w:p>
    <w:p w14:paraId="4277E774" w14:textId="743B2545" w:rsidR="00DF24A8" w:rsidRDefault="00B40357" w:rsidP="002E370A">
      <w:pPr>
        <w:pStyle w:val="ListParagraph"/>
        <w:numPr>
          <w:ilvl w:val="0"/>
          <w:numId w:val="32"/>
        </w:numPr>
        <w:spacing w:after="0"/>
      </w:pPr>
      <w:r>
        <w:t xml:space="preserve">NR dynamic TDD structure and </w:t>
      </w:r>
      <w:r w:rsidR="00DF24A8">
        <w:t>unlicensed operation</w:t>
      </w:r>
      <w:r w:rsidR="00E84792">
        <w:t>.</w:t>
      </w:r>
    </w:p>
    <w:p w14:paraId="48EF3862" w14:textId="6D1A1D91" w:rsidR="0026001C" w:rsidRDefault="00DF24A8" w:rsidP="002E370A">
      <w:pPr>
        <w:pStyle w:val="ListParagraph"/>
        <w:numPr>
          <w:ilvl w:val="0"/>
          <w:numId w:val="32"/>
        </w:numPr>
        <w:spacing w:after="0"/>
      </w:pPr>
      <w:r>
        <w:t xml:space="preserve">Support of multiple switching points in a COT. </w:t>
      </w:r>
    </w:p>
    <w:p w14:paraId="1729F230" w14:textId="082794B2" w:rsidR="00B530F8" w:rsidRPr="00327510" w:rsidRDefault="00DF24A8" w:rsidP="00B530F8">
      <w:pPr>
        <w:pStyle w:val="Heading1"/>
        <w:keepNext w:val="0"/>
        <w:widowControl w:val="0"/>
        <w:spacing w:before="480" w:after="120"/>
        <w:ind w:left="518" w:hanging="518"/>
        <w:rPr>
          <w:sz w:val="28"/>
        </w:rPr>
      </w:pPr>
      <w:r>
        <w:rPr>
          <w:sz w:val="28"/>
        </w:rPr>
        <w:t>Different numerology options</w:t>
      </w:r>
    </w:p>
    <w:p w14:paraId="5EFFE624" w14:textId="5AF87235" w:rsidR="00DF24A8" w:rsidRDefault="00DF24A8" w:rsidP="00DF24A8">
      <w:r>
        <w:t>In NR, scalable</w:t>
      </w:r>
      <w:r w:rsidR="002E370A">
        <w:t xml:space="preserve"> subcarrier spacing</w:t>
      </w:r>
      <w:r>
        <w:t xml:space="preserve"> </w:t>
      </w:r>
      <w:r w:rsidR="002E370A">
        <w:t>(</w:t>
      </w:r>
      <w:r>
        <w:t>SCS</w:t>
      </w:r>
      <w:r w:rsidR="002E370A">
        <w:t>)</w:t>
      </w:r>
      <w:r>
        <w:t xml:space="preserve"> options are supported. Assuming 4K FFT, the followings describe the set of supported channel BW (CBW) for a given subcarrier spacing for frequency range 1 (FR1) and frequency range 2 (FR2). </w:t>
      </w:r>
    </w:p>
    <w:p w14:paraId="1A2CD0E4" w14:textId="77777777" w:rsidR="00DF24A8" w:rsidRPr="00475B7A" w:rsidRDefault="00DF24A8" w:rsidP="00DF24A8">
      <w:pPr>
        <w:spacing w:before="240"/>
        <w:jc w:val="center"/>
        <w:rPr>
          <w:b/>
          <w:sz w:val="18"/>
        </w:rPr>
      </w:pPr>
      <w:r w:rsidRPr="00475B7A">
        <w:rPr>
          <w:b/>
          <w:sz w:val="18"/>
        </w:rPr>
        <w:t>Table I. Maximum transmission bandwidth configuration N</w:t>
      </w:r>
      <w:r w:rsidRPr="00475B7A">
        <w:rPr>
          <w:b/>
          <w:sz w:val="18"/>
          <w:vertAlign w:val="subscript"/>
        </w:rPr>
        <w:t>RB</w:t>
      </w:r>
      <w:r w:rsidRPr="00475B7A">
        <w:rPr>
          <w:b/>
          <w:sz w:val="18"/>
        </w:rPr>
        <w:t xml:space="preserve"> for frequency range</w:t>
      </w:r>
      <w:r>
        <w:rPr>
          <w:b/>
          <w:sz w:val="18"/>
        </w:rPr>
        <w:t xml:space="preserve"> 1 (FR</w:t>
      </w:r>
      <w:r w:rsidRPr="00475B7A">
        <w:rPr>
          <w:b/>
          <w:sz w:val="18"/>
        </w:rPr>
        <w:t>1</w:t>
      </w:r>
      <w:r>
        <w:rPr>
          <w:b/>
          <w:sz w:val="18"/>
        </w:rPr>
        <w:t>)</w:t>
      </w:r>
      <w:r w:rsidRPr="00475B7A">
        <w:rPr>
          <w:b/>
          <w:sz w:val="18"/>
        </w:rPr>
        <w:t xml:space="preserve"> (450 MHz – 6000 MHz)</w:t>
      </w:r>
      <w:r>
        <w:rPr>
          <w:b/>
          <w:sz w:val="18"/>
        </w:rPr>
        <w:t xml:space="preserve"> [2]</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DF24A8" w:rsidRPr="003E7698" w14:paraId="02E39A36" w14:textId="77777777" w:rsidTr="00920F31">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4567E30"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533DC97"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1A26EEF"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F86BE1B"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F38189A"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614C374"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9B2E8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D55C943"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F16FAD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FA2BCDC"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1343630"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B0FA96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100 MHz</w:t>
            </w:r>
          </w:p>
        </w:tc>
      </w:tr>
      <w:tr w:rsidR="00DF24A8" w:rsidRPr="003E7698" w14:paraId="3028EB16" w14:textId="77777777" w:rsidTr="00920F31">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9FB466" w14:textId="77777777" w:rsidR="00DF24A8" w:rsidRPr="003E7698" w:rsidRDefault="00DF24A8" w:rsidP="00920F31">
            <w:pPr>
              <w:spacing w:after="0"/>
              <w:jc w:val="center"/>
              <w:rPr>
                <w:rFonts w:ascii="Arial" w:eastAsia="Times New Roman" w:hAnsi="Arial" w:cs="Arial"/>
                <w:sz w:val="16"/>
                <w:szCs w:val="36"/>
                <w:lang w:val="en-US" w:eastAsia="ko-KR"/>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9D8A265"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6DAD87A"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4AFADB7"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2A826CF"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7E5D187"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A40B7A"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E58FC38"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6D0D354"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447EEF7"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6A77570"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1511F41"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r>
      <w:tr w:rsidR="00DF24A8" w:rsidRPr="003E7698" w14:paraId="1E84ABBF" w14:textId="77777777" w:rsidTr="00920F31">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CCF891B"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0CB89AE"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B6DACE2"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98E1752"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B2167A0"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B913FD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4E4BD9DA"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EF14E7F"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A5D30DC"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4282FC8"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4BDC68E"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F76E038"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N/A</w:t>
            </w:r>
          </w:p>
        </w:tc>
      </w:tr>
      <w:tr w:rsidR="00DF24A8" w:rsidRPr="003E7698" w14:paraId="447030D9" w14:textId="77777777" w:rsidTr="00920F31">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2BD8B56"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9750F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40ABF37"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B56A1DB"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58C3896"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F6386CC"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7836EB57"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DEF6163"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3780BA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F64B74C"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5D8DB70"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B674933"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273</w:t>
            </w:r>
          </w:p>
        </w:tc>
      </w:tr>
      <w:tr w:rsidR="00DF24A8" w:rsidRPr="003E7698" w14:paraId="095E08FE" w14:textId="77777777" w:rsidTr="00920F31">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F0ED079"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6606B0E"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BF7BB4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9D929D4"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B266DF9"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C55DFFE"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357EFAC0"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3666BBE"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B40499D"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54F3F7"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21FFBD0"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00C0D11" w14:textId="77777777" w:rsidR="00DF24A8" w:rsidRPr="003E7698" w:rsidRDefault="00DF24A8" w:rsidP="00920F31">
            <w:pPr>
              <w:overflowPunct w:val="0"/>
              <w:spacing w:after="0"/>
              <w:jc w:val="center"/>
              <w:rPr>
                <w:rFonts w:ascii="Arial" w:eastAsia="Times New Roman" w:hAnsi="Arial" w:cs="Arial"/>
                <w:sz w:val="16"/>
                <w:szCs w:val="36"/>
                <w:lang w:val="en-US" w:eastAsia="ko-KR"/>
              </w:rPr>
            </w:pPr>
            <w:r>
              <w:t>135</w:t>
            </w:r>
          </w:p>
        </w:tc>
      </w:tr>
    </w:tbl>
    <w:p w14:paraId="778BAB26" w14:textId="77777777" w:rsidR="00DF24A8" w:rsidRDefault="00DF24A8" w:rsidP="00DF24A8">
      <w:pPr>
        <w:jc w:val="center"/>
      </w:pPr>
    </w:p>
    <w:p w14:paraId="4431B775" w14:textId="77777777" w:rsidR="00DF24A8" w:rsidRPr="00475B7A" w:rsidRDefault="00DF24A8" w:rsidP="00DF24A8">
      <w:pPr>
        <w:jc w:val="center"/>
        <w:rPr>
          <w:b/>
          <w:sz w:val="18"/>
        </w:rPr>
      </w:pPr>
      <w:r w:rsidRPr="00475B7A">
        <w:rPr>
          <w:b/>
          <w:sz w:val="18"/>
        </w:rPr>
        <w:t>Table II. Maximum transmission bandwidth configuration N</w:t>
      </w:r>
      <w:r w:rsidRPr="00475B7A">
        <w:rPr>
          <w:b/>
          <w:sz w:val="18"/>
          <w:vertAlign w:val="subscript"/>
        </w:rPr>
        <w:t>RB</w:t>
      </w:r>
      <w:r w:rsidRPr="00475B7A">
        <w:rPr>
          <w:b/>
          <w:sz w:val="18"/>
        </w:rPr>
        <w:t xml:space="preserve"> for frequency range 2</w:t>
      </w:r>
      <w:r>
        <w:rPr>
          <w:b/>
          <w:sz w:val="18"/>
        </w:rPr>
        <w:t xml:space="preserve"> (FR2)</w:t>
      </w:r>
      <w:r w:rsidRPr="00475B7A">
        <w:rPr>
          <w:b/>
          <w:sz w:val="18"/>
        </w:rPr>
        <w:t xml:space="preserve"> (24250 MHz – 52600 MHz)</w:t>
      </w:r>
      <w:r>
        <w:rPr>
          <w:b/>
          <w:sz w:val="18"/>
        </w:rPr>
        <w:t xml:space="preserve"> [3]</w:t>
      </w:r>
    </w:p>
    <w:tbl>
      <w:tblPr>
        <w:tblW w:w="4045" w:type="dxa"/>
        <w:jc w:val="center"/>
        <w:tblCellMar>
          <w:left w:w="0" w:type="dxa"/>
          <w:right w:w="0" w:type="dxa"/>
        </w:tblCellMar>
        <w:tblLook w:val="0600" w:firstRow="0" w:lastRow="0" w:firstColumn="0" w:lastColumn="0" w:noHBand="1" w:noVBand="1"/>
      </w:tblPr>
      <w:tblGrid>
        <w:gridCol w:w="808"/>
        <w:gridCol w:w="809"/>
        <w:gridCol w:w="810"/>
        <w:gridCol w:w="810"/>
        <w:gridCol w:w="808"/>
      </w:tblGrid>
      <w:tr w:rsidR="00DF24A8" w:rsidRPr="003E7698" w14:paraId="1AB4A296" w14:textId="77777777" w:rsidTr="00920F31">
        <w:trPr>
          <w:trHeight w:val="224"/>
          <w:jc w:val="center"/>
        </w:trPr>
        <w:tc>
          <w:tcPr>
            <w:tcW w:w="8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57D7A6"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SCS (kHz)</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EF8D478"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50MHz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FBDF46"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100MHz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BB17EE8"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200MHz</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35E7B7F"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400 MHz</w:t>
            </w:r>
          </w:p>
        </w:tc>
      </w:tr>
      <w:tr w:rsidR="00DF24A8" w:rsidRPr="003E7698" w14:paraId="032EB4F6" w14:textId="77777777" w:rsidTr="00920F31">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E1A1A" w14:textId="77777777" w:rsidR="00DF24A8" w:rsidRPr="003E7698" w:rsidRDefault="00DF24A8" w:rsidP="00920F31">
            <w:pPr>
              <w:spacing w:after="0"/>
              <w:jc w:val="center"/>
              <w:rPr>
                <w:rFonts w:ascii="Arial" w:eastAsia="Times New Roman" w:hAnsi="Arial" w:cs="Arial"/>
                <w:sz w:val="16"/>
                <w:szCs w:val="36"/>
                <w:lang w:val="en-US" w:eastAsia="ko-KR"/>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3CC2778"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A130022"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5F8F484"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AC92F77"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r>
      <w:tr w:rsidR="00DF24A8" w:rsidRPr="003E7698" w14:paraId="75C44F18" w14:textId="77777777" w:rsidTr="00920F31">
        <w:trPr>
          <w:trHeight w:val="127"/>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1E0F4D8"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E1DD425"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9605978"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132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553C1F"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264</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0F0178C"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N.A</w:t>
            </w:r>
          </w:p>
        </w:tc>
      </w:tr>
      <w:tr w:rsidR="00DF24A8" w:rsidRPr="003E7698" w14:paraId="4505A6D9" w14:textId="77777777" w:rsidTr="00920F31">
        <w:trPr>
          <w:trHeight w:val="181"/>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1B2FE7"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120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9095EDA"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32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78891EF"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535545"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132</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0FAEA91" w14:textId="77777777" w:rsidR="00DF24A8" w:rsidRPr="003E7698" w:rsidRDefault="00DF24A8" w:rsidP="00920F31">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264</w:t>
            </w:r>
          </w:p>
        </w:tc>
      </w:tr>
    </w:tbl>
    <w:p w14:paraId="04DEBB70" w14:textId="2620DC4B" w:rsidR="00DF24A8" w:rsidRDefault="00DF24A8" w:rsidP="00DF24A8">
      <w:pPr>
        <w:rPr>
          <w:lang w:val="en-US"/>
        </w:rPr>
      </w:pPr>
      <w:r w:rsidRPr="00E87603">
        <w:rPr>
          <w:lang w:val="en-US"/>
        </w:rPr>
        <w:lastRenderedPageBreak/>
        <w:t>There are several advantages of supporting multiple SCS options in NR</w:t>
      </w:r>
      <w:r>
        <w:rPr>
          <w:lang w:val="en-US"/>
        </w:rPr>
        <w:t xml:space="preserve"> [4]</w:t>
      </w:r>
      <w:r w:rsidRPr="00E87603">
        <w:rPr>
          <w:lang w:val="en-US"/>
        </w:rPr>
        <w:t xml:space="preserve">. </w:t>
      </w:r>
      <w:r>
        <w:rPr>
          <w:lang w:val="en-US"/>
        </w:rPr>
        <w:t xml:space="preserve">The pros/cons of larger/smaller SCS in the context of unlicensed operation can be listed as follows. </w:t>
      </w:r>
    </w:p>
    <w:p w14:paraId="6FC95AAD" w14:textId="77777777" w:rsidR="00DF24A8" w:rsidRDefault="00DF24A8" w:rsidP="00DF24A8">
      <w:pPr>
        <w:rPr>
          <w:lang w:val="en-US"/>
        </w:rPr>
      </w:pPr>
      <w:r>
        <w:rPr>
          <w:u w:val="single"/>
          <w:lang w:val="en-US"/>
        </w:rPr>
        <w:t>Smaller</w:t>
      </w:r>
      <w:r w:rsidRPr="00C93031">
        <w:rPr>
          <w:u w:val="single"/>
          <w:lang w:val="en-US"/>
        </w:rPr>
        <w:t xml:space="preserve"> SCS</w:t>
      </w:r>
      <w:r>
        <w:rPr>
          <w:lang w:val="en-US"/>
        </w:rPr>
        <w:t>:</w:t>
      </w:r>
    </w:p>
    <w:p w14:paraId="1AA89862" w14:textId="77777777" w:rsidR="00DF24A8" w:rsidRDefault="00DF24A8" w:rsidP="00DF24A8">
      <w:pPr>
        <w:pStyle w:val="ListParagraph"/>
        <w:numPr>
          <w:ilvl w:val="0"/>
          <w:numId w:val="29"/>
        </w:numPr>
        <w:rPr>
          <w:lang w:val="en-US"/>
        </w:rPr>
      </w:pPr>
      <w:r>
        <w:rPr>
          <w:lang w:val="en-US"/>
        </w:rPr>
        <w:t>A</w:t>
      </w:r>
      <w:r w:rsidRPr="00E87603">
        <w:rPr>
          <w:lang w:val="en-US"/>
        </w:rPr>
        <w:t xml:space="preserve"> system can be made more tolerable to the effect of multi-path delay spread</w:t>
      </w:r>
      <w:r>
        <w:rPr>
          <w:lang w:val="en-US"/>
        </w:rPr>
        <w:t xml:space="preserve"> at the same CP overhead ratio.</w:t>
      </w:r>
    </w:p>
    <w:p w14:paraId="50EAB30E" w14:textId="77777777" w:rsidR="00DF24A8" w:rsidRDefault="00DF24A8" w:rsidP="00DF24A8">
      <w:pPr>
        <w:pStyle w:val="ListParagraph"/>
        <w:numPr>
          <w:ilvl w:val="0"/>
          <w:numId w:val="29"/>
        </w:numPr>
        <w:rPr>
          <w:lang w:val="en-US"/>
        </w:rPr>
      </w:pPr>
      <w:r w:rsidRPr="00640D4F">
        <w:rPr>
          <w:lang w:val="en-US"/>
        </w:rPr>
        <w:t>Slot duration becomes longer</w:t>
      </w:r>
      <w:r>
        <w:rPr>
          <w:lang w:val="en-US"/>
        </w:rPr>
        <w:t>, which is disadvantageous for unlicensed band operation.</w:t>
      </w:r>
    </w:p>
    <w:p w14:paraId="56E3F68D" w14:textId="77777777" w:rsidR="00DF24A8" w:rsidRDefault="00DF24A8" w:rsidP="00DF24A8">
      <w:pPr>
        <w:pStyle w:val="ListParagraph"/>
        <w:numPr>
          <w:ilvl w:val="0"/>
          <w:numId w:val="29"/>
        </w:numPr>
        <w:rPr>
          <w:lang w:val="en-US"/>
        </w:rPr>
      </w:pPr>
      <w:r>
        <w:rPr>
          <w:lang w:val="en-US"/>
        </w:rPr>
        <w:t>A system becomes more sensitive to phase noise and correcting the phase noise becomes more difficult.</w:t>
      </w:r>
    </w:p>
    <w:p w14:paraId="02767098" w14:textId="77777777" w:rsidR="00DF24A8" w:rsidRPr="00B025C8" w:rsidRDefault="00DF24A8" w:rsidP="00DF24A8">
      <w:pPr>
        <w:pStyle w:val="ListParagraph"/>
        <w:numPr>
          <w:ilvl w:val="0"/>
          <w:numId w:val="29"/>
        </w:numPr>
        <w:rPr>
          <w:lang w:val="en-US"/>
        </w:rPr>
      </w:pPr>
      <w:r>
        <w:rPr>
          <w:lang w:val="en-US"/>
        </w:rPr>
        <w:t xml:space="preserve">Maximum supportable CBW is restricted by FFT size.  </w:t>
      </w:r>
    </w:p>
    <w:p w14:paraId="14CA23E1" w14:textId="77777777" w:rsidR="00DF24A8" w:rsidRPr="00640D4F" w:rsidRDefault="00DF24A8" w:rsidP="00DF24A8">
      <w:pPr>
        <w:pStyle w:val="ListParagraph"/>
        <w:rPr>
          <w:lang w:val="en-US"/>
        </w:rPr>
      </w:pPr>
      <w:r w:rsidRPr="00640D4F">
        <w:rPr>
          <w:lang w:val="en-US"/>
        </w:rPr>
        <w:t xml:space="preserve">  </w:t>
      </w:r>
    </w:p>
    <w:p w14:paraId="29CF2C1C" w14:textId="77777777" w:rsidR="00DF24A8" w:rsidRDefault="00DF24A8" w:rsidP="00DF24A8">
      <w:pPr>
        <w:rPr>
          <w:lang w:val="en-US"/>
        </w:rPr>
      </w:pPr>
      <w:r w:rsidRPr="00B025C8">
        <w:rPr>
          <w:u w:val="single"/>
          <w:lang w:val="en-US"/>
        </w:rPr>
        <w:t>Larger SCS</w:t>
      </w:r>
      <w:r>
        <w:rPr>
          <w:lang w:val="en-US"/>
        </w:rPr>
        <w:t>:</w:t>
      </w:r>
    </w:p>
    <w:p w14:paraId="0BDBEF96" w14:textId="77777777" w:rsidR="00DF24A8" w:rsidRDefault="00DF24A8" w:rsidP="00DF24A8">
      <w:pPr>
        <w:pStyle w:val="ListParagraph"/>
        <w:numPr>
          <w:ilvl w:val="0"/>
          <w:numId w:val="29"/>
        </w:numPr>
        <w:rPr>
          <w:lang w:val="en-US"/>
        </w:rPr>
      </w:pPr>
      <w:r>
        <w:rPr>
          <w:lang w:val="en-US"/>
        </w:rPr>
        <w:t xml:space="preserve">Either a system becomes less tolerable to the effect of multi-path delay spread, if the CP overhead ratio is kept the same, or the CP overhead needs to be increased. </w:t>
      </w:r>
    </w:p>
    <w:p w14:paraId="0F8316ED" w14:textId="77777777" w:rsidR="00DF24A8" w:rsidRDefault="00DF24A8" w:rsidP="00DF24A8">
      <w:pPr>
        <w:pStyle w:val="ListParagraph"/>
        <w:numPr>
          <w:ilvl w:val="0"/>
          <w:numId w:val="29"/>
        </w:numPr>
        <w:rPr>
          <w:lang w:val="en-US"/>
        </w:rPr>
      </w:pPr>
      <w:r>
        <w:rPr>
          <w:lang w:val="en-US"/>
        </w:rPr>
        <w:t>Slot duration becomes shorter, which is advantageous for unlicensed band operation.</w:t>
      </w:r>
    </w:p>
    <w:p w14:paraId="331335E0" w14:textId="77777777" w:rsidR="00DF24A8" w:rsidRDefault="00DF24A8" w:rsidP="00DF24A8">
      <w:pPr>
        <w:pStyle w:val="ListParagraph"/>
        <w:numPr>
          <w:ilvl w:val="0"/>
          <w:numId w:val="29"/>
        </w:numPr>
        <w:rPr>
          <w:lang w:val="en-US"/>
        </w:rPr>
      </w:pPr>
      <w:r>
        <w:rPr>
          <w:lang w:val="en-US"/>
        </w:rPr>
        <w:t xml:space="preserve">A system becomes less sensitive to phase </w:t>
      </w:r>
      <w:r w:rsidRPr="0087157A">
        <w:rPr>
          <w:lang w:val="en-US"/>
        </w:rPr>
        <w:t xml:space="preserve">noise. </w:t>
      </w:r>
    </w:p>
    <w:p w14:paraId="03069990" w14:textId="77777777" w:rsidR="00DF24A8" w:rsidRPr="0087157A" w:rsidRDefault="00DF24A8" w:rsidP="00DF24A8">
      <w:pPr>
        <w:pStyle w:val="ListParagraph"/>
        <w:numPr>
          <w:ilvl w:val="0"/>
          <w:numId w:val="29"/>
        </w:numPr>
        <w:rPr>
          <w:lang w:val="en-US"/>
        </w:rPr>
      </w:pPr>
      <w:r>
        <w:rPr>
          <w:lang w:val="en-US"/>
        </w:rPr>
        <w:t xml:space="preserve">Wider CBW can be used. </w:t>
      </w:r>
    </w:p>
    <w:p w14:paraId="2F3DCBDB" w14:textId="77777777" w:rsidR="00DF24A8" w:rsidRPr="0050613C" w:rsidRDefault="00DF24A8" w:rsidP="00DF24A8">
      <w:pPr>
        <w:spacing w:before="240" w:after="240"/>
        <w:rPr>
          <w:b/>
          <w:szCs w:val="20"/>
          <w:lang w:val="en-US"/>
        </w:rPr>
      </w:pPr>
      <w:r>
        <w:rPr>
          <w:b/>
          <w:szCs w:val="20"/>
          <w:lang w:val="en-US"/>
        </w:rPr>
        <w:t>Observation 1</w:t>
      </w:r>
      <w:r w:rsidRPr="00BF4801">
        <w:rPr>
          <w:b/>
          <w:szCs w:val="20"/>
          <w:lang w:val="en-US"/>
        </w:rPr>
        <w:t xml:space="preserve">: </w:t>
      </w:r>
      <w:r>
        <w:rPr>
          <w:b/>
          <w:szCs w:val="20"/>
          <w:lang w:val="en-US"/>
        </w:rPr>
        <w:t xml:space="preserve">Larger SCS has advantages in terms of shorter slot duration, wider usable channel BW and less sensitivity to phase noise, which make larger SCS suitable for unlicensed band. However, reduced CP duration is a drawback in handling multi-path delay spread. </w:t>
      </w:r>
    </w:p>
    <w:p w14:paraId="521AF042" w14:textId="579E89A8" w:rsidR="00F1197D" w:rsidRDefault="00DF24A8" w:rsidP="00DF24A8">
      <w:pPr>
        <w:rPr>
          <w:lang w:val="en-US"/>
        </w:rPr>
      </w:pPr>
      <w:r>
        <w:rPr>
          <w:lang w:val="en-US"/>
        </w:rPr>
        <w:t xml:space="preserve">In LTE LAA, the extended CP (eCP) was not considered for frame structure type 3. The LTE eCP has duration of 16.67 </w:t>
      </w:r>
      <w:r w:rsidR="00E84792">
        <w:rPr>
          <w:rFonts w:cs="Times"/>
          <w:lang w:val="en-US"/>
        </w:rPr>
        <w:t>μ</w:t>
      </w:r>
      <w:r>
        <w:rPr>
          <w:lang w:val="en-US"/>
        </w:rPr>
        <w:t xml:space="preserve">s, while normal CP has duration of 4.69 </w:t>
      </w:r>
      <w:r w:rsidR="00E84792">
        <w:rPr>
          <w:rFonts w:cs="Times"/>
          <w:lang w:val="en-US"/>
        </w:rPr>
        <w:t>μ</w:t>
      </w:r>
      <w:r>
        <w:rPr>
          <w:lang w:val="en-US"/>
        </w:rPr>
        <w:t xml:space="preserve">s. As eCP didn’t have much use in LTE itself, it was a natural choice to exclude for LTE LAA. In NR, eCP is only supported for 60 kHz SCS, whose length is scaled down from LTE eCP, i.e., 16.67/4 = 4.1675 </w:t>
      </w:r>
      <w:r w:rsidR="00A322A7">
        <w:rPr>
          <w:rFonts w:cs="Times"/>
          <w:lang w:val="en-US"/>
        </w:rPr>
        <w:t>μ</w:t>
      </w:r>
      <w:r>
        <w:rPr>
          <w:lang w:val="en-US"/>
        </w:rPr>
        <w:t>s</w:t>
      </w:r>
      <w:r w:rsidR="00F1197D">
        <w:rPr>
          <w:lang w:val="en-US"/>
        </w:rPr>
        <w:t xml:space="preserve">. Since the support of eCP is optional for Release 15, it seems natural to focus NR-unlicensed design on normal CP. </w:t>
      </w:r>
    </w:p>
    <w:p w14:paraId="6BF4A530" w14:textId="4165ACE3" w:rsidR="00DF24A8" w:rsidRPr="0050613C" w:rsidRDefault="00DF24A8" w:rsidP="00DF24A8">
      <w:pPr>
        <w:spacing w:before="240" w:after="240"/>
        <w:rPr>
          <w:b/>
          <w:szCs w:val="20"/>
          <w:lang w:val="en-US"/>
        </w:rPr>
      </w:pPr>
      <w:r>
        <w:rPr>
          <w:b/>
          <w:szCs w:val="20"/>
          <w:lang w:val="en-US"/>
        </w:rPr>
        <w:t>Observation 2</w:t>
      </w:r>
      <w:r w:rsidRPr="00BF4801">
        <w:rPr>
          <w:b/>
          <w:szCs w:val="20"/>
          <w:lang w:val="en-US"/>
        </w:rPr>
        <w:t xml:space="preserve">: </w:t>
      </w:r>
      <w:r w:rsidR="00F1197D">
        <w:rPr>
          <w:b/>
          <w:szCs w:val="20"/>
          <w:lang w:val="en-US"/>
        </w:rPr>
        <w:t>As</w:t>
      </w:r>
      <w:r w:rsidR="00F1197D" w:rsidRPr="00F1197D">
        <w:rPr>
          <w:b/>
          <w:szCs w:val="20"/>
          <w:lang w:val="en-US"/>
        </w:rPr>
        <w:t xml:space="preserve"> the support of eCP is optional for Release 15, it </w:t>
      </w:r>
      <w:r w:rsidR="00F1197D">
        <w:rPr>
          <w:b/>
          <w:szCs w:val="20"/>
          <w:lang w:val="en-US"/>
        </w:rPr>
        <w:t>is</w:t>
      </w:r>
      <w:r w:rsidR="00F1197D" w:rsidRPr="00F1197D">
        <w:rPr>
          <w:b/>
          <w:szCs w:val="20"/>
          <w:lang w:val="en-US"/>
        </w:rPr>
        <w:t xml:space="preserve"> natural to focus NR-unlicensed design on normal CP.</w:t>
      </w:r>
      <w:r w:rsidR="00F1197D">
        <w:rPr>
          <w:b/>
          <w:szCs w:val="20"/>
          <w:lang w:val="en-US"/>
        </w:rPr>
        <w:t xml:space="preserve"> </w:t>
      </w:r>
    </w:p>
    <w:p w14:paraId="61BC2DAD" w14:textId="5CE9F3E2" w:rsidR="00327510" w:rsidRPr="00327510" w:rsidRDefault="000968CD" w:rsidP="00327510">
      <w:pPr>
        <w:pStyle w:val="Heading1"/>
        <w:keepNext w:val="0"/>
        <w:widowControl w:val="0"/>
        <w:spacing w:before="480" w:after="120"/>
        <w:ind w:left="518" w:hanging="518"/>
        <w:rPr>
          <w:sz w:val="28"/>
        </w:rPr>
      </w:pPr>
      <w:r>
        <w:rPr>
          <w:sz w:val="28"/>
        </w:rPr>
        <w:t>Flexibility with dynamic TDD structure</w:t>
      </w:r>
      <w:r w:rsidR="005E6C77">
        <w:rPr>
          <w:sz w:val="28"/>
        </w:rPr>
        <w:t xml:space="preserve"> </w:t>
      </w:r>
    </w:p>
    <w:p w14:paraId="1DC1D0C7" w14:textId="7813CAD1" w:rsidR="000968CD" w:rsidRDefault="000968CD" w:rsidP="000968CD">
      <w:r>
        <w:rPr>
          <w:lang w:val="en-US"/>
        </w:rPr>
        <w:t xml:space="preserve">In LTE, a new frame structure type 3 was introduced to accommodate unlicensed band operation, as the unlicensed band operation is fundamentally different from both FDD and TDD in that the transmission of a subframe itself is not guaranteed due to LBT and also the subframe type </w:t>
      </w:r>
      <w:r w:rsidR="007E7176">
        <w:rPr>
          <w:lang w:val="en-US"/>
        </w:rPr>
        <w:t xml:space="preserve">(either DL or UL) </w:t>
      </w:r>
      <w:r>
        <w:rPr>
          <w:lang w:val="en-US"/>
        </w:rPr>
        <w:t xml:space="preserve">cannot be predetermined [5]. Therefore, the frame structure type 3 was made flexible such that any subframe can be used for either DL or UL, if available. </w:t>
      </w:r>
    </w:p>
    <w:p w14:paraId="2F7336D0" w14:textId="77777777" w:rsidR="000968CD" w:rsidRDefault="000968CD" w:rsidP="000968CD">
      <w:r>
        <w:t xml:space="preserve">Rel-15 NR have been designed in a very flexible manner to support dynamic TDD, in which the transmission direction can change in a dynamic manner. Consequently, not only there is no distinction between FDD and TDD but also there is no need to define fixed TDD UL/DL patterns as in LTE TDD. The NR-unlicensed operation is expected to be not different from dynamic TDD in nature and thus it is seen that NR frame structure is flexible enough to accommodate NR-unlicensed operation without change. </w:t>
      </w:r>
    </w:p>
    <w:p w14:paraId="720A9F34" w14:textId="77777777" w:rsidR="000968CD" w:rsidRPr="00BB5AC3" w:rsidRDefault="000968CD" w:rsidP="000968CD">
      <w:pPr>
        <w:spacing w:before="240" w:after="240"/>
        <w:rPr>
          <w:b/>
          <w:szCs w:val="20"/>
          <w:lang w:val="en-US"/>
        </w:rPr>
      </w:pPr>
      <w:r>
        <w:rPr>
          <w:b/>
          <w:szCs w:val="20"/>
          <w:lang w:val="en-US"/>
        </w:rPr>
        <w:t>Observation 3</w:t>
      </w:r>
      <w:r w:rsidRPr="00BF4801">
        <w:rPr>
          <w:b/>
          <w:szCs w:val="20"/>
          <w:lang w:val="en-US"/>
        </w:rPr>
        <w:t>:</w:t>
      </w:r>
      <w:r w:rsidRPr="00CA44F8">
        <w:rPr>
          <w:b/>
          <w:szCs w:val="20"/>
          <w:lang w:val="en-US"/>
        </w:rPr>
        <w:t xml:space="preserve"> The NR-unlicensed operation is not different from dynamic TDD in nature</w:t>
      </w:r>
      <w:r>
        <w:rPr>
          <w:b/>
          <w:szCs w:val="20"/>
          <w:lang w:val="en-US"/>
        </w:rPr>
        <w:t xml:space="preserve">. </w:t>
      </w:r>
      <w:r w:rsidRPr="00CA44F8">
        <w:rPr>
          <w:b/>
          <w:szCs w:val="20"/>
          <w:lang w:val="en-US"/>
        </w:rPr>
        <w:t>NR frame structure is flexible enough to accommodate NR-unlicensed operation without change.</w:t>
      </w:r>
      <w:r>
        <w:rPr>
          <w:b/>
          <w:szCs w:val="20"/>
          <w:lang w:val="en-US"/>
        </w:rPr>
        <w:t xml:space="preserve"> </w:t>
      </w:r>
    </w:p>
    <w:p w14:paraId="19154695" w14:textId="29B0540D" w:rsidR="00A14548" w:rsidRPr="00327510" w:rsidRDefault="00A14548" w:rsidP="001F7FF5">
      <w:pPr>
        <w:pStyle w:val="Heading1"/>
        <w:spacing w:before="480" w:after="120"/>
        <w:ind w:left="518"/>
        <w:rPr>
          <w:sz w:val="28"/>
        </w:rPr>
      </w:pPr>
      <w:r w:rsidRPr="00A14548">
        <w:rPr>
          <w:sz w:val="28"/>
        </w:rPr>
        <w:t xml:space="preserve">Support of multiple switching points in a COT </w:t>
      </w:r>
    </w:p>
    <w:p w14:paraId="163DFB92" w14:textId="4286769C" w:rsidR="000968CD" w:rsidRDefault="00A14548" w:rsidP="00A14548">
      <w:pPr>
        <w:rPr>
          <w:lang w:val="en-US"/>
        </w:rPr>
      </w:pPr>
      <w:r>
        <w:rPr>
          <w:lang w:val="en-US"/>
        </w:rPr>
        <w:t>In this section, we begin by briefly reviewing the ETSI BRAN standards on 5 GHz spectrum [6].</w:t>
      </w:r>
      <w:r w:rsidR="00AA6192">
        <w:rPr>
          <w:lang w:val="en-US"/>
        </w:rPr>
        <w:t xml:space="preserve"> It is clear from the following captured text that ETSI BRAN itself does not restrict the number of switching points within a COT. </w:t>
      </w:r>
    </w:p>
    <w:p w14:paraId="707C4BB5" w14:textId="77777777" w:rsidR="0095056D" w:rsidRPr="00AA6192" w:rsidRDefault="00D13E29" w:rsidP="00AA6192">
      <w:pPr>
        <w:ind w:left="720"/>
        <w:rPr>
          <w:lang w:val="en-US"/>
        </w:rPr>
      </w:pPr>
      <w:r w:rsidRPr="00AA6192">
        <w:rPr>
          <w:lang w:val="en-US"/>
        </w:rPr>
        <w:t>“</w:t>
      </w:r>
      <w:r w:rsidRPr="00AA6192">
        <w:rPr>
          <w:i/>
          <w:iCs/>
          <w:lang w:val="en-US"/>
        </w:rPr>
        <w:t>A Channel Occupancy Time (COT) consists of one or more transmissions of an Initiating Device and zero or more transmissions of one or more Responding Devices</w:t>
      </w:r>
      <w:r w:rsidRPr="00AA6192">
        <w:rPr>
          <w:lang w:val="en-US"/>
        </w:rPr>
        <w:t>.”</w:t>
      </w:r>
    </w:p>
    <w:p w14:paraId="3B8107BA" w14:textId="7A676598" w:rsidR="00AA6192" w:rsidRDefault="003174DF" w:rsidP="00A14548">
      <w:pPr>
        <w:rPr>
          <w:lang w:val="en-US"/>
        </w:rPr>
      </w:pPr>
      <w:r>
        <w:rPr>
          <w:lang w:val="en-US"/>
        </w:rPr>
        <w:t>On the other hand, it needs to differentiate the time gap involved with the switching points. It can be either ‘</w:t>
      </w:r>
      <w:r w:rsidRPr="003174DF">
        <w:rPr>
          <w:i/>
          <w:lang w:val="en-US"/>
        </w:rPr>
        <w:t>gap</w:t>
      </w:r>
      <w:r>
        <w:rPr>
          <w:lang w:val="en-US"/>
        </w:rPr>
        <w:t>’ or ‘</w:t>
      </w:r>
      <w:r w:rsidRPr="003174DF">
        <w:rPr>
          <w:i/>
          <w:lang w:val="en-US"/>
        </w:rPr>
        <w:t>pause</w:t>
      </w:r>
      <w:r>
        <w:rPr>
          <w:lang w:val="en-US"/>
        </w:rPr>
        <w:t xml:space="preserve">’ according the ETSI BRAN terminology. </w:t>
      </w:r>
    </w:p>
    <w:p w14:paraId="770062AB" w14:textId="77777777" w:rsidR="0095056D" w:rsidRDefault="00D13E29" w:rsidP="001C0A09">
      <w:pPr>
        <w:numPr>
          <w:ilvl w:val="0"/>
          <w:numId w:val="38"/>
        </w:numPr>
        <w:rPr>
          <w:lang w:val="en-US"/>
        </w:rPr>
      </w:pPr>
      <w:r w:rsidRPr="001C0A09">
        <w:rPr>
          <w:lang w:val="en-US"/>
        </w:rPr>
        <w:lastRenderedPageBreak/>
        <w:t>“</w:t>
      </w:r>
      <w:r w:rsidRPr="001C0A09">
        <w:rPr>
          <w:i/>
          <w:iCs/>
          <w:lang w:val="en-US"/>
        </w:rPr>
        <w:t>If a Channel Occupancy consists of more than one transmission the transmissions may be separated by gaps. The Channel Occupancy Time is the total duration of all transmissions and all gaps of 25 µs duration or less within a Channel Occupancy and shall not exceed the maximum Channel Occupancy Time</w:t>
      </w:r>
      <w:r w:rsidRPr="001C0A09">
        <w:rPr>
          <w:lang w:val="en-US"/>
        </w:rPr>
        <w:t>.”</w:t>
      </w:r>
    </w:p>
    <w:p w14:paraId="0A6889D1" w14:textId="2960F998" w:rsidR="001C0A09" w:rsidRPr="00FF4AFF" w:rsidRDefault="00D13E29" w:rsidP="00FF4AFF">
      <w:pPr>
        <w:numPr>
          <w:ilvl w:val="0"/>
          <w:numId w:val="38"/>
        </w:numPr>
        <w:rPr>
          <w:i/>
          <w:iCs/>
          <w:lang w:val="en-US"/>
        </w:rPr>
      </w:pPr>
      <w:r w:rsidRPr="001C0A09">
        <w:rPr>
          <w:lang w:val="en-US"/>
        </w:rPr>
        <w:t>“</w:t>
      </w:r>
      <w:r w:rsidRPr="001C0A09">
        <w:rPr>
          <w:i/>
          <w:iCs/>
          <w:lang w:val="en-US"/>
        </w:rPr>
        <w:t>The minimum duration of a pause shall be 100 µs</w:t>
      </w:r>
      <w:r w:rsidRPr="001C0A09">
        <w:rPr>
          <w:lang w:val="en-US"/>
        </w:rPr>
        <w:t>.”</w:t>
      </w:r>
      <w:r w:rsidR="001C0A09">
        <w:rPr>
          <w:lang w:val="en-US"/>
        </w:rPr>
        <w:t xml:space="preserve"> …. </w:t>
      </w:r>
      <w:r w:rsidR="00FF4AFF">
        <w:rPr>
          <w:lang w:val="en-US"/>
        </w:rPr>
        <w:t xml:space="preserve"> </w:t>
      </w:r>
      <w:r w:rsidR="00FF4AFF" w:rsidRPr="00FF4AFF">
        <w:rPr>
          <w:i/>
          <w:iCs/>
          <w:lang w:val="en-US"/>
        </w:rPr>
        <w:t>“Pause duration is not included in the channel occupancy time.”</w:t>
      </w:r>
    </w:p>
    <w:p w14:paraId="6E4F4280" w14:textId="1618B198" w:rsidR="00CB2159" w:rsidRDefault="001C0A09" w:rsidP="00A14548">
      <w:pPr>
        <w:rPr>
          <w:lang w:val="en-US"/>
        </w:rPr>
      </w:pPr>
      <w:r>
        <w:rPr>
          <w:lang w:val="en-US"/>
        </w:rPr>
        <w:t>In a strict sense, a ‘</w:t>
      </w:r>
      <w:r w:rsidRPr="001C0A09">
        <w:rPr>
          <w:i/>
          <w:lang w:val="en-US"/>
        </w:rPr>
        <w:t>gap</w:t>
      </w:r>
      <w:r>
        <w:rPr>
          <w:lang w:val="en-US"/>
        </w:rPr>
        <w:t xml:space="preserve">’ in ETSI BRAN standard is a time duration less than 25 </w:t>
      </w:r>
      <w:r w:rsidR="00A322A7">
        <w:rPr>
          <w:rFonts w:cs="Times"/>
          <w:lang w:val="en-US"/>
        </w:rPr>
        <w:t>μ</w:t>
      </w:r>
      <w:r>
        <w:rPr>
          <w:lang w:val="en-US"/>
        </w:rPr>
        <w:t xml:space="preserve">s which may require a single interval LBT or no LBT if the gap is less than 16 </w:t>
      </w:r>
      <w:r w:rsidR="00A322A7">
        <w:rPr>
          <w:rFonts w:cs="Times"/>
          <w:lang w:val="en-US"/>
        </w:rPr>
        <w:t>μ</w:t>
      </w:r>
      <w:r>
        <w:rPr>
          <w:lang w:val="en-US"/>
        </w:rPr>
        <w:t>s</w:t>
      </w:r>
      <w:r w:rsidR="008402D1">
        <w:rPr>
          <w:lang w:val="en-US"/>
        </w:rPr>
        <w:t xml:space="preserve">, and the gap is counted towards MCOT. These 16 </w:t>
      </w:r>
      <w:r w:rsidR="00A322A7">
        <w:rPr>
          <w:rFonts w:cs="Times"/>
          <w:lang w:val="en-US"/>
        </w:rPr>
        <w:t>μ</w:t>
      </w:r>
      <w:r w:rsidR="008402D1">
        <w:rPr>
          <w:lang w:val="en-US"/>
        </w:rPr>
        <w:t xml:space="preserve">s gap and 25 </w:t>
      </w:r>
      <w:r w:rsidR="00A322A7">
        <w:rPr>
          <w:rFonts w:cs="Times"/>
          <w:lang w:val="en-US"/>
        </w:rPr>
        <w:t>μ</w:t>
      </w:r>
      <w:r w:rsidR="008402D1">
        <w:rPr>
          <w:lang w:val="en-US"/>
        </w:rPr>
        <w:t xml:space="preserve">s gap correspond to Wi-Fi SIFS and PIFS time and </w:t>
      </w:r>
      <w:r w:rsidR="003E70DD">
        <w:rPr>
          <w:lang w:val="en-US"/>
        </w:rPr>
        <w:t>multiple of such gaps are also allowed in Wi-Fi systems as well.</w:t>
      </w:r>
      <w:r w:rsidR="00AA6E52">
        <w:rPr>
          <w:lang w:val="en-US"/>
        </w:rPr>
        <w:t xml:space="preserve"> </w:t>
      </w:r>
    </w:p>
    <w:p w14:paraId="71B71D59" w14:textId="4C61CDD7" w:rsidR="00CB2159" w:rsidRDefault="00CB2159" w:rsidP="00CB2159">
      <w:pPr>
        <w:spacing w:before="240" w:after="240"/>
        <w:rPr>
          <w:b/>
          <w:szCs w:val="20"/>
          <w:lang w:val="en-US"/>
        </w:rPr>
      </w:pPr>
      <w:r>
        <w:rPr>
          <w:b/>
          <w:szCs w:val="20"/>
          <w:lang w:val="en-US"/>
        </w:rPr>
        <w:t>Observation 4</w:t>
      </w:r>
      <w:r w:rsidRPr="00BF4801">
        <w:rPr>
          <w:b/>
          <w:szCs w:val="20"/>
          <w:lang w:val="en-US"/>
        </w:rPr>
        <w:t>:</w:t>
      </w:r>
      <w:r w:rsidR="00265E39">
        <w:rPr>
          <w:b/>
          <w:szCs w:val="20"/>
          <w:lang w:val="en-US"/>
        </w:rPr>
        <w:t xml:space="preserve"> The use of multiple gaps of less than 25 </w:t>
      </w:r>
      <w:r w:rsidR="00A322A7">
        <w:rPr>
          <w:rFonts w:cs="Times"/>
          <w:lang w:val="en-US"/>
        </w:rPr>
        <w:t>μ</w:t>
      </w:r>
      <w:r w:rsidR="00265E39">
        <w:rPr>
          <w:b/>
          <w:szCs w:val="20"/>
          <w:lang w:val="en-US"/>
        </w:rPr>
        <w:t xml:space="preserve">s within a COT is not restricted by ETSI BRAN and also present in Wi-Fi systems. </w:t>
      </w:r>
    </w:p>
    <w:p w14:paraId="2AF0E025" w14:textId="5F227EBB" w:rsidR="00691F39" w:rsidRDefault="00691F39" w:rsidP="00CB2159">
      <w:pPr>
        <w:spacing w:before="240" w:after="240"/>
        <w:rPr>
          <w:b/>
          <w:szCs w:val="20"/>
          <w:lang w:val="en-US"/>
        </w:rPr>
      </w:pPr>
      <w:r>
        <w:rPr>
          <w:b/>
          <w:szCs w:val="20"/>
          <w:lang w:val="en-US"/>
        </w:rPr>
        <w:t>Proposal 1</w:t>
      </w:r>
      <w:r w:rsidRPr="00BF4801">
        <w:rPr>
          <w:b/>
          <w:szCs w:val="20"/>
          <w:lang w:val="en-US"/>
        </w:rPr>
        <w:t>:</w:t>
      </w:r>
      <w:r>
        <w:rPr>
          <w:b/>
          <w:szCs w:val="20"/>
          <w:lang w:val="en-US"/>
        </w:rPr>
        <w:t xml:space="preserve"> Multiple switching points within a COT is supported for gaps whose duration is less than 25 </w:t>
      </w:r>
      <w:r w:rsidR="00A322A7">
        <w:rPr>
          <w:rFonts w:cs="Times"/>
          <w:lang w:val="en-US"/>
        </w:rPr>
        <w:t>μ</w:t>
      </w:r>
      <w:r>
        <w:rPr>
          <w:b/>
          <w:szCs w:val="20"/>
          <w:lang w:val="en-US"/>
        </w:rPr>
        <w:t>s</w:t>
      </w:r>
      <w:r w:rsidR="00AA6E52">
        <w:rPr>
          <w:b/>
          <w:szCs w:val="20"/>
          <w:lang w:val="en-US"/>
        </w:rPr>
        <w:t xml:space="preserve"> with single interval LBT</w:t>
      </w:r>
      <w:r>
        <w:rPr>
          <w:b/>
          <w:szCs w:val="20"/>
          <w:lang w:val="en-US"/>
        </w:rPr>
        <w:t xml:space="preserve">. </w:t>
      </w:r>
    </w:p>
    <w:p w14:paraId="0D20C18D" w14:textId="77777777" w:rsidR="002D3DDA" w:rsidRPr="00CB2159" w:rsidRDefault="002D3DDA" w:rsidP="00CB2159">
      <w:pPr>
        <w:spacing w:before="240" w:after="240"/>
        <w:rPr>
          <w:b/>
          <w:szCs w:val="20"/>
          <w:lang w:val="en-US"/>
        </w:rPr>
      </w:pPr>
    </w:p>
    <w:p w14:paraId="27E367BF" w14:textId="5F8C0EFD" w:rsidR="002D3DDA" w:rsidRDefault="002D3DDA" w:rsidP="002D3DDA">
      <w:pPr>
        <w:jc w:val="center"/>
        <w:rPr>
          <w:b/>
          <w:lang w:val="en-US"/>
        </w:rPr>
      </w:pPr>
      <w:r w:rsidRPr="002D3DDA">
        <w:rPr>
          <w:b/>
          <w:noProof/>
          <w:lang w:val="en-US" w:eastAsia="ko-KR"/>
        </w:rPr>
        <w:drawing>
          <wp:inline distT="0" distB="0" distL="0" distR="0" wp14:anchorId="1B27F64D" wp14:editId="21B3E339">
            <wp:extent cx="3401812" cy="1339309"/>
            <wp:effectExtent l="0" t="0" r="825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417614" cy="1345530"/>
                    </a:xfrm>
                    <a:prstGeom prst="rect">
                      <a:avLst/>
                    </a:prstGeom>
                  </pic:spPr>
                </pic:pic>
              </a:graphicData>
            </a:graphic>
          </wp:inline>
        </w:drawing>
      </w:r>
    </w:p>
    <w:p w14:paraId="5F4C2D36" w14:textId="77777777" w:rsidR="002D3DDA" w:rsidRPr="002D3DDA" w:rsidRDefault="002D3DDA" w:rsidP="002D3DDA">
      <w:pPr>
        <w:jc w:val="center"/>
        <w:rPr>
          <w:b/>
          <w:lang w:val="en-US"/>
        </w:rPr>
      </w:pPr>
    </w:p>
    <w:p w14:paraId="3CADE868" w14:textId="7F975BB2" w:rsidR="002D3DDA" w:rsidRPr="002D3DDA" w:rsidRDefault="002D3DDA" w:rsidP="002D3DDA">
      <w:pPr>
        <w:jc w:val="center"/>
        <w:rPr>
          <w:b/>
          <w:sz w:val="18"/>
        </w:rPr>
      </w:pPr>
      <w:r>
        <w:rPr>
          <w:b/>
          <w:sz w:val="18"/>
        </w:rPr>
        <w:t>Figure 1. Illustration of multiple switching points in a COT</w:t>
      </w:r>
    </w:p>
    <w:p w14:paraId="76B9C1BC" w14:textId="77777777" w:rsidR="002D3DDA" w:rsidRDefault="002D3DDA" w:rsidP="00A14548">
      <w:pPr>
        <w:rPr>
          <w:lang w:val="en-US"/>
        </w:rPr>
      </w:pPr>
    </w:p>
    <w:p w14:paraId="2D365FCD" w14:textId="4964ACAA" w:rsidR="00FF4AFF" w:rsidRDefault="003E70DD" w:rsidP="00A14548">
      <w:pPr>
        <w:rPr>
          <w:lang w:val="en-US"/>
        </w:rPr>
      </w:pPr>
      <w:r>
        <w:rPr>
          <w:lang w:val="en-US"/>
        </w:rPr>
        <w:t>On the other hand, a ‘</w:t>
      </w:r>
      <w:r w:rsidRPr="003E70DD">
        <w:rPr>
          <w:i/>
          <w:lang w:val="en-US"/>
        </w:rPr>
        <w:t>pause</w:t>
      </w:r>
      <w:r>
        <w:rPr>
          <w:lang w:val="en-US"/>
        </w:rPr>
        <w:t xml:space="preserve">’ in ETSI BRAN is a time duration of at least 100 </w:t>
      </w:r>
      <w:r w:rsidR="00A322A7">
        <w:rPr>
          <w:rFonts w:cs="Times"/>
          <w:lang w:val="en-US"/>
        </w:rPr>
        <w:t>μ</w:t>
      </w:r>
      <w:r>
        <w:rPr>
          <w:lang w:val="en-US"/>
        </w:rPr>
        <w:t xml:space="preserve">s and it has been newly introduced in ETSI BRAN standard to accommodate LTE’s 4 ms scheduling delay. </w:t>
      </w:r>
      <w:r w:rsidR="00C6183E">
        <w:rPr>
          <w:lang w:val="en-US"/>
        </w:rPr>
        <w:t>These ‘</w:t>
      </w:r>
      <w:r w:rsidR="00C6183E" w:rsidRPr="00AA1F8C">
        <w:rPr>
          <w:i/>
          <w:lang w:val="en-US"/>
        </w:rPr>
        <w:t>pause</w:t>
      </w:r>
      <w:r w:rsidR="00AA1F8C" w:rsidRPr="00AA1F8C">
        <w:rPr>
          <w:i/>
          <w:lang w:val="en-US"/>
        </w:rPr>
        <w:t>s</w:t>
      </w:r>
      <w:r w:rsidR="00C6183E">
        <w:rPr>
          <w:lang w:val="en-US"/>
        </w:rPr>
        <w:t>’</w:t>
      </w:r>
      <w:r w:rsidR="00AA1F8C">
        <w:rPr>
          <w:lang w:val="en-US"/>
        </w:rPr>
        <w:t xml:space="preserve"> are not present in Wi-Fi system. From ETSI BRAN [6], the number of pauses is not restricted. However, the total paused duration is limited </w:t>
      </w:r>
      <w:r w:rsidR="00FF4AFF">
        <w:rPr>
          <w:lang w:val="en-US"/>
        </w:rPr>
        <w:t>with the following statement:</w:t>
      </w:r>
    </w:p>
    <w:p w14:paraId="392649F5" w14:textId="245679D7" w:rsidR="003E70DD" w:rsidRDefault="00FF4AFF" w:rsidP="00265E39">
      <w:pPr>
        <w:ind w:left="720"/>
        <w:rPr>
          <w:lang w:val="en-US"/>
        </w:rPr>
      </w:pPr>
      <w:r w:rsidRPr="001C0A09">
        <w:rPr>
          <w:lang w:val="en-US"/>
        </w:rPr>
        <w:t>“</w:t>
      </w:r>
      <w:r w:rsidRPr="001C0A09">
        <w:rPr>
          <w:i/>
          <w:iCs/>
          <w:lang w:val="en-US"/>
        </w:rPr>
        <w:t>The duration from the start of the first transmission within a Channel Occupancy until the end of the last transmission in that same Channel Occupancy shall not exceed 20 ms</w:t>
      </w:r>
      <w:r w:rsidRPr="001C0A09">
        <w:rPr>
          <w:lang w:val="en-US"/>
        </w:rPr>
        <w:t>.”</w:t>
      </w:r>
    </w:p>
    <w:p w14:paraId="571C7478" w14:textId="3640E2B4" w:rsidR="00265E39" w:rsidRPr="00CB2159" w:rsidRDefault="00265E39" w:rsidP="00265E39">
      <w:pPr>
        <w:spacing w:before="240" w:after="240"/>
        <w:rPr>
          <w:b/>
          <w:szCs w:val="20"/>
          <w:lang w:val="en-US"/>
        </w:rPr>
      </w:pPr>
      <w:r>
        <w:rPr>
          <w:b/>
          <w:szCs w:val="20"/>
          <w:lang w:val="en-US"/>
        </w:rPr>
        <w:t>Observation 5</w:t>
      </w:r>
      <w:r w:rsidRPr="00BF4801">
        <w:rPr>
          <w:b/>
          <w:szCs w:val="20"/>
          <w:lang w:val="en-US"/>
        </w:rPr>
        <w:t>:</w:t>
      </w:r>
      <w:r>
        <w:rPr>
          <w:b/>
          <w:szCs w:val="20"/>
          <w:lang w:val="en-US"/>
        </w:rPr>
        <w:t xml:space="preserve"> The use of multiple pauses of at least 100 </w:t>
      </w:r>
      <w:r w:rsidR="00A322A7">
        <w:rPr>
          <w:rFonts w:cs="Times"/>
          <w:lang w:val="en-US"/>
        </w:rPr>
        <w:t>μ</w:t>
      </w:r>
      <w:r>
        <w:rPr>
          <w:b/>
          <w:szCs w:val="20"/>
          <w:lang w:val="en-US"/>
        </w:rPr>
        <w:t>s is limited</w:t>
      </w:r>
      <w:r w:rsidR="00647C48">
        <w:rPr>
          <w:b/>
          <w:szCs w:val="20"/>
          <w:lang w:val="en-US"/>
        </w:rPr>
        <w:t xml:space="preserve"> by</w:t>
      </w:r>
      <w:r>
        <w:rPr>
          <w:b/>
          <w:szCs w:val="20"/>
          <w:lang w:val="en-US"/>
        </w:rPr>
        <w:t xml:space="preserve"> ETSI BRAN by total COT duration (including pauses) to be less than 20 ms. </w:t>
      </w:r>
      <w:r w:rsidR="00647C48">
        <w:rPr>
          <w:b/>
          <w:szCs w:val="20"/>
          <w:lang w:val="en-US"/>
        </w:rPr>
        <w:t xml:space="preserve">The use of pauses is not found in Wi-Fi system. </w:t>
      </w:r>
    </w:p>
    <w:p w14:paraId="76D63470" w14:textId="2977FE9A" w:rsidR="00AA6192" w:rsidRDefault="00647C48" w:rsidP="00A14548">
      <w:pPr>
        <w:rPr>
          <w:lang w:val="en-US"/>
        </w:rPr>
      </w:pPr>
      <w:r>
        <w:rPr>
          <w:lang w:val="en-US"/>
        </w:rPr>
        <w:t>As the number of ‘pause’ itself is not restricted by ETSI BRAN</w:t>
      </w:r>
      <w:r w:rsidR="00502ABE">
        <w:rPr>
          <w:lang w:val="en-US"/>
        </w:rPr>
        <w:t xml:space="preserve">, the use of multiple pauses in a COT by NR-unlicensed system does not need to be limited as long as the total duration of COT does not exceed 20 ms including paused </w:t>
      </w:r>
      <w:r w:rsidR="008718BF">
        <w:rPr>
          <w:lang w:val="en-US"/>
        </w:rPr>
        <w:t>durations</w:t>
      </w:r>
      <w:r w:rsidR="00502ABE">
        <w:rPr>
          <w:lang w:val="en-US"/>
        </w:rPr>
        <w:t xml:space="preserve">. However, the </w:t>
      </w:r>
      <w:r w:rsidR="00691F39">
        <w:rPr>
          <w:lang w:val="en-US"/>
        </w:rPr>
        <w:t>impact of multiple paused duration in a COT to the coexistence performance had not been studied yet.</w:t>
      </w:r>
    </w:p>
    <w:p w14:paraId="44C54EC7" w14:textId="7245F146" w:rsidR="00691F39" w:rsidRPr="00CB2159" w:rsidRDefault="00691F39" w:rsidP="00691F39">
      <w:pPr>
        <w:spacing w:before="240" w:after="240"/>
        <w:rPr>
          <w:b/>
          <w:szCs w:val="20"/>
          <w:lang w:val="en-US"/>
        </w:rPr>
      </w:pPr>
      <w:r>
        <w:rPr>
          <w:b/>
          <w:szCs w:val="20"/>
          <w:lang w:val="en-US"/>
        </w:rPr>
        <w:t>Observation 6</w:t>
      </w:r>
      <w:r w:rsidRPr="00BF4801">
        <w:rPr>
          <w:b/>
          <w:szCs w:val="20"/>
          <w:lang w:val="en-US"/>
        </w:rPr>
        <w:t>:</w:t>
      </w:r>
      <w:r>
        <w:rPr>
          <w:b/>
          <w:szCs w:val="20"/>
          <w:lang w:val="en-US"/>
        </w:rPr>
        <w:t xml:space="preserve"> </w:t>
      </w:r>
      <w:r w:rsidR="008718BF">
        <w:rPr>
          <w:b/>
          <w:szCs w:val="20"/>
          <w:lang w:val="en-US"/>
        </w:rPr>
        <w:t>If t</w:t>
      </w:r>
      <w:r>
        <w:rPr>
          <w:b/>
          <w:szCs w:val="20"/>
          <w:lang w:val="en-US"/>
        </w:rPr>
        <w:t>he</w:t>
      </w:r>
      <w:r w:rsidR="008718BF">
        <w:rPr>
          <w:b/>
          <w:szCs w:val="20"/>
          <w:lang w:val="en-US"/>
        </w:rPr>
        <w:t xml:space="preserve"> use of</w:t>
      </w:r>
      <w:r>
        <w:rPr>
          <w:b/>
          <w:szCs w:val="20"/>
          <w:lang w:val="en-US"/>
        </w:rPr>
        <w:t xml:space="preserve"> </w:t>
      </w:r>
      <w:r w:rsidRPr="00691F39">
        <w:rPr>
          <w:b/>
          <w:szCs w:val="20"/>
          <w:lang w:val="en-US"/>
        </w:rPr>
        <w:t>multiple paused duration</w:t>
      </w:r>
      <w:r w:rsidR="008718BF">
        <w:rPr>
          <w:b/>
          <w:szCs w:val="20"/>
          <w:lang w:val="en-US"/>
        </w:rPr>
        <w:t>s</w:t>
      </w:r>
      <w:r w:rsidRPr="00691F39">
        <w:rPr>
          <w:b/>
          <w:szCs w:val="20"/>
          <w:lang w:val="en-US"/>
        </w:rPr>
        <w:t xml:space="preserve"> in a COT</w:t>
      </w:r>
      <w:r w:rsidR="008718BF">
        <w:rPr>
          <w:b/>
          <w:szCs w:val="20"/>
          <w:lang w:val="en-US"/>
        </w:rPr>
        <w:t xml:space="preserve"> is considered for NR-unlicensed system, its impact </w:t>
      </w:r>
      <w:r w:rsidR="00A322A7">
        <w:rPr>
          <w:b/>
          <w:szCs w:val="20"/>
          <w:lang w:val="en-US"/>
        </w:rPr>
        <w:t xml:space="preserve">on </w:t>
      </w:r>
      <w:r w:rsidR="008718BF">
        <w:rPr>
          <w:b/>
          <w:szCs w:val="20"/>
          <w:lang w:val="en-US"/>
        </w:rPr>
        <w:t>the coexistence performance needs to be studied.</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090028D4" w14:textId="17BFB54C" w:rsidR="008718BF" w:rsidRDefault="008718BF" w:rsidP="008718BF">
      <w:pPr>
        <w:overflowPunct w:val="0"/>
        <w:autoSpaceDE w:val="0"/>
        <w:autoSpaceDN w:val="0"/>
        <w:adjustRightInd w:val="0"/>
        <w:spacing w:after="0"/>
        <w:jc w:val="left"/>
      </w:pPr>
      <w:r>
        <w:t xml:space="preserve">In this contribution, we discussed issues related to NR-unlicensed frame structure. In particular, we discussed pros/cons of different numerology options (i.e., SCS and CP) for the purpose of NR-unlicensed operation. The suitability of NR dynamic TDD structure was also discussed for unlicensed operation. Lastly, the support of multiple switching points in a COT was </w:t>
      </w:r>
      <w:r w:rsidR="00C760DD">
        <w:t>discussed as well</w:t>
      </w:r>
      <w:r w:rsidR="007668CB">
        <w:t>. To this end, the following list of proposals and observations were driven.</w:t>
      </w:r>
      <w:r>
        <w:t xml:space="preserve"> </w:t>
      </w:r>
    </w:p>
    <w:p w14:paraId="70CB8C09" w14:textId="77777777" w:rsidR="008718BF" w:rsidRDefault="008718BF" w:rsidP="009F08F6">
      <w:pPr>
        <w:overflowPunct w:val="0"/>
        <w:autoSpaceDE w:val="0"/>
        <w:autoSpaceDN w:val="0"/>
        <w:adjustRightInd w:val="0"/>
        <w:spacing w:after="0"/>
        <w:jc w:val="left"/>
        <w:rPr>
          <w:b/>
          <w:szCs w:val="20"/>
        </w:rPr>
      </w:pPr>
    </w:p>
    <w:p w14:paraId="74F4AD32" w14:textId="77777777" w:rsidR="007668CB" w:rsidRDefault="007668CB" w:rsidP="009F08F6">
      <w:pPr>
        <w:overflowPunct w:val="0"/>
        <w:autoSpaceDE w:val="0"/>
        <w:autoSpaceDN w:val="0"/>
        <w:adjustRightInd w:val="0"/>
        <w:spacing w:after="0"/>
        <w:jc w:val="left"/>
        <w:rPr>
          <w:b/>
          <w:szCs w:val="20"/>
        </w:rPr>
      </w:pPr>
    </w:p>
    <w:p w14:paraId="7258DC0F" w14:textId="52280A62" w:rsidR="007668CB" w:rsidRPr="007668CB" w:rsidRDefault="007668CB" w:rsidP="007668CB">
      <w:pPr>
        <w:spacing w:before="240" w:after="240"/>
        <w:rPr>
          <w:b/>
          <w:szCs w:val="20"/>
          <w:lang w:val="en-US"/>
        </w:rPr>
      </w:pPr>
      <w:r>
        <w:rPr>
          <w:b/>
          <w:szCs w:val="20"/>
          <w:lang w:val="en-US"/>
        </w:rPr>
        <w:lastRenderedPageBreak/>
        <w:t>Observation 1</w:t>
      </w:r>
      <w:r w:rsidRPr="00BF4801">
        <w:rPr>
          <w:b/>
          <w:szCs w:val="20"/>
          <w:lang w:val="en-US"/>
        </w:rPr>
        <w:t xml:space="preserve">: </w:t>
      </w:r>
      <w:r>
        <w:rPr>
          <w:b/>
          <w:szCs w:val="20"/>
          <w:lang w:val="en-US"/>
        </w:rPr>
        <w:t xml:space="preserve">Larger SCS has advantages in terms of shorter slot duration, wider usable channel BW and less sensitivity to phase noise, which make larger SCS suitable for unlicensed band. However, reduced CP duration is a drawback in handling multi-path delay spread. </w:t>
      </w:r>
    </w:p>
    <w:p w14:paraId="6E405299" w14:textId="6C3FBA42" w:rsidR="007668CB" w:rsidRPr="007668CB" w:rsidRDefault="007668CB" w:rsidP="007668CB">
      <w:pPr>
        <w:spacing w:before="240" w:after="240"/>
        <w:rPr>
          <w:b/>
          <w:szCs w:val="20"/>
          <w:lang w:val="en-US"/>
        </w:rPr>
      </w:pPr>
      <w:r>
        <w:rPr>
          <w:b/>
          <w:szCs w:val="20"/>
          <w:lang w:val="en-US"/>
        </w:rPr>
        <w:t>Observation 2</w:t>
      </w:r>
      <w:r w:rsidRPr="00BF4801">
        <w:rPr>
          <w:b/>
          <w:szCs w:val="20"/>
          <w:lang w:val="en-US"/>
        </w:rPr>
        <w:t xml:space="preserve">: </w:t>
      </w:r>
      <w:r>
        <w:rPr>
          <w:b/>
          <w:szCs w:val="20"/>
          <w:lang w:val="en-US"/>
        </w:rPr>
        <w:t>As</w:t>
      </w:r>
      <w:r w:rsidRPr="00F1197D">
        <w:rPr>
          <w:b/>
          <w:szCs w:val="20"/>
          <w:lang w:val="en-US"/>
        </w:rPr>
        <w:t xml:space="preserve"> the support of eCP is optional for Release 15, it </w:t>
      </w:r>
      <w:r>
        <w:rPr>
          <w:b/>
          <w:szCs w:val="20"/>
          <w:lang w:val="en-US"/>
        </w:rPr>
        <w:t>is</w:t>
      </w:r>
      <w:r w:rsidRPr="00F1197D">
        <w:rPr>
          <w:b/>
          <w:szCs w:val="20"/>
          <w:lang w:val="en-US"/>
        </w:rPr>
        <w:t xml:space="preserve"> natural to focus NR-unlicensed design on normal CP.</w:t>
      </w:r>
      <w:r>
        <w:rPr>
          <w:b/>
          <w:szCs w:val="20"/>
          <w:lang w:val="en-US"/>
        </w:rPr>
        <w:t xml:space="preserve"> </w:t>
      </w:r>
    </w:p>
    <w:p w14:paraId="057977AA" w14:textId="3BDAEF53" w:rsidR="007668CB" w:rsidRPr="007668CB" w:rsidRDefault="007668CB" w:rsidP="007668CB">
      <w:pPr>
        <w:spacing w:before="240" w:after="240"/>
        <w:rPr>
          <w:b/>
          <w:szCs w:val="20"/>
          <w:lang w:val="en-US"/>
        </w:rPr>
      </w:pPr>
      <w:r>
        <w:rPr>
          <w:b/>
          <w:szCs w:val="20"/>
          <w:lang w:val="en-US"/>
        </w:rPr>
        <w:t>Observation 3</w:t>
      </w:r>
      <w:r w:rsidRPr="00BF4801">
        <w:rPr>
          <w:b/>
          <w:szCs w:val="20"/>
          <w:lang w:val="en-US"/>
        </w:rPr>
        <w:t>:</w:t>
      </w:r>
      <w:r w:rsidRPr="00CA44F8">
        <w:rPr>
          <w:b/>
          <w:szCs w:val="20"/>
          <w:lang w:val="en-US"/>
        </w:rPr>
        <w:t xml:space="preserve"> The NR-unlicensed operation is not different from dynamic TDD in nature</w:t>
      </w:r>
      <w:r>
        <w:rPr>
          <w:b/>
          <w:szCs w:val="20"/>
          <w:lang w:val="en-US"/>
        </w:rPr>
        <w:t xml:space="preserve">. </w:t>
      </w:r>
      <w:r w:rsidRPr="00CA44F8">
        <w:rPr>
          <w:b/>
          <w:szCs w:val="20"/>
          <w:lang w:val="en-US"/>
        </w:rPr>
        <w:t>NR frame structure is flexible enough to accommodate NR-unlicensed operation without change.</w:t>
      </w:r>
      <w:r>
        <w:rPr>
          <w:b/>
          <w:szCs w:val="20"/>
          <w:lang w:val="en-US"/>
        </w:rPr>
        <w:t xml:space="preserve"> </w:t>
      </w:r>
    </w:p>
    <w:p w14:paraId="644EBDCE" w14:textId="40AB3529" w:rsidR="007668CB" w:rsidRDefault="007668CB" w:rsidP="007668CB">
      <w:pPr>
        <w:spacing w:before="240" w:after="240"/>
        <w:rPr>
          <w:b/>
          <w:szCs w:val="20"/>
          <w:lang w:val="en-US"/>
        </w:rPr>
      </w:pPr>
      <w:r>
        <w:rPr>
          <w:b/>
          <w:szCs w:val="20"/>
          <w:lang w:val="en-US"/>
        </w:rPr>
        <w:t>Observation 4</w:t>
      </w:r>
      <w:r w:rsidRPr="00BF4801">
        <w:rPr>
          <w:b/>
          <w:szCs w:val="20"/>
          <w:lang w:val="en-US"/>
        </w:rPr>
        <w:t>:</w:t>
      </w:r>
      <w:r>
        <w:rPr>
          <w:b/>
          <w:szCs w:val="20"/>
          <w:lang w:val="en-US"/>
        </w:rPr>
        <w:t xml:space="preserve"> The use of multiple gaps of less than 25 </w:t>
      </w:r>
      <w:r w:rsidR="00C760DD">
        <w:rPr>
          <w:rFonts w:cs="Times"/>
          <w:lang w:val="en-US"/>
        </w:rPr>
        <w:t>μ</w:t>
      </w:r>
      <w:r>
        <w:rPr>
          <w:b/>
          <w:szCs w:val="20"/>
          <w:lang w:val="en-US"/>
        </w:rPr>
        <w:t xml:space="preserve">s within a COT is not restricted by ETSI BRAN and also present in Wi-Fi systems. </w:t>
      </w:r>
    </w:p>
    <w:p w14:paraId="1FF06490" w14:textId="032334CC" w:rsidR="007668CB" w:rsidRPr="007668CB" w:rsidRDefault="007668CB" w:rsidP="007668CB">
      <w:pPr>
        <w:spacing w:before="240" w:after="240"/>
        <w:rPr>
          <w:b/>
          <w:szCs w:val="20"/>
          <w:lang w:val="en-US"/>
        </w:rPr>
      </w:pPr>
      <w:r>
        <w:rPr>
          <w:b/>
          <w:szCs w:val="20"/>
          <w:lang w:val="en-US"/>
        </w:rPr>
        <w:t>Proposal 1</w:t>
      </w:r>
      <w:r w:rsidRPr="00BF4801">
        <w:rPr>
          <w:b/>
          <w:szCs w:val="20"/>
          <w:lang w:val="en-US"/>
        </w:rPr>
        <w:t>:</w:t>
      </w:r>
      <w:r>
        <w:rPr>
          <w:b/>
          <w:szCs w:val="20"/>
          <w:lang w:val="en-US"/>
        </w:rPr>
        <w:t xml:space="preserve"> Multiple switching points within a COT is supported for gaps whose duration is less than 25 </w:t>
      </w:r>
      <w:r w:rsidR="00C760DD">
        <w:rPr>
          <w:rFonts w:cs="Times"/>
          <w:lang w:val="en-US"/>
        </w:rPr>
        <w:t>μ</w:t>
      </w:r>
      <w:r>
        <w:rPr>
          <w:b/>
          <w:szCs w:val="20"/>
          <w:lang w:val="en-US"/>
        </w:rPr>
        <w:t xml:space="preserve">s with single interval LBT. </w:t>
      </w:r>
    </w:p>
    <w:p w14:paraId="375D4CE2" w14:textId="78AD33D9" w:rsidR="007668CB" w:rsidRPr="007668CB" w:rsidRDefault="007668CB" w:rsidP="007668CB">
      <w:pPr>
        <w:spacing w:before="240" w:after="240"/>
        <w:rPr>
          <w:b/>
          <w:szCs w:val="20"/>
          <w:lang w:val="en-US"/>
        </w:rPr>
      </w:pPr>
      <w:r>
        <w:rPr>
          <w:b/>
          <w:szCs w:val="20"/>
          <w:lang w:val="en-US"/>
        </w:rPr>
        <w:t>Observation 5</w:t>
      </w:r>
      <w:r w:rsidRPr="00BF4801">
        <w:rPr>
          <w:b/>
          <w:szCs w:val="20"/>
          <w:lang w:val="en-US"/>
        </w:rPr>
        <w:t>:</w:t>
      </w:r>
      <w:r>
        <w:rPr>
          <w:b/>
          <w:szCs w:val="20"/>
          <w:lang w:val="en-US"/>
        </w:rPr>
        <w:t xml:space="preserve"> The use of multiple pauses of at least 100 </w:t>
      </w:r>
      <w:r w:rsidR="00C760DD">
        <w:rPr>
          <w:rFonts w:cs="Times"/>
          <w:lang w:val="en-US"/>
        </w:rPr>
        <w:t>μ</w:t>
      </w:r>
      <w:r>
        <w:rPr>
          <w:b/>
          <w:szCs w:val="20"/>
          <w:lang w:val="en-US"/>
        </w:rPr>
        <w:t xml:space="preserve">s is limited by ETSI BRAN by total COT duration (including pauses) to be less than 20 ms. The use of pauses is not found in Wi-Fi system. </w:t>
      </w:r>
    </w:p>
    <w:p w14:paraId="69A53A71" w14:textId="27AAFF73" w:rsidR="007668CB" w:rsidRPr="007668CB" w:rsidRDefault="007668CB" w:rsidP="007668CB">
      <w:pPr>
        <w:spacing w:before="240" w:after="240"/>
        <w:rPr>
          <w:b/>
          <w:szCs w:val="20"/>
          <w:lang w:val="en-US"/>
        </w:rPr>
      </w:pPr>
      <w:r>
        <w:rPr>
          <w:b/>
          <w:szCs w:val="20"/>
          <w:lang w:val="en-US"/>
        </w:rPr>
        <w:t>Observation 6</w:t>
      </w:r>
      <w:r w:rsidRPr="00BF4801">
        <w:rPr>
          <w:b/>
          <w:szCs w:val="20"/>
          <w:lang w:val="en-US"/>
        </w:rPr>
        <w:t>:</w:t>
      </w:r>
      <w:r>
        <w:rPr>
          <w:b/>
          <w:szCs w:val="20"/>
          <w:lang w:val="en-US"/>
        </w:rPr>
        <w:t xml:space="preserve"> If the use of </w:t>
      </w:r>
      <w:r w:rsidRPr="00691F39">
        <w:rPr>
          <w:b/>
          <w:szCs w:val="20"/>
          <w:lang w:val="en-US"/>
        </w:rPr>
        <w:t>multiple paused duration</w:t>
      </w:r>
      <w:r>
        <w:rPr>
          <w:b/>
          <w:szCs w:val="20"/>
          <w:lang w:val="en-US"/>
        </w:rPr>
        <w:t>s</w:t>
      </w:r>
      <w:r w:rsidRPr="00691F39">
        <w:rPr>
          <w:b/>
          <w:szCs w:val="20"/>
          <w:lang w:val="en-US"/>
        </w:rPr>
        <w:t xml:space="preserve"> in a COT</w:t>
      </w:r>
      <w:r>
        <w:rPr>
          <w:b/>
          <w:szCs w:val="20"/>
          <w:lang w:val="en-US"/>
        </w:rPr>
        <w:t xml:space="preserve"> is considered for NR-unlicensed system, its impact </w:t>
      </w:r>
      <w:r w:rsidR="00C760DD">
        <w:rPr>
          <w:b/>
          <w:szCs w:val="20"/>
          <w:lang w:val="en-US"/>
        </w:rPr>
        <w:t xml:space="preserve">on </w:t>
      </w:r>
      <w:r>
        <w:rPr>
          <w:b/>
          <w:szCs w:val="20"/>
          <w:lang w:val="en-US"/>
        </w:rPr>
        <w:t>the coexistence performance needs to be studied.</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E453403" w14:textId="6616B3AB" w:rsidR="007F490A" w:rsidRDefault="00396B04" w:rsidP="00F651F0">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sidR="007F490A">
        <w:rPr>
          <w:rFonts w:ascii="Times New Roman" w:hAnsi="Times New Roman"/>
        </w:rPr>
        <w:t xml:space="preserve">RAN1 Chairman’s Notes, </w:t>
      </w:r>
      <w:r w:rsidR="00F770AA">
        <w:rPr>
          <w:rFonts w:ascii="Times New Roman" w:hAnsi="Times New Roman"/>
        </w:rPr>
        <w:t xml:space="preserve">3GPP TSG RAN WG1 Meeting #92bis, </w:t>
      </w:r>
      <w:r w:rsidR="00C760DD">
        <w:rPr>
          <w:rFonts w:ascii="Times New Roman" w:hAnsi="Times New Roman"/>
        </w:rPr>
        <w:t>Apr.</w:t>
      </w:r>
      <w:r w:rsidR="00F770AA">
        <w:rPr>
          <w:rFonts w:ascii="Times New Roman" w:hAnsi="Times New Roman"/>
        </w:rPr>
        <w:t xml:space="preserve">, </w:t>
      </w:r>
      <w:bookmarkStart w:id="1" w:name="_GoBack"/>
      <w:bookmarkEnd w:id="1"/>
      <w:r w:rsidR="00F770AA">
        <w:rPr>
          <w:rFonts w:ascii="Times New Roman" w:hAnsi="Times New Roman"/>
        </w:rPr>
        <w:t>2018.</w:t>
      </w:r>
    </w:p>
    <w:p w14:paraId="2BB87CE1" w14:textId="77777777" w:rsidR="000968CD" w:rsidRDefault="000968CD" w:rsidP="000968CD">
      <w:pPr>
        <w:pStyle w:val="BodyText"/>
        <w:overflowPunct w:val="0"/>
        <w:ind w:left="420" w:hanging="240"/>
        <w:textAlignment w:val="baseline"/>
        <w:rPr>
          <w:rFonts w:ascii="Times New Roman" w:hAnsi="Times New Roman"/>
        </w:rPr>
      </w:pPr>
      <w:r w:rsidRPr="00DE31C2">
        <w:rPr>
          <w:rFonts w:ascii="Times New Roman" w:hAnsi="Times New Roman"/>
        </w:rPr>
        <w:t>[</w:t>
      </w:r>
      <w:r>
        <w:rPr>
          <w:rFonts w:ascii="Times New Roman" w:hAnsi="Times New Roman"/>
        </w:rPr>
        <w:t>2</w:t>
      </w:r>
      <w:r w:rsidRPr="00DE31C2">
        <w:rPr>
          <w:rFonts w:ascii="Times New Roman" w:hAnsi="Times New Roman"/>
        </w:rPr>
        <w:t xml:space="preserve">] </w:t>
      </w:r>
      <w:r>
        <w:rPr>
          <w:rFonts w:ascii="Times New Roman" w:hAnsi="Times New Roman"/>
        </w:rPr>
        <w:t xml:space="preserve">3GPP TS 38.101-1, </w:t>
      </w:r>
      <w:r>
        <w:rPr>
          <w:lang w:val="en-US"/>
        </w:rPr>
        <w:t>User Equipment (UE) radio transmission and reception</w:t>
      </w:r>
      <w:r>
        <w:rPr>
          <w:rFonts w:ascii="Times New Roman" w:hAnsi="Times New Roman"/>
        </w:rPr>
        <w:t xml:space="preserve"> </w:t>
      </w:r>
      <w:r w:rsidRPr="0095698F">
        <w:rPr>
          <w:rFonts w:ascii="Times New Roman" w:hAnsi="Times New Roman"/>
        </w:rPr>
        <w:t>Part 1: Range 1 Standalone</w:t>
      </w:r>
      <w:r>
        <w:rPr>
          <w:rFonts w:ascii="Times New Roman" w:hAnsi="Times New Roman"/>
        </w:rPr>
        <w:t>, V1.0.0, 2017-12</w:t>
      </w:r>
    </w:p>
    <w:p w14:paraId="5F9B7B09" w14:textId="77777777" w:rsidR="000968CD" w:rsidRDefault="000968CD" w:rsidP="000968CD">
      <w:pPr>
        <w:pStyle w:val="BodyText"/>
        <w:overflowPunct w:val="0"/>
        <w:ind w:left="420" w:hanging="240"/>
        <w:textAlignment w:val="baseline"/>
        <w:rPr>
          <w:rFonts w:ascii="Times New Roman" w:hAnsi="Times New Roman"/>
        </w:rPr>
      </w:pPr>
      <w:r w:rsidRPr="00DE31C2">
        <w:rPr>
          <w:rFonts w:ascii="Times New Roman" w:hAnsi="Times New Roman"/>
        </w:rPr>
        <w:t>[</w:t>
      </w:r>
      <w:r>
        <w:rPr>
          <w:rFonts w:ascii="Times New Roman" w:hAnsi="Times New Roman"/>
        </w:rPr>
        <w:t>3</w:t>
      </w:r>
      <w:r w:rsidRPr="00DE31C2">
        <w:rPr>
          <w:rFonts w:ascii="Times New Roman" w:hAnsi="Times New Roman"/>
        </w:rPr>
        <w:t xml:space="preserve">] </w:t>
      </w:r>
      <w:r>
        <w:rPr>
          <w:rFonts w:ascii="Times New Roman" w:hAnsi="Times New Roman"/>
        </w:rPr>
        <w:t xml:space="preserve">3GPP TS 38.101-2, </w:t>
      </w:r>
      <w:r>
        <w:rPr>
          <w:lang w:val="en-US"/>
        </w:rPr>
        <w:t>User Equipment (UE) radio transmission and reception</w:t>
      </w:r>
      <w:r>
        <w:rPr>
          <w:rFonts w:ascii="Times New Roman" w:hAnsi="Times New Roman"/>
        </w:rPr>
        <w:t xml:space="preserve"> </w:t>
      </w:r>
      <w:r w:rsidRPr="0095698F">
        <w:rPr>
          <w:rFonts w:ascii="Times New Roman" w:hAnsi="Times New Roman"/>
        </w:rPr>
        <w:t xml:space="preserve">Part 1: Range </w:t>
      </w:r>
      <w:r>
        <w:rPr>
          <w:rFonts w:ascii="Times New Roman" w:hAnsi="Times New Roman"/>
        </w:rPr>
        <w:t>2</w:t>
      </w:r>
      <w:r w:rsidRPr="0095698F">
        <w:rPr>
          <w:rFonts w:ascii="Times New Roman" w:hAnsi="Times New Roman"/>
        </w:rPr>
        <w:t xml:space="preserve"> Standalone</w:t>
      </w:r>
      <w:r>
        <w:rPr>
          <w:rFonts w:ascii="Times New Roman" w:hAnsi="Times New Roman"/>
        </w:rPr>
        <w:t>, V1.0.0, 2017-12</w:t>
      </w:r>
    </w:p>
    <w:p w14:paraId="6ACBE40E" w14:textId="0FF79F9C" w:rsidR="000968CD" w:rsidRPr="00586740" w:rsidRDefault="000968CD" w:rsidP="000968CD">
      <w:pPr>
        <w:pStyle w:val="BodyText"/>
        <w:overflowPunct w:val="0"/>
        <w:ind w:left="420" w:hanging="240"/>
        <w:textAlignment w:val="baseline"/>
        <w:rPr>
          <w:rFonts w:ascii="Times New Roman" w:hAnsi="Times New Roman"/>
        </w:rPr>
      </w:pPr>
      <w:r>
        <w:rPr>
          <w:rFonts w:ascii="Times New Roman" w:hAnsi="Times New Roman"/>
        </w:rPr>
        <w:t xml:space="preserve">[4] Jeongho Jeon, “NR Wide Bandwidth Operations,” </w:t>
      </w:r>
      <w:r w:rsidRPr="00B7154D">
        <w:rPr>
          <w:rFonts w:ascii="Times New Roman" w:hAnsi="Times New Roman"/>
          <w:i/>
        </w:rPr>
        <w:t>IEEE Communications Magazine</w:t>
      </w:r>
      <w:r>
        <w:rPr>
          <w:rFonts w:ascii="Times New Roman" w:hAnsi="Times New Roman"/>
        </w:rPr>
        <w:t xml:space="preserve">, Vol. 56, Issue 3, pp. 42-46, </w:t>
      </w:r>
      <w:r w:rsidR="00C760DD">
        <w:rPr>
          <w:rFonts w:ascii="Times New Roman" w:hAnsi="Times New Roman"/>
        </w:rPr>
        <w:t xml:space="preserve">Mar., </w:t>
      </w:r>
      <w:r>
        <w:rPr>
          <w:rFonts w:ascii="Times New Roman" w:hAnsi="Times New Roman"/>
        </w:rPr>
        <w:t>2018</w:t>
      </w:r>
    </w:p>
    <w:p w14:paraId="0E7320B6" w14:textId="209197A6" w:rsidR="000968CD" w:rsidRPr="009A0431" w:rsidRDefault="000968CD" w:rsidP="000968CD">
      <w:pPr>
        <w:pStyle w:val="BodyText"/>
        <w:overflowPunct w:val="0"/>
        <w:ind w:left="420" w:hanging="240"/>
        <w:textAlignment w:val="baseline"/>
      </w:pPr>
      <w:r>
        <w:rPr>
          <w:rFonts w:ascii="Times New Roman" w:hAnsi="Times New Roman"/>
        </w:rPr>
        <w:t>[5] H.-J. Kwon, J. Jeon, A. Bhorkar, Q. Ye, H. Harada, Y. Jiang, L. Liu, S. Nagata, B. L. Ng, T. Novlan, J. Oh, W. Yi, “</w:t>
      </w:r>
      <w:r>
        <w:rPr>
          <w:rStyle w:val="ng-binding"/>
        </w:rPr>
        <w:t>Licensed-Assisted Access to Unlicensed Spectrum in LTE Release 13,</w:t>
      </w:r>
      <w:r>
        <w:rPr>
          <w:rFonts w:ascii="Times New Roman" w:hAnsi="Times New Roman"/>
        </w:rPr>
        <w:t xml:space="preserve">” </w:t>
      </w:r>
      <w:r w:rsidRPr="00D42ADB">
        <w:rPr>
          <w:rFonts w:ascii="Times New Roman" w:hAnsi="Times New Roman"/>
          <w:i/>
        </w:rPr>
        <w:t>IEEE Communications Magazine</w:t>
      </w:r>
      <w:r>
        <w:rPr>
          <w:rFonts w:ascii="Times New Roman" w:hAnsi="Times New Roman"/>
        </w:rPr>
        <w:t xml:space="preserve">, Vol. 55, Issue 2, Feb., 2017. </w:t>
      </w:r>
    </w:p>
    <w:p w14:paraId="2718EA6E" w14:textId="31328916" w:rsidR="0050700A" w:rsidRPr="00532F30" w:rsidRDefault="00AA6192" w:rsidP="00532F30">
      <w:pPr>
        <w:pStyle w:val="BodyText"/>
        <w:overflowPunct w:val="0"/>
        <w:ind w:left="420" w:hanging="240"/>
        <w:textAlignment w:val="baseline"/>
        <w:rPr>
          <w:rFonts w:ascii="Times New Roman" w:hAnsi="Times New Roman"/>
        </w:rPr>
      </w:pPr>
      <w:r>
        <w:rPr>
          <w:rFonts w:ascii="Times New Roman" w:hAnsi="Times New Roman"/>
        </w:rPr>
        <w:t xml:space="preserve">[6] ETSI EN 301.893, 5 GHz RAN; Harmonised Standard </w:t>
      </w:r>
      <w:r w:rsidRPr="00FE5E96">
        <w:rPr>
          <w:rFonts w:ascii="Times New Roman" w:hAnsi="Times New Roman"/>
        </w:rPr>
        <w:t>covering the essential requirements</w:t>
      </w:r>
      <w:r>
        <w:rPr>
          <w:rFonts w:ascii="Times New Roman" w:hAnsi="Times New Roman"/>
        </w:rPr>
        <w:t xml:space="preserve"> </w:t>
      </w:r>
      <w:r w:rsidRPr="00FE5E96">
        <w:rPr>
          <w:rFonts w:ascii="Times New Roman" w:hAnsi="Times New Roman"/>
        </w:rPr>
        <w:t>of article 3.2 of Directive 2014/53/EU</w:t>
      </w:r>
      <w:r>
        <w:rPr>
          <w:rFonts w:ascii="Times New Roman" w:hAnsi="Times New Roman"/>
        </w:rPr>
        <w:t xml:space="preserve"> V2.1.1, 2017-05</w:t>
      </w:r>
      <w:r w:rsidR="008E205A">
        <w:rPr>
          <w:rFonts w:ascii="Times New Roman" w:hAnsi="Times New Roman"/>
        </w:rPr>
        <w:t xml:space="preserve"> </w:t>
      </w:r>
    </w:p>
    <w:sectPr w:rsidR="0050700A" w:rsidRPr="00532F30"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40F0F" w14:textId="77777777" w:rsidR="001747B9" w:rsidRDefault="001747B9"/>
  </w:endnote>
  <w:endnote w:type="continuationSeparator" w:id="0">
    <w:p w14:paraId="5AE17B0F" w14:textId="77777777" w:rsidR="001747B9" w:rsidRDefault="00174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81B2E" w14:textId="77777777" w:rsidR="001747B9" w:rsidRDefault="001747B9"/>
  </w:footnote>
  <w:footnote w:type="continuationSeparator" w:id="0">
    <w:p w14:paraId="10CB66FC" w14:textId="77777777" w:rsidR="001747B9" w:rsidRDefault="001747B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3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17"/>
  </w:num>
  <w:num w:numId="2">
    <w:abstractNumId w:val="36"/>
  </w:num>
  <w:num w:numId="3">
    <w:abstractNumId w:val="4"/>
  </w:num>
  <w:num w:numId="4">
    <w:abstractNumId w:val="0"/>
  </w:num>
  <w:num w:numId="5">
    <w:abstractNumId w:val="25"/>
  </w:num>
  <w:num w:numId="6">
    <w:abstractNumId w:val="6"/>
  </w:num>
  <w:num w:numId="7">
    <w:abstractNumId w:val="11"/>
  </w:num>
  <w:num w:numId="8">
    <w:abstractNumId w:val="16"/>
  </w:num>
  <w:num w:numId="9">
    <w:abstractNumId w:val="14"/>
  </w:num>
  <w:num w:numId="10">
    <w:abstractNumId w:val="9"/>
  </w:num>
  <w:num w:numId="11">
    <w:abstractNumId w:val="30"/>
  </w:num>
  <w:num w:numId="12">
    <w:abstractNumId w:val="1"/>
  </w:num>
  <w:num w:numId="13">
    <w:abstractNumId w:val="15"/>
  </w:num>
  <w:num w:numId="14">
    <w:abstractNumId w:val="10"/>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5"/>
  </w:num>
  <w:num w:numId="19">
    <w:abstractNumId w:val="32"/>
  </w:num>
  <w:num w:numId="20">
    <w:abstractNumId w:val="31"/>
  </w:num>
  <w:num w:numId="21">
    <w:abstractNumId w:val="24"/>
  </w:num>
  <w:num w:numId="22">
    <w:abstractNumId w:val="21"/>
  </w:num>
  <w:num w:numId="23">
    <w:abstractNumId w:val="34"/>
  </w:num>
  <w:num w:numId="24">
    <w:abstractNumId w:val="7"/>
  </w:num>
  <w:num w:numId="25">
    <w:abstractNumId w:val="8"/>
  </w:num>
  <w:num w:numId="26">
    <w:abstractNumId w:val="37"/>
  </w:num>
  <w:num w:numId="27">
    <w:abstractNumId w:val="28"/>
  </w:num>
  <w:num w:numId="28">
    <w:abstractNumId w:val="22"/>
  </w:num>
  <w:num w:numId="29">
    <w:abstractNumId w:val="12"/>
  </w:num>
  <w:num w:numId="30">
    <w:abstractNumId w:val="27"/>
  </w:num>
  <w:num w:numId="31">
    <w:abstractNumId w:val="35"/>
  </w:num>
  <w:num w:numId="32">
    <w:abstractNumId w:val="18"/>
  </w:num>
  <w:num w:numId="33">
    <w:abstractNumId w:val="26"/>
  </w:num>
  <w:num w:numId="34">
    <w:abstractNumId w:val="3"/>
  </w:num>
  <w:num w:numId="35">
    <w:abstractNumId w:val="19"/>
  </w:num>
  <w:num w:numId="36">
    <w:abstractNumId w:val="20"/>
  </w:num>
  <w:num w:numId="37">
    <w:abstractNumId w:val="23"/>
  </w:num>
  <w:num w:numId="38">
    <w:abstractNumId w:val="38"/>
  </w:num>
  <w:num w:numId="39">
    <w:abstractNumId w:val="33"/>
  </w:num>
  <w:num w:numId="40">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29E"/>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AD9"/>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F925132D-AA08-4C87-9BC5-BDC79F6C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TotalTime>
  <Pages>4</Pages>
  <Words>1806</Words>
  <Characters>8768</Characters>
  <Application>Microsoft Office Word</Application>
  <DocSecurity>0</DocSecurity>
  <Lines>223</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10559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5</cp:revision>
  <cp:lastPrinted>2017-10-24T05:18:00Z</cp:lastPrinted>
  <dcterms:created xsi:type="dcterms:W3CDTF">2018-05-11T19:39:00Z</dcterms:created>
  <dcterms:modified xsi:type="dcterms:W3CDTF">2018-05-12T01:43:00Z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4aea74bd-c458-4d29-8874-3ccde1edea06</vt:lpwstr>
  </property>
  <property fmtid="{D5CDD505-2E9C-101B-9397-08002B2CF9AE}" pid="3" name="CTP_TimeStamp">
    <vt:lpwstr>2018-05-12 01:43:35Z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