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B2C" w:rsidRDefault="00107DDD">
      <w:pPr>
        <w:widowControl w:val="0"/>
        <w:autoSpaceDE w:val="0"/>
        <w:autoSpaceDN w:val="0"/>
        <w:spacing w:after="0" w:line="240" w:lineRule="auto"/>
        <w:rPr>
          <w:rFonts w:ascii="Arial" w:hAnsi="Arial" w:cs="Arial"/>
          <w:b/>
          <w:bCs/>
          <w:sz w:val="22"/>
          <w:lang w:val="en-GB"/>
        </w:rPr>
      </w:pPr>
      <w:r>
        <w:rPr>
          <w:rFonts w:ascii="Arial" w:hAnsi="Arial" w:cs="Arial"/>
          <w:b/>
          <w:bCs/>
          <w:sz w:val="22"/>
          <w:lang w:val="en-GB"/>
        </w:rPr>
        <w:t xml:space="preserve">3GPP TSG RAN WG1 Meeting </w:t>
      </w:r>
      <w:r>
        <w:rPr>
          <w:rFonts w:ascii="Arial" w:hAnsi="Arial" w:cs="Arial" w:hint="eastAsia"/>
          <w:b/>
          <w:bCs/>
          <w:sz w:val="22"/>
        </w:rPr>
        <w:t xml:space="preserve">#93                      </w:t>
      </w:r>
      <w:r>
        <w:rPr>
          <w:rFonts w:ascii="Arial" w:hAnsi="Arial" w:cs="Arial" w:hint="eastAsia"/>
          <w:b/>
          <w:bCs/>
          <w:sz w:val="22"/>
        </w:rPr>
        <w:tab/>
      </w:r>
      <w:r>
        <w:rPr>
          <w:rFonts w:ascii="Arial" w:hAnsi="Arial" w:cs="Arial" w:hint="eastAsia"/>
          <w:b/>
          <w:bCs/>
          <w:sz w:val="22"/>
        </w:rPr>
        <w:tab/>
      </w:r>
      <w:r>
        <w:rPr>
          <w:rFonts w:ascii="Arial" w:hAnsi="Arial" w:cs="Arial" w:hint="eastAsia"/>
          <w:b/>
          <w:bCs/>
          <w:sz w:val="22"/>
        </w:rPr>
        <w:tab/>
        <w:t xml:space="preserve">  </w:t>
      </w:r>
      <w:r>
        <w:rPr>
          <w:rFonts w:ascii="Arial" w:hAnsi="Arial" w:cs="Arial" w:hint="eastAsia"/>
          <w:b/>
          <w:bCs/>
          <w:sz w:val="22"/>
        </w:rPr>
        <w:tab/>
        <w:t xml:space="preserve">  R1-18</w:t>
      </w:r>
      <w:r>
        <w:rPr>
          <w:rFonts w:ascii="Arial" w:hAnsi="Arial" w:cs="Arial"/>
          <w:b/>
          <w:bCs/>
          <w:sz w:val="22"/>
        </w:rPr>
        <w:t>0</w:t>
      </w:r>
      <w:r>
        <w:rPr>
          <w:rFonts w:ascii="Arial" w:hAnsi="Arial" w:cs="Arial" w:hint="eastAsia"/>
          <w:b/>
          <w:bCs/>
          <w:sz w:val="22"/>
        </w:rPr>
        <w:t>5946</w:t>
      </w:r>
    </w:p>
    <w:p w:rsidR="00323B2C" w:rsidRDefault="00107DDD">
      <w:pPr>
        <w:widowControl w:val="0"/>
        <w:autoSpaceDE w:val="0"/>
        <w:autoSpaceDN w:val="0"/>
        <w:spacing w:after="0" w:line="240" w:lineRule="auto"/>
        <w:rPr>
          <w:rFonts w:ascii="Arial" w:hAnsi="Arial" w:cs="Arial"/>
          <w:b/>
          <w:bCs/>
          <w:sz w:val="22"/>
        </w:rPr>
      </w:pPr>
      <w:r>
        <w:rPr>
          <w:rFonts w:ascii="Arial" w:hAnsi="Arial" w:cs="Arial" w:hint="eastAsia"/>
          <w:b/>
          <w:bCs/>
          <w:sz w:val="22"/>
        </w:rPr>
        <w:t>Busan, Korea, May 21</w:t>
      </w:r>
      <w:r w:rsidRPr="00107DDD">
        <w:rPr>
          <w:rFonts w:ascii="Arial" w:hAnsi="Arial" w:cs="Arial" w:hint="eastAsia"/>
          <w:b/>
          <w:bCs/>
          <w:sz w:val="22"/>
          <w:vertAlign w:val="superscript"/>
        </w:rPr>
        <w:t>st</w:t>
      </w:r>
      <w:r>
        <w:rPr>
          <w:rFonts w:ascii="Arial" w:hAnsi="Arial" w:cs="Arial" w:hint="eastAsia"/>
          <w:b/>
          <w:bCs/>
          <w:sz w:val="22"/>
        </w:rPr>
        <w:t xml:space="preserve"> </w:t>
      </w:r>
      <w:r>
        <w:rPr>
          <w:rFonts w:ascii="Arial" w:hAnsi="Arial" w:cs="Arial" w:hint="eastAsia"/>
          <w:b/>
          <w:bCs/>
          <w:sz w:val="22"/>
        </w:rPr>
        <w:t>–</w:t>
      </w:r>
      <w:r>
        <w:rPr>
          <w:rFonts w:ascii="Arial" w:hAnsi="Arial" w:cs="Arial" w:hint="eastAsia"/>
          <w:b/>
          <w:bCs/>
          <w:sz w:val="22"/>
        </w:rPr>
        <w:t xml:space="preserve"> 25</w:t>
      </w:r>
      <w:r w:rsidRPr="00107DDD">
        <w:rPr>
          <w:rFonts w:ascii="Arial" w:hAnsi="Arial" w:cs="Arial" w:hint="eastAsia"/>
          <w:b/>
          <w:bCs/>
          <w:sz w:val="22"/>
          <w:vertAlign w:val="superscript"/>
        </w:rPr>
        <w:t>th</w:t>
      </w:r>
      <w:r>
        <w:rPr>
          <w:rFonts w:ascii="Arial" w:hAnsi="Arial" w:cs="Arial" w:hint="eastAsia"/>
          <w:b/>
          <w:bCs/>
          <w:sz w:val="22"/>
        </w:rPr>
        <w:t>, 2018</w:t>
      </w:r>
    </w:p>
    <w:p w:rsidR="00323B2C" w:rsidRDefault="00107DDD">
      <w:pPr>
        <w:widowControl w:val="0"/>
        <w:autoSpaceDE w:val="0"/>
        <w:autoSpaceDN w:val="0"/>
        <w:spacing w:after="0" w:line="240" w:lineRule="auto"/>
        <w:rPr>
          <w:rFonts w:ascii="Arial" w:hAnsi="Arial" w:cs="Arial"/>
          <w:b/>
          <w:bCs/>
          <w:sz w:val="22"/>
          <w:lang w:val="en-GB"/>
        </w:rPr>
      </w:pPr>
      <w:r>
        <w:rPr>
          <w:rFonts w:ascii="Arial" w:hAnsi="Arial" w:cs="Arial"/>
          <w:b/>
          <w:bCs/>
          <w:sz w:val="22"/>
          <w:lang w:val="en-GB"/>
        </w:rPr>
        <w:t>Source:        ZTE</w:t>
      </w:r>
    </w:p>
    <w:p w:rsidR="00323B2C" w:rsidRDefault="00107DDD">
      <w:pPr>
        <w:widowControl w:val="0"/>
        <w:autoSpaceDE w:val="0"/>
        <w:autoSpaceDN w:val="0"/>
        <w:spacing w:after="0" w:line="240" w:lineRule="auto"/>
        <w:ind w:left="1698" w:hangingChars="769" w:hanging="1698"/>
        <w:rPr>
          <w:rFonts w:ascii="Arial" w:hAnsi="Arial" w:cs="Arial"/>
          <w:b/>
          <w:bCs/>
          <w:sz w:val="22"/>
          <w:lang w:val="en-GB"/>
        </w:rPr>
      </w:pPr>
      <w:r>
        <w:rPr>
          <w:rFonts w:ascii="Arial" w:hAnsi="Arial" w:cs="Arial"/>
          <w:b/>
          <w:bCs/>
          <w:sz w:val="22"/>
          <w:lang w:val="en-GB"/>
        </w:rPr>
        <w:t>Title:           Remaining details of RRM measurements</w:t>
      </w:r>
    </w:p>
    <w:p w:rsidR="00323B2C" w:rsidRDefault="00107DDD">
      <w:pPr>
        <w:widowControl w:val="0"/>
        <w:autoSpaceDE w:val="0"/>
        <w:autoSpaceDN w:val="0"/>
        <w:spacing w:after="0" w:line="240" w:lineRule="auto"/>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 xml:space="preserve">   7.1.</w:t>
      </w:r>
      <w:r>
        <w:rPr>
          <w:rFonts w:ascii="Arial" w:hAnsi="Arial" w:cs="Arial" w:hint="eastAsia"/>
          <w:b/>
          <w:bCs/>
          <w:sz w:val="22"/>
        </w:rPr>
        <w:t>1.</w:t>
      </w:r>
      <w:r>
        <w:rPr>
          <w:rFonts w:ascii="Arial" w:hAnsi="Arial" w:cs="Arial"/>
          <w:b/>
          <w:bCs/>
          <w:sz w:val="22"/>
          <w:lang w:val="en-GB"/>
        </w:rPr>
        <w:t>5.1</w:t>
      </w:r>
    </w:p>
    <w:p w:rsidR="00323B2C" w:rsidRDefault="00107DDD">
      <w:pPr>
        <w:pBdr>
          <w:bottom w:val="single" w:sz="4" w:space="1" w:color="auto"/>
        </w:pBdr>
        <w:tabs>
          <w:tab w:val="left" w:pos="2552"/>
        </w:tabs>
        <w:spacing w:after="0"/>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Discussion and Decision</w:t>
      </w:r>
    </w:p>
    <w:p w:rsidR="00323B2C" w:rsidRDefault="00107DDD">
      <w:pPr>
        <w:pStyle w:val="2"/>
        <w:numPr>
          <w:ilvl w:val="0"/>
          <w:numId w:val="11"/>
        </w:numPr>
      </w:pPr>
      <w:r>
        <w:t>Introduction</w:t>
      </w:r>
    </w:p>
    <w:p w:rsidR="00323B2C" w:rsidRDefault="00107DDD">
      <w:pPr>
        <w:jc w:val="both"/>
        <w:rPr>
          <w:rFonts w:eastAsia="MS Mincho"/>
          <w:lang w:eastAsia="ja-JP"/>
        </w:rPr>
      </w:pPr>
      <w:r>
        <w:rPr>
          <w:rFonts w:eastAsia="MS Mincho"/>
          <w:lang w:eastAsia="ja-JP"/>
        </w:rPr>
        <w:t>This contribution discusses several remaining issues regarding the RRM measurements based on SS/PBCH blocks and CSI-RS for L3 mobility.</w:t>
      </w:r>
      <w:r>
        <w:rPr>
          <w:rFonts w:eastAsia="宋体" w:hint="eastAsia"/>
        </w:rPr>
        <w:t xml:space="preserve"> </w:t>
      </w:r>
    </w:p>
    <w:p w:rsidR="00323B2C" w:rsidRDefault="00107DDD">
      <w:pPr>
        <w:pStyle w:val="2"/>
        <w:numPr>
          <w:ilvl w:val="0"/>
          <w:numId w:val="11"/>
        </w:numPr>
      </w:pPr>
      <w:bookmarkStart w:id="2" w:name="OLE_LINK7"/>
      <w:r>
        <w:rPr>
          <w:rFonts w:hint="eastAsia"/>
          <w:lang w:val="en-US" w:eastAsia="zh-CN"/>
        </w:rPr>
        <w:t>C-DRX assumption on CSI-RS reception</w:t>
      </w:r>
      <w:bookmarkEnd w:id="2"/>
    </w:p>
    <w:p w:rsidR="00323B2C" w:rsidRDefault="00107DDD">
      <w:pPr>
        <w:jc w:val="both"/>
      </w:pPr>
      <w:r>
        <w:rPr>
          <w:rFonts w:hint="eastAsia"/>
        </w:rPr>
        <w:t>In RAN1 #90, we have the following agreement on C-DRX UE measurement[2].</w:t>
      </w:r>
    </w:p>
    <w:tbl>
      <w:tblPr>
        <w:tblStyle w:val="afc"/>
        <w:tblW w:w="9242" w:type="dxa"/>
        <w:tblLayout w:type="fixed"/>
        <w:tblLook w:val="04A0" w:firstRow="1" w:lastRow="0" w:firstColumn="1" w:lastColumn="0" w:noHBand="0" w:noVBand="1"/>
      </w:tblPr>
      <w:tblGrid>
        <w:gridCol w:w="9242"/>
      </w:tblGrid>
      <w:tr w:rsidR="00323B2C">
        <w:tc>
          <w:tcPr>
            <w:tcW w:w="9242" w:type="dxa"/>
          </w:tcPr>
          <w:p w:rsidR="00323B2C" w:rsidRDefault="00107DDD">
            <w:pPr>
              <w:tabs>
                <w:tab w:val="left" w:pos="1440"/>
              </w:tabs>
              <w:spacing w:after="0"/>
              <w:rPr>
                <w:rFonts w:eastAsia="MS Mincho"/>
                <w:b/>
                <w:highlight w:val="red"/>
                <w:u w:val="single"/>
                <w:lang w:eastAsia="ja-JP"/>
              </w:rPr>
            </w:pPr>
            <w:r>
              <w:rPr>
                <w:rFonts w:eastAsia="MS Mincho" w:hint="eastAsia"/>
                <w:b/>
                <w:highlight w:val="green"/>
                <w:u w:val="single"/>
                <w:lang w:eastAsia="ja-JP"/>
              </w:rPr>
              <w:t>Agreements:</w:t>
            </w:r>
          </w:p>
          <w:p w:rsidR="00323B2C" w:rsidRDefault="00107DDD">
            <w:pPr>
              <w:numPr>
                <w:ilvl w:val="0"/>
                <w:numId w:val="12"/>
              </w:numPr>
              <w:tabs>
                <w:tab w:val="left" w:pos="1440"/>
              </w:tabs>
              <w:spacing w:after="0"/>
              <w:rPr>
                <w:rFonts w:eastAsia="MS Mincho"/>
                <w:lang w:eastAsia="ja-JP"/>
              </w:rPr>
            </w:pPr>
            <w:r>
              <w:rPr>
                <w:rFonts w:eastAsia="MS Mincho"/>
                <w:lang w:eastAsia="ja-JP"/>
              </w:rPr>
              <w:t>UE is not required to measure CSI-RS configured for L3 mobility outside the active time</w:t>
            </w:r>
          </w:p>
          <w:p w:rsidR="00323B2C" w:rsidRDefault="00107DDD">
            <w:pPr>
              <w:numPr>
                <w:ilvl w:val="0"/>
                <w:numId w:val="12"/>
              </w:numPr>
              <w:tabs>
                <w:tab w:val="left" w:pos="1440"/>
              </w:tabs>
              <w:spacing w:after="0"/>
              <w:rPr>
                <w:rFonts w:eastAsia="MS Mincho"/>
                <w:lang w:eastAsia="ja-JP"/>
              </w:rPr>
            </w:pPr>
            <w:r>
              <w:rPr>
                <w:rFonts w:eastAsia="MS Mincho"/>
                <w:lang w:eastAsia="ja-JP"/>
              </w:rPr>
              <w:t>Note exact definition of C-DRX active time depends on RAN2</w:t>
            </w:r>
          </w:p>
          <w:p w:rsidR="00323B2C" w:rsidRDefault="00107DDD">
            <w:pPr>
              <w:numPr>
                <w:ilvl w:val="1"/>
                <w:numId w:val="12"/>
              </w:numPr>
              <w:spacing w:after="0"/>
              <w:rPr>
                <w:rFonts w:eastAsia="MS Mincho"/>
                <w:lang w:eastAsia="ja-JP"/>
              </w:rPr>
            </w:pPr>
            <w:r>
              <w:rPr>
                <w:rFonts w:eastAsia="MS Mincho"/>
                <w:lang w:eastAsia="ja-JP"/>
              </w:rPr>
              <w:t xml:space="preserve">In this context the active time referred by RAN1 relates to the time when UE is monitoring PDCCH in onDuration or due to any timer triggered by gNB activity </w:t>
            </w:r>
          </w:p>
          <w:p w:rsidR="00323B2C" w:rsidRDefault="00107DDD">
            <w:pPr>
              <w:numPr>
                <w:ilvl w:val="2"/>
                <w:numId w:val="12"/>
              </w:numPr>
              <w:tabs>
                <w:tab w:val="left" w:pos="1440"/>
              </w:tabs>
              <w:spacing w:after="0"/>
              <w:rPr>
                <w:rFonts w:eastAsia="MS Mincho"/>
                <w:lang w:eastAsia="ja-JP"/>
              </w:rPr>
            </w:pPr>
            <w:r>
              <w:rPr>
                <w:rFonts w:eastAsia="MS Mincho"/>
                <w:lang w:eastAsia="ja-JP"/>
              </w:rPr>
              <w:t>I.e. when any of ‘onDurationTimer’, ‘drx-InactitivityTimer’ or ’ drx-RetransmissionTimer’ is running</w:t>
            </w:r>
          </w:p>
          <w:p w:rsidR="00323B2C" w:rsidRDefault="00107DDD">
            <w:pPr>
              <w:numPr>
                <w:ilvl w:val="0"/>
                <w:numId w:val="12"/>
              </w:numPr>
              <w:spacing w:after="0"/>
              <w:rPr>
                <w:rFonts w:eastAsia="MS Mincho"/>
                <w:lang w:eastAsia="ja-JP"/>
              </w:rPr>
            </w:pPr>
            <w:r>
              <w:rPr>
                <w:rFonts w:eastAsia="MS Mincho" w:hint="eastAsia"/>
                <w:lang w:eastAsia="ja-JP"/>
              </w:rPr>
              <w:t>FFS:</w:t>
            </w:r>
          </w:p>
          <w:p w:rsidR="00323B2C" w:rsidRDefault="00107DDD">
            <w:pPr>
              <w:numPr>
                <w:ilvl w:val="1"/>
                <w:numId w:val="12"/>
              </w:numPr>
              <w:spacing w:after="0"/>
              <w:rPr>
                <w:rFonts w:eastAsia="MS Mincho"/>
                <w:lang w:eastAsia="ja-JP"/>
              </w:rPr>
            </w:pPr>
            <w:r>
              <w:rPr>
                <w:rFonts w:eastAsia="MS Mincho" w:hint="eastAsia"/>
                <w:lang w:eastAsia="ja-JP"/>
              </w:rPr>
              <w:t xml:space="preserve">whether </w:t>
            </w:r>
            <w:r>
              <w:rPr>
                <w:rFonts w:eastAsia="MS Mincho"/>
                <w:lang w:eastAsia="ja-JP"/>
              </w:rPr>
              <w:t>CSI-RS for L3 mobility is configured only within C-DRX UE’s active time</w:t>
            </w:r>
            <w:r>
              <w:rPr>
                <w:rFonts w:eastAsia="MS Mincho" w:hint="eastAsia"/>
                <w:lang w:eastAsia="ja-JP"/>
              </w:rPr>
              <w:t xml:space="preserve"> for C-DRX operation</w:t>
            </w:r>
          </w:p>
          <w:p w:rsidR="00323B2C" w:rsidRDefault="00107DDD">
            <w:pPr>
              <w:numPr>
                <w:ilvl w:val="1"/>
                <w:numId w:val="12"/>
              </w:numPr>
              <w:spacing w:after="0"/>
              <w:rPr>
                <w:szCs w:val="20"/>
              </w:rPr>
            </w:pPr>
            <w:r>
              <w:rPr>
                <w:rFonts w:eastAsia="MS Mincho" w:hint="eastAsia"/>
                <w:lang w:eastAsia="ja-JP"/>
              </w:rPr>
              <w:t xml:space="preserve">whether </w:t>
            </w:r>
            <w:r>
              <w:rPr>
                <w:rFonts w:eastAsia="MS Mincho"/>
                <w:lang w:eastAsia="ja-JP"/>
              </w:rPr>
              <w:t>UE should not assume that configured CSI-RS resources for L3 mobility are present outside the active tim</w:t>
            </w:r>
            <w:r>
              <w:rPr>
                <w:rFonts w:eastAsia="宋体" w:hint="eastAsia"/>
              </w:rPr>
              <w:t>e</w:t>
            </w:r>
          </w:p>
        </w:tc>
      </w:tr>
    </w:tbl>
    <w:p w:rsidR="00323B2C" w:rsidRDefault="00107DDD">
      <w:pPr>
        <w:jc w:val="both"/>
      </w:pPr>
      <w:r>
        <w:rPr>
          <w:rFonts w:hint="eastAsia"/>
        </w:rPr>
        <w:t>It was agreed that UE is not required to measure CSI-RS for L3 mobility outside the active time when C-DRX configuration is configured for UE. In NR, both CSI-RS configuration and C-DRX configuration are UE-specific and very flexible. Therefore, C-DRX UE should not assume the configured CSI-RS resources for L3 mobility are present outside the active time and CSI-RS for L3 mobility is configured only within C-DRX UE</w:t>
      </w:r>
      <w:r>
        <w:t>’</w:t>
      </w:r>
      <w:r>
        <w:rPr>
          <w:rFonts w:hint="eastAsia"/>
        </w:rPr>
        <w:t xml:space="preserve">s active time. </w:t>
      </w:r>
    </w:p>
    <w:p w:rsidR="00323B2C" w:rsidRDefault="00107DDD">
      <w:pPr>
        <w:jc w:val="both"/>
      </w:pPr>
      <w:r>
        <w:rPr>
          <w:b/>
          <w:i/>
        </w:rPr>
        <w:t xml:space="preserve">Proposal </w:t>
      </w:r>
      <w:r>
        <w:rPr>
          <w:rFonts w:hint="eastAsia"/>
          <w:b/>
          <w:i/>
        </w:rPr>
        <w:t>1</w:t>
      </w:r>
      <w:r>
        <w:rPr>
          <w:b/>
          <w:i/>
        </w:rPr>
        <w:t>: C-DRX UE should not assume the configured CSI-RS resources for L3 mobility are present outside the active time and CSI-RS for L3 mobility is configured only within C-DRX UE’s active time.</w:t>
      </w:r>
      <w:r>
        <w:rPr>
          <w:rFonts w:hint="eastAsia"/>
        </w:rPr>
        <w:t xml:space="preserve"> </w:t>
      </w:r>
    </w:p>
    <w:p w:rsidR="00323B2C" w:rsidRDefault="00107DDD">
      <w:pPr>
        <w:adjustRightInd/>
        <w:snapToGrid w:val="0"/>
        <w:spacing w:after="120"/>
        <w:jc w:val="both"/>
        <w:rPr>
          <w:szCs w:val="20"/>
        </w:rPr>
      </w:pPr>
      <w:bookmarkStart w:id="3" w:name="OLE_LINK9"/>
      <w:r>
        <w:rPr>
          <w:rFonts w:hint="eastAsia"/>
          <w:szCs w:val="20"/>
        </w:rPr>
        <w:t>-------------------------</w:t>
      </w:r>
      <w:r>
        <w:rPr>
          <w:rFonts w:eastAsia="宋体" w:hint="eastAsia"/>
          <w:szCs w:val="20"/>
        </w:rPr>
        <w:t>-------------</w:t>
      </w:r>
      <w:r>
        <w:rPr>
          <w:rFonts w:hint="eastAsia"/>
          <w:szCs w:val="20"/>
        </w:rPr>
        <w:t xml:space="preserve">Text Proposal for Section </w:t>
      </w:r>
      <w:r>
        <w:rPr>
          <w:rFonts w:eastAsia="宋体" w:hint="eastAsia"/>
          <w:szCs w:val="20"/>
        </w:rPr>
        <w:t>5.1.6.1.3</w:t>
      </w:r>
      <w:r>
        <w:rPr>
          <w:rFonts w:hint="eastAsia"/>
          <w:szCs w:val="20"/>
        </w:rPr>
        <w:t xml:space="preserve"> in TS38.214--------------------------</w:t>
      </w:r>
      <w:r>
        <w:rPr>
          <w:rFonts w:eastAsia="宋体" w:hint="eastAsia"/>
          <w:szCs w:val="20"/>
        </w:rPr>
        <w:t>-------------</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323B2C">
        <w:tc>
          <w:tcPr>
            <w:tcW w:w="9346" w:type="dxa"/>
          </w:tcPr>
          <w:p w:rsidR="00323B2C" w:rsidRDefault="00107DDD">
            <w:r>
              <w:lastRenderedPageBreak/>
              <w:t xml:space="preserve">If a UE is configured with the higher layer parameters </w:t>
            </w:r>
            <w:r>
              <w:rPr>
                <w:i/>
              </w:rPr>
              <w:t xml:space="preserve">CSI-RS-Resource-Mobility </w:t>
            </w:r>
            <w:r>
              <w:t xml:space="preserve">and </w:t>
            </w:r>
            <w:r>
              <w:rPr>
                <w:i/>
              </w:rPr>
              <w:t>associatedSSB</w:t>
            </w:r>
            <w:r>
              <w:t xml:space="preserve">, the UE may base the timing of the CSI-RS resource on the timing of the cell given by the </w:t>
            </w:r>
            <w:r>
              <w:rPr>
                <w:i/>
              </w:rPr>
              <w:t>Cell_ID</w:t>
            </w:r>
            <w:r>
              <w:t xml:space="preserve"> of the CSI-RS resource configuration. Additionally, for a given CSI-RS resource, if the associated SS/PBCH block is configured but not detected by the UE, the UE is not required to monitor the corresponding CSI-RS resource. The higher layer parameter </w:t>
            </w:r>
            <w:r>
              <w:rPr>
                <w:i/>
              </w:rPr>
              <w:t>isQuasiColocated</w:t>
            </w:r>
            <w:r>
              <w:t xml:space="preserve"> indicates whether the associated SS/PBCH block given by the </w:t>
            </w:r>
            <w:r>
              <w:rPr>
                <w:i/>
              </w:rPr>
              <w:t>associatedSSB</w:t>
            </w:r>
            <w:r>
              <w:t xml:space="preserve"> and the CSI-RS resource(s) are quasi co-located with the associated SS/PBCH block with respect to [‘QCL-TypeD’].</w:t>
            </w:r>
          </w:p>
          <w:p w:rsidR="00323B2C" w:rsidRDefault="00107DDD">
            <w:pPr>
              <w:rPr>
                <w:color w:val="FF0000"/>
                <w:u w:val="single"/>
              </w:rPr>
            </w:pPr>
            <w:r>
              <w:rPr>
                <w:rFonts w:hint="eastAsia"/>
                <w:color w:val="FF0000"/>
                <w:u w:val="single"/>
              </w:rPr>
              <w:t xml:space="preserve">In a UE is configured with a DRX, the UE may not assume CSI-RS resource for L3 mobility are transmitted outside the active time. </w:t>
            </w:r>
          </w:p>
        </w:tc>
      </w:tr>
      <w:bookmarkEnd w:id="3"/>
    </w:tbl>
    <w:p w:rsidR="00323B2C" w:rsidRDefault="00323B2C">
      <w:pPr>
        <w:jc w:val="both"/>
      </w:pPr>
    </w:p>
    <w:p w:rsidR="00323B2C" w:rsidRDefault="00107DDD">
      <w:pPr>
        <w:pStyle w:val="2"/>
        <w:numPr>
          <w:ilvl w:val="0"/>
          <w:numId w:val="11"/>
        </w:numPr>
        <w:rPr>
          <w:lang w:eastAsia="zh-CN"/>
        </w:rPr>
      </w:pPr>
      <w:r>
        <w:rPr>
          <w:rFonts w:hint="eastAsia"/>
          <w:lang w:val="en-US" w:eastAsia="zh-CN"/>
        </w:rPr>
        <w:t>Clarification of SMTC</w:t>
      </w:r>
    </w:p>
    <w:p w:rsidR="00323B2C" w:rsidRDefault="00107DDD">
      <w:pPr>
        <w:jc w:val="both"/>
      </w:pPr>
      <w:r>
        <w:rPr>
          <w:rFonts w:hint="eastAsia"/>
        </w:rPr>
        <w:t>For SS-based measurement, SMTC with various window duration is introduced to confine UE measurement time for power consumption reduction. The SMTC window only need to cover all the actually transmitted SS blocks rather than the SS burst set. However, some companies in RAN2 think SMTC window should be equal to or la</w:t>
      </w:r>
      <w:r>
        <w:t>r</w:t>
      </w:r>
      <w:r>
        <w:rPr>
          <w:rFonts w:hint="eastAsia"/>
        </w:rPr>
        <w:t xml:space="preserve">ger than SS burst set even if a subset of SS blocks are transmitted actually. In order to avoid such misunderstanding, some clarification from RAN1 should be needed. </w:t>
      </w:r>
    </w:p>
    <w:p w:rsidR="00323B2C" w:rsidRDefault="00107DDD">
      <w:pPr>
        <w:jc w:val="both"/>
        <w:rPr>
          <w:b/>
          <w:i/>
        </w:rPr>
      </w:pPr>
      <w:r>
        <w:rPr>
          <w:b/>
          <w:i/>
        </w:rPr>
        <w:t xml:space="preserve">Proposal </w:t>
      </w:r>
      <w:r>
        <w:rPr>
          <w:rFonts w:hint="eastAsia"/>
          <w:b/>
          <w:i/>
        </w:rPr>
        <w:t>2: The SMTC window duration can be shorter than SS burst set and adopt the following text proposal for TS 38.215.</w:t>
      </w:r>
    </w:p>
    <w:p w:rsidR="00323B2C" w:rsidRDefault="00107DDD">
      <w:pPr>
        <w:rPr>
          <w:b/>
          <w:i/>
        </w:rPr>
      </w:pPr>
      <w:r>
        <w:rPr>
          <w:rFonts w:hint="eastAsia"/>
          <w:szCs w:val="20"/>
        </w:rPr>
        <w:t>-------------------------</w:t>
      </w:r>
      <w:r>
        <w:rPr>
          <w:rFonts w:eastAsia="宋体" w:hint="eastAsia"/>
          <w:szCs w:val="20"/>
        </w:rPr>
        <w:t>-------------</w:t>
      </w:r>
      <w:r>
        <w:rPr>
          <w:rFonts w:hint="eastAsia"/>
          <w:szCs w:val="20"/>
        </w:rPr>
        <w:t xml:space="preserve">Text Proposal for Section </w:t>
      </w:r>
      <w:r>
        <w:rPr>
          <w:rFonts w:eastAsia="宋体" w:hint="eastAsia"/>
          <w:szCs w:val="20"/>
        </w:rPr>
        <w:t>5.1.1</w:t>
      </w:r>
      <w:r>
        <w:rPr>
          <w:rFonts w:hint="eastAsia"/>
          <w:szCs w:val="20"/>
        </w:rPr>
        <w:t xml:space="preserve"> in TS38.215--------------------------</w:t>
      </w:r>
      <w:r>
        <w:rPr>
          <w:rFonts w:eastAsia="宋体" w:hint="eastAsia"/>
          <w:szCs w:val="20"/>
        </w:rPr>
        <w:t>-------------</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323B2C">
        <w:tc>
          <w:tcPr>
            <w:tcW w:w="9346" w:type="dxa"/>
          </w:tcPr>
          <w:p w:rsidR="00323B2C" w:rsidRDefault="00107DDD">
            <w:pPr>
              <w:pStyle w:val="TAL"/>
              <w:rPr>
                <w:b/>
              </w:rPr>
            </w:pPr>
            <w:r>
              <w:rPr>
                <w:rFonts w:hint="eastAsia"/>
                <w:b/>
                <w:lang w:eastAsia="zh-CN"/>
              </w:rPr>
              <w:t xml:space="preserve">5.1.1    </w:t>
            </w:r>
            <w:r>
              <w:rPr>
                <w:rFonts w:hint="eastAsia"/>
                <w:b/>
              </w:rPr>
              <w:t>SS reference signal received power (SS-RSRP)</w:t>
            </w:r>
          </w:p>
          <w:tbl>
            <w:tblPr>
              <w:tblW w:w="7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90"/>
              <w:gridCol w:w="6347"/>
            </w:tblGrid>
            <w:tr w:rsidR="00323B2C">
              <w:trPr>
                <w:cantSplit/>
              </w:trPr>
              <w:tc>
                <w:tcPr>
                  <w:tcW w:w="1590" w:type="dxa"/>
                </w:tcPr>
                <w:p w:rsidR="00323B2C" w:rsidRDefault="00107DDD">
                  <w:pPr>
                    <w:pStyle w:val="TAL"/>
                    <w:rPr>
                      <w:b/>
                    </w:rPr>
                  </w:pPr>
                  <w:r>
                    <w:rPr>
                      <w:b/>
                    </w:rPr>
                    <w:t>Definition</w:t>
                  </w:r>
                </w:p>
              </w:tc>
              <w:tc>
                <w:tcPr>
                  <w:tcW w:w="6347" w:type="dxa"/>
                </w:tcPr>
                <w:p w:rsidR="00323B2C" w:rsidRDefault="00107DDD">
                  <w:pPr>
                    <w:pStyle w:val="TAL"/>
                    <w:rPr>
                      <w:lang w:eastAsia="zh-CN"/>
                    </w:rPr>
                  </w:pPr>
                  <w:r>
                    <w:rPr>
                      <w:rFonts w:hint="eastAsia"/>
                      <w:lang w:eastAsia="zh-CN"/>
                    </w:rPr>
                    <w:t>--omitted</w:t>
                  </w:r>
                </w:p>
                <w:p w:rsidR="00323B2C" w:rsidRDefault="00107DDD">
                  <w:pPr>
                    <w:pStyle w:val="TAL"/>
                  </w:pPr>
                  <w:r>
                    <w:t>If SS-RSRP is not used for L1-RSRP and higher-layers indicate certain SS/PBCH blocks for performing SS-RSRP measurements, then SS-RSRP is measured only from the indicated set of SS/PBCH block(s).</w:t>
                  </w:r>
                  <w:r>
                    <w:rPr>
                      <w:rFonts w:hint="eastAsia"/>
                      <w:lang w:eastAsia="zh-CN"/>
                    </w:rPr>
                    <w:t xml:space="preserve">  </w:t>
                  </w:r>
                  <w:r>
                    <w:rPr>
                      <w:rFonts w:ascii="Times New Roman" w:hAnsi="Times New Roman" w:hint="eastAsia"/>
                      <w:color w:val="FF0000"/>
                      <w:sz w:val="20"/>
                      <w:szCs w:val="22"/>
                      <w:u w:val="single"/>
                      <w:lang w:eastAsia="zh-CN"/>
                    </w:rPr>
                    <w:t xml:space="preserve">SS-RSRP is not measured for SS/PBCH Blocks outside the SMTC window duration, even if they are in the indicated set of SS/PBCH Block(s). </w:t>
                  </w:r>
                </w:p>
                <w:p w:rsidR="00323B2C" w:rsidRDefault="00107DDD">
                  <w:pPr>
                    <w:pStyle w:val="TAL"/>
                    <w:rPr>
                      <w:lang w:eastAsia="zh-CN"/>
                    </w:rPr>
                  </w:pPr>
                  <w:r>
                    <w:rPr>
                      <w:rFonts w:hint="eastAsia"/>
                      <w:lang w:eastAsia="zh-CN"/>
                    </w:rPr>
                    <w:t>--omitted</w:t>
                  </w:r>
                </w:p>
              </w:tc>
            </w:tr>
            <w:tr w:rsidR="00323B2C">
              <w:trPr>
                <w:cantSplit/>
              </w:trPr>
              <w:tc>
                <w:tcPr>
                  <w:tcW w:w="1590" w:type="dxa"/>
                </w:tcPr>
                <w:p w:rsidR="00323B2C" w:rsidRDefault="00107DDD">
                  <w:pPr>
                    <w:pStyle w:val="TAL"/>
                    <w:rPr>
                      <w:b/>
                    </w:rPr>
                  </w:pPr>
                  <w:r>
                    <w:rPr>
                      <w:b/>
                    </w:rPr>
                    <w:t>Applicable for</w:t>
                  </w:r>
                </w:p>
              </w:tc>
              <w:tc>
                <w:tcPr>
                  <w:tcW w:w="6347" w:type="dxa"/>
                </w:tcPr>
                <w:p w:rsidR="00323B2C" w:rsidRDefault="00107DDD">
                  <w:pPr>
                    <w:pStyle w:val="TAL"/>
                    <w:rPr>
                      <w:lang w:eastAsia="zh-CN"/>
                    </w:rPr>
                  </w:pPr>
                  <w:r>
                    <w:rPr>
                      <w:rFonts w:hint="eastAsia"/>
                      <w:lang w:eastAsia="zh-CN"/>
                    </w:rPr>
                    <w:t>--omitted</w:t>
                  </w:r>
                </w:p>
              </w:tc>
            </w:tr>
          </w:tbl>
          <w:p w:rsidR="00323B2C" w:rsidRDefault="00323B2C">
            <w:pPr>
              <w:rPr>
                <w:color w:val="FF0000"/>
                <w:u w:val="single"/>
              </w:rPr>
            </w:pPr>
          </w:p>
        </w:tc>
      </w:tr>
    </w:tbl>
    <w:p w:rsidR="00323B2C" w:rsidRDefault="00323B2C"/>
    <w:p w:rsidR="00323B2C" w:rsidRDefault="00107DDD">
      <w:pPr>
        <w:pStyle w:val="2"/>
        <w:numPr>
          <w:ilvl w:val="0"/>
          <w:numId w:val="11"/>
        </w:numPr>
        <w:rPr>
          <w:lang w:eastAsia="zh-CN"/>
        </w:rPr>
      </w:pPr>
      <w:r>
        <w:rPr>
          <w:rFonts w:hint="eastAsia"/>
          <w:lang w:val="en-US" w:eastAsia="zh-CN"/>
        </w:rPr>
        <w:lastRenderedPageBreak/>
        <w:t xml:space="preserve">UE </w:t>
      </w:r>
      <w:r>
        <w:rPr>
          <w:rFonts w:hint="eastAsia"/>
          <w:lang w:eastAsia="zh-CN"/>
        </w:rPr>
        <w:t xml:space="preserve">Rate-Matching </w:t>
      </w:r>
      <w:r>
        <w:rPr>
          <w:lang w:eastAsia="zh-CN"/>
        </w:rPr>
        <w:t>behaviour</w:t>
      </w:r>
    </w:p>
    <w:p w:rsidR="00323B2C" w:rsidRDefault="00107DDD">
      <w:pPr>
        <w:jc w:val="both"/>
      </w:pPr>
      <w:r>
        <w:rPr>
          <w:rFonts w:hint="eastAsia"/>
        </w:rPr>
        <w:t>The intra-frequency measurement based on SSB and the condition of intra-frequency measurement without measurement gap are defined by RAN4 and captured as below[3].</w:t>
      </w:r>
    </w:p>
    <w:tbl>
      <w:tblPr>
        <w:tblStyle w:val="afc"/>
        <w:tblW w:w="9242" w:type="dxa"/>
        <w:tblLayout w:type="fixed"/>
        <w:tblLook w:val="04A0" w:firstRow="1" w:lastRow="0" w:firstColumn="1" w:lastColumn="0" w:noHBand="0" w:noVBand="1"/>
      </w:tblPr>
      <w:tblGrid>
        <w:gridCol w:w="9242"/>
      </w:tblGrid>
      <w:tr w:rsidR="00323B2C">
        <w:tc>
          <w:tcPr>
            <w:tcW w:w="9242" w:type="dxa"/>
          </w:tcPr>
          <w:p w:rsidR="00323B2C" w:rsidRDefault="00107DDD">
            <w:r>
              <w:t>A measurement is defined as a SSB based intra-frequency measurement provided the center frequency of the SSB of the serving cell indicated for measurement and the center frequency of the SSB of the neighbor cell are the same, and the subcarrier spacing of the two SSB are also the same</w:t>
            </w:r>
          </w:p>
          <w:p w:rsidR="00323B2C" w:rsidRDefault="00107DDD">
            <w:r>
              <w:t>The UE can perform intra-frequency SSB based measurements without measurement gaps under the following conditions:</w:t>
            </w:r>
          </w:p>
          <w:p w:rsidR="00323B2C" w:rsidRDefault="00107DDD">
            <w:r>
              <w:t>-</w:t>
            </w:r>
            <w:r>
              <w:tab/>
              <w:t>the SSB is completely contained in the downlink operating bandwidth of the UE, and;</w:t>
            </w:r>
          </w:p>
          <w:p w:rsidR="00323B2C" w:rsidRDefault="00107DDD">
            <w:r>
              <w:t>-</w:t>
            </w:r>
            <w:r>
              <w:tab/>
              <w:t>the SSB has the same subcarrier spacing as the downlink data transmission to the UE, and;</w:t>
            </w:r>
          </w:p>
          <w:p w:rsidR="00323B2C" w:rsidRDefault="00107DDD">
            <w:r>
              <w:t>-</w:t>
            </w:r>
            <w:r>
              <w:tab/>
              <w:t>the UE is measuring on FR1;</w:t>
            </w:r>
          </w:p>
          <w:p w:rsidR="00323B2C" w:rsidRDefault="00107DDD">
            <w:r>
              <w:t>-</w:t>
            </w:r>
            <w:r>
              <w:tab/>
              <w:t>the serving cell data transmissions to the UE have the same subcarrier spacing as the SSB to be measured</w:t>
            </w:r>
          </w:p>
          <w:p w:rsidR="00323B2C" w:rsidRDefault="00107DDD">
            <w:pPr>
              <w:numPr>
                <w:ilvl w:val="255"/>
                <w:numId w:val="0"/>
              </w:numPr>
              <w:spacing w:after="180"/>
              <w:rPr>
                <w:szCs w:val="20"/>
              </w:rPr>
            </w:pPr>
            <w:r>
              <w:rPr>
                <w:i/>
                <w:iCs/>
              </w:rPr>
              <w:t>Editor’s note: The need or otherwise for measurement gap to perform measurements on FR2 where the UE may need to perform RX beamforming or when serving cell data transmissions to the UE have a different subcarrier spacing as the SSB to be measured is FFS.</w:t>
            </w:r>
          </w:p>
        </w:tc>
      </w:tr>
    </w:tbl>
    <w:p w:rsidR="00323B2C" w:rsidRDefault="00107DDD">
      <w:pPr>
        <w:jc w:val="both"/>
      </w:pPr>
      <w:r>
        <w:rPr>
          <w:rFonts w:hint="eastAsia"/>
        </w:rPr>
        <w:t xml:space="preserve">According to the definition and condition, we can conclude that UE can receive SSB and PDSCH FDM-ed with SSB simultaneously when intra-frequency measurement is performed without measurement gap in FR1. In this case, rate matching around SSB REs is preferred in order to provide more available resources in PDSCH. For FR2, the need or otherwise for measurement gap to perform intra-frequency measurement is still FFS. Here we assume that this scenario will exist. In general, Rx beamforming is needed to improve receive gain. When analog/hybrid beamforming is used, UE may use different beams to measure SSB and receive DL data. In this case, rate matching around SSB OFDM symbols is preferred in order to provide more flexibility for UE Rx beam selection. </w:t>
      </w:r>
    </w:p>
    <w:p w:rsidR="00323B2C" w:rsidRDefault="00107DDD">
      <w:pPr>
        <w:jc w:val="both"/>
      </w:pPr>
      <w:bookmarkStart w:id="4" w:name="OLE_LINK10"/>
      <w:r>
        <w:rPr>
          <w:b/>
          <w:i/>
        </w:rPr>
        <w:t>Proposal</w:t>
      </w:r>
      <w:r>
        <w:rPr>
          <w:rFonts w:hint="eastAsia"/>
          <w:b/>
          <w:i/>
        </w:rPr>
        <w:t xml:space="preserve"> </w:t>
      </w:r>
      <w:bookmarkEnd w:id="4"/>
      <w:r>
        <w:rPr>
          <w:rFonts w:hint="eastAsia"/>
          <w:b/>
          <w:i/>
        </w:rPr>
        <w:t xml:space="preserve">3: UE should assume rate matching around SSB REs to get more available resources for PDSCH in FR1. UE should assume rate matching around SSB OFDM symbols to get more flexibility for Rx beam selection in FR2. </w:t>
      </w:r>
    </w:p>
    <w:p w:rsidR="00323B2C" w:rsidRDefault="00107DDD">
      <w:pPr>
        <w:rPr>
          <w:rFonts w:eastAsia="宋体"/>
          <w:szCs w:val="20"/>
        </w:rPr>
      </w:pPr>
      <w:r>
        <w:rPr>
          <w:rFonts w:hint="eastAsia"/>
          <w:szCs w:val="20"/>
        </w:rPr>
        <w:t>-------------------------</w:t>
      </w:r>
      <w:r>
        <w:rPr>
          <w:rFonts w:eastAsia="宋体" w:hint="eastAsia"/>
          <w:szCs w:val="20"/>
        </w:rPr>
        <w:t>-------------</w:t>
      </w:r>
      <w:r>
        <w:rPr>
          <w:rFonts w:hint="eastAsia"/>
          <w:szCs w:val="20"/>
        </w:rPr>
        <w:t xml:space="preserve">Text Proposal for Section </w:t>
      </w:r>
      <w:r>
        <w:rPr>
          <w:rFonts w:eastAsia="宋体" w:hint="eastAsia"/>
          <w:szCs w:val="20"/>
        </w:rPr>
        <w:t>5.1</w:t>
      </w:r>
      <w:r>
        <w:rPr>
          <w:rFonts w:hint="eastAsia"/>
          <w:szCs w:val="20"/>
        </w:rPr>
        <w:t xml:space="preserve"> in TS38.214--------------------------</w:t>
      </w:r>
      <w:r>
        <w:rPr>
          <w:rFonts w:eastAsia="宋体" w:hint="eastAsia"/>
          <w:szCs w:val="20"/>
        </w:rPr>
        <w:t>-------------</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323B2C">
        <w:tc>
          <w:tcPr>
            <w:tcW w:w="9346" w:type="dxa"/>
          </w:tcPr>
          <w:p w:rsidR="00323B2C" w:rsidRDefault="00107DDD">
            <w:pPr>
              <w:rPr>
                <w:rFonts w:eastAsia="宋体"/>
                <w:color w:val="000000"/>
                <w:kern w:val="2"/>
              </w:rPr>
            </w:pPr>
            <w:r>
              <w:rPr>
                <w:color w:val="000000"/>
              </w:rPr>
              <w:t xml:space="preserve">If the UE has received no </w:t>
            </w:r>
            <w:r>
              <w:rPr>
                <w:i/>
                <w:color w:val="000000"/>
              </w:rPr>
              <w:t>SSB-transmitted</w:t>
            </w:r>
            <w:r>
              <w:rPr>
                <w:color w:val="000000"/>
              </w:rPr>
              <w:t xml:space="preserve"> through higher layer signaling about SS/PBCH block transmissions in </w:t>
            </w:r>
            <w:r>
              <w:rPr>
                <w:color w:val="000000"/>
              </w:rPr>
              <w:lastRenderedPageBreak/>
              <w:t xml:space="preserve">the serving cell, the UE assumes SS/PBCH block transmission according to </w:t>
            </w:r>
            <w:r>
              <w:rPr>
                <w:i/>
                <w:color w:val="000000"/>
              </w:rPr>
              <w:t>SSB-transmitted-SIB1</w:t>
            </w:r>
            <w:r>
              <w:rPr>
                <w:color w:val="000000"/>
              </w:rPr>
              <w:t>, and if</w:t>
            </w:r>
            <w:r>
              <w:rPr>
                <w:rFonts w:eastAsia="宋体"/>
                <w:color w:val="000000"/>
                <w:kern w:val="2"/>
              </w:rPr>
              <w:t xml:space="preserve"> the PDSCH resource allocation overlaps with PRBs containing SS/PBCH block transmission resources the UE shall assume that PDSCH is rate matched around these PRBs in the OFDM symbols where SS/PBCH block is transmitted. The UE assumes the periodicity of the SS/PBCH block transmission resources based on </w:t>
            </w:r>
            <w:r>
              <w:rPr>
                <w:rFonts w:eastAsia="宋体"/>
                <w:i/>
                <w:color w:val="000000"/>
                <w:kern w:val="2"/>
              </w:rPr>
              <w:t>SSB-periodicity-serving-cell</w:t>
            </w:r>
            <w:r>
              <w:rPr>
                <w:rFonts w:eastAsia="宋体"/>
                <w:color w:val="000000"/>
                <w:kern w:val="2"/>
              </w:rPr>
              <w:t>.</w:t>
            </w:r>
          </w:p>
          <w:p w:rsidR="00323B2C" w:rsidRDefault="00107DDD">
            <w:pPr>
              <w:rPr>
                <w:rFonts w:eastAsia="宋体"/>
                <w:color w:val="000000"/>
                <w:kern w:val="2"/>
              </w:rPr>
            </w:pPr>
            <w:r>
              <w:rPr>
                <w:color w:val="000000"/>
              </w:rPr>
              <w:t xml:space="preserve">If the UE has received a </w:t>
            </w:r>
            <w:r>
              <w:rPr>
                <w:i/>
                <w:color w:val="000000"/>
              </w:rPr>
              <w:t>SSB-transmitted</w:t>
            </w:r>
            <w:r>
              <w:rPr>
                <w:color w:val="000000"/>
              </w:rPr>
              <w:t xml:space="preserve"> through higher layer signaling about SS/PBCH block transmissions in the serving cell, </w:t>
            </w:r>
            <w:r>
              <w:rPr>
                <w:rFonts w:ascii="Times" w:eastAsia="Batang" w:hAnsi="Times"/>
                <w:color w:val="000000"/>
              </w:rPr>
              <w:t xml:space="preserve">the UE assumes SS/PBCH block transmission according to the </w:t>
            </w:r>
            <w:r>
              <w:rPr>
                <w:i/>
                <w:color w:val="000000"/>
              </w:rPr>
              <w:t>SSB-transmitted</w:t>
            </w:r>
            <w:r>
              <w:rPr>
                <w:color w:val="000000"/>
              </w:rPr>
              <w:t>, and if</w:t>
            </w:r>
            <w:r>
              <w:rPr>
                <w:rFonts w:eastAsia="宋体"/>
                <w:color w:val="000000"/>
                <w:kern w:val="2"/>
              </w:rPr>
              <w:t xml:space="preserve"> the PDSCH resource allocation overlaps with PRBs containing SS/PBCH block transmission resources the UE shall assume that PDSCH is rate matched around these PRBs in the OFDM symbols where SS/PBCH block is transmitted. The UE assumes the periodicity of the SS/PBCH block transmission resources based on </w:t>
            </w:r>
            <w:r>
              <w:rPr>
                <w:rFonts w:eastAsia="宋体"/>
                <w:i/>
                <w:color w:val="000000"/>
                <w:kern w:val="2"/>
              </w:rPr>
              <w:t>SSB-periodicity-serving-cell.</w:t>
            </w:r>
          </w:p>
          <w:p w:rsidR="00323B2C" w:rsidRDefault="00107DDD">
            <w:r>
              <w:rPr>
                <w:rFonts w:hint="eastAsia"/>
                <w:color w:val="FF0000"/>
                <w:u w:val="single"/>
              </w:rPr>
              <w:t>When the UE perform intra-frequency measurement without measurement gap in FR2, and if the PDSCH allocation overlaps with PRBs containing SS/PBCH block transmission resources the UE shall assume that PDSCH is rate matched around the OFDM symbols where SS/PBCH block is transmitted within SMTC window.</w:t>
            </w:r>
          </w:p>
        </w:tc>
      </w:tr>
    </w:tbl>
    <w:p w:rsidR="00323B2C" w:rsidRDefault="00323B2C">
      <w:pPr>
        <w:rPr>
          <w:rFonts w:eastAsia="宋体"/>
          <w:szCs w:val="20"/>
        </w:rPr>
      </w:pPr>
    </w:p>
    <w:p w:rsidR="00323B2C" w:rsidRDefault="00107DDD">
      <w:pPr>
        <w:pStyle w:val="2"/>
        <w:numPr>
          <w:ilvl w:val="0"/>
          <w:numId w:val="11"/>
        </w:numPr>
        <w:rPr>
          <w:lang w:eastAsia="zh-CN"/>
        </w:rPr>
      </w:pPr>
      <w:r>
        <w:rPr>
          <w:rFonts w:hint="eastAsia"/>
          <w:lang w:eastAsia="zh-CN"/>
        </w:rPr>
        <w:t>Multiplexing of SSB and CSI-RS</w:t>
      </w:r>
    </w:p>
    <w:p w:rsidR="00323B2C" w:rsidRDefault="00107DDD">
      <w:pPr>
        <w:jc w:val="both"/>
      </w:pPr>
      <w:bookmarkStart w:id="5" w:name="_GoBack"/>
      <w:bookmarkEnd w:id="5"/>
      <w:r>
        <w:rPr>
          <w:rFonts w:hint="eastAsia"/>
        </w:rPr>
        <w:t>CSI-RS can be multiplexed with SSB in FDM manner. It is agreed that CSI-RS for L1 RSRP can be configured in the same OFDM symbols as an SSB. At the same time, UE should assume the CSI-RS and SSB are QCL-ed with respect to QCL type D due to the fact that only one Tx beam is used for DL transmission from the perspective of gNB in R15. In addition, the UE shall not expect to be configured with the CSI-RS in PRBs that overlap those of the SS/PBCH block, and the UE shall expect that the same subcarrier spacing is used for both the CSI-RS and the SS/PBCH block. The same principle should be reused for CSI-RS for L3 mobility.</w:t>
      </w:r>
    </w:p>
    <w:p w:rsidR="00323B2C" w:rsidRDefault="00107DDD">
      <w:pPr>
        <w:jc w:val="both"/>
      </w:pPr>
      <w:r>
        <w:rPr>
          <w:b/>
          <w:i/>
        </w:rPr>
        <w:t>Proposal</w:t>
      </w:r>
      <w:r>
        <w:rPr>
          <w:rFonts w:hint="eastAsia"/>
          <w:b/>
          <w:i/>
        </w:rPr>
        <w:t xml:space="preserve"> 4: The same multiplexing principle of CSI-RS for BM should be reused for CSI-RS for L3 mobility.</w:t>
      </w:r>
    </w:p>
    <w:p w:rsidR="00323B2C" w:rsidRDefault="00107DDD">
      <w:pPr>
        <w:rPr>
          <w:rFonts w:eastAsia="宋体"/>
          <w:szCs w:val="20"/>
        </w:rPr>
      </w:pPr>
      <w:r>
        <w:rPr>
          <w:rFonts w:hint="eastAsia"/>
          <w:szCs w:val="20"/>
        </w:rPr>
        <w:t>-------------------------</w:t>
      </w:r>
      <w:r>
        <w:rPr>
          <w:rFonts w:eastAsia="宋体" w:hint="eastAsia"/>
          <w:szCs w:val="20"/>
        </w:rPr>
        <w:t>-------------</w:t>
      </w:r>
      <w:r>
        <w:rPr>
          <w:rFonts w:hint="eastAsia"/>
          <w:szCs w:val="20"/>
        </w:rPr>
        <w:t xml:space="preserve">Text Proposal for Section </w:t>
      </w:r>
      <w:r>
        <w:rPr>
          <w:rFonts w:eastAsia="宋体" w:hint="eastAsia"/>
          <w:szCs w:val="20"/>
        </w:rPr>
        <w:t>5.1.6.1.3</w:t>
      </w:r>
      <w:r>
        <w:rPr>
          <w:rFonts w:hint="eastAsia"/>
          <w:szCs w:val="20"/>
        </w:rPr>
        <w:t xml:space="preserve"> in TS38.214--------------------------</w:t>
      </w:r>
      <w:r>
        <w:rPr>
          <w:rFonts w:eastAsia="宋体" w:hint="eastAsia"/>
          <w:szCs w:val="20"/>
        </w:rPr>
        <w:t>-------------</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323B2C">
        <w:tc>
          <w:tcPr>
            <w:tcW w:w="9346" w:type="dxa"/>
          </w:tcPr>
          <w:p w:rsidR="00323B2C" w:rsidRDefault="00107DDD">
            <w:r>
              <w:t xml:space="preserve">If a UE is configured with the higher layer parameters </w:t>
            </w:r>
            <w:r>
              <w:rPr>
                <w:i/>
              </w:rPr>
              <w:t xml:space="preserve">CSI-RS-Resource-Mobility </w:t>
            </w:r>
            <w:r>
              <w:t xml:space="preserve">and </w:t>
            </w:r>
            <w:r>
              <w:rPr>
                <w:i/>
              </w:rPr>
              <w:t>associatedSSB</w:t>
            </w:r>
            <w:r>
              <w:t xml:space="preserve">, the UE may base the timing of the CSI-RS resource on the timing of the cell given by the </w:t>
            </w:r>
            <w:r>
              <w:rPr>
                <w:i/>
              </w:rPr>
              <w:t>Cell_ID</w:t>
            </w:r>
            <w:r>
              <w:t xml:space="preserve"> of the CSI-RS resource configuration. Additionally, for a given CSI-RS resource, if the associated SS/PBCH block is configured but not detected by the UE, the UE is not required to monitor the corresponding CSI-RS resource. The higher layer parameter </w:t>
            </w:r>
            <w:r>
              <w:rPr>
                <w:i/>
              </w:rPr>
              <w:t>isQuasiColocated</w:t>
            </w:r>
            <w:r>
              <w:t xml:space="preserve"> indicates whether the associated SS/PBCH block given by the </w:t>
            </w:r>
            <w:r>
              <w:rPr>
                <w:i/>
              </w:rPr>
              <w:t>associatedSSB</w:t>
            </w:r>
            <w:r>
              <w:t xml:space="preserve"> and the CSI-RS resource(s) are quasi co-located with the associated SS/PBCH block with respect to </w:t>
            </w:r>
            <w:r>
              <w:lastRenderedPageBreak/>
              <w:t>[‘QCL-TypeD’].</w:t>
            </w:r>
            <w:r>
              <w:rPr>
                <w:rFonts w:hint="eastAsia"/>
              </w:rPr>
              <w:t xml:space="preserve"> </w:t>
            </w:r>
          </w:p>
          <w:p w:rsidR="00323B2C" w:rsidRDefault="00107DDD">
            <w:pPr>
              <w:rPr>
                <w:color w:val="FF0000"/>
                <w:u w:val="single"/>
              </w:rPr>
            </w:pPr>
            <w:r>
              <w:rPr>
                <w:rFonts w:hint="eastAsia"/>
                <w:color w:val="FF0000"/>
                <w:u w:val="single"/>
              </w:rPr>
              <w:t>T</w:t>
            </w:r>
            <w:r>
              <w:rPr>
                <w:rFonts w:eastAsia="MS Mincho"/>
                <w:color w:val="FF0000"/>
                <w:u w:val="single"/>
              </w:rPr>
              <w:t>he UE may be configured with the CSI-RS resource in the same OFDM symbol(s) as an SS/PBCH block, and the UE may assume that the CSI-RS and the SS/PBCH block are quasi co-located with ‘QCL-TypeD’ if ‘QCL-TypeD‘ is applicable. Furthermore, the UE shall not expect to be configured with the CSI-RS in PRBs that overlap those of the SS/PBCH block, and the UE shall expect that the same subcarrier spacing is used for both the CSI-RS and the SS/PBCH block.</w:t>
            </w:r>
          </w:p>
        </w:tc>
      </w:tr>
    </w:tbl>
    <w:p w:rsidR="00323B2C" w:rsidRDefault="00323B2C">
      <w:pPr>
        <w:rPr>
          <w:rFonts w:eastAsia="宋体"/>
          <w:szCs w:val="20"/>
        </w:rPr>
      </w:pPr>
    </w:p>
    <w:p w:rsidR="00323B2C" w:rsidRDefault="00107DDD">
      <w:pPr>
        <w:pStyle w:val="2"/>
        <w:numPr>
          <w:ilvl w:val="0"/>
          <w:numId w:val="11"/>
        </w:numPr>
        <w:rPr>
          <w:lang w:eastAsia="zh-CN"/>
        </w:rPr>
      </w:pPr>
      <w:r>
        <w:rPr>
          <w:rFonts w:hint="eastAsia"/>
          <w:lang w:eastAsia="zh-CN"/>
        </w:rPr>
        <w:t>Clarification of useServingCellTimingForSync</w:t>
      </w:r>
    </w:p>
    <w:p w:rsidR="00323B2C" w:rsidRDefault="00107DDD">
      <w:pPr>
        <w:jc w:val="both"/>
      </w:pPr>
      <w:r>
        <w:rPr>
          <w:rFonts w:hint="eastAsia"/>
        </w:rPr>
        <w:t>In RAN1 #AH 1706, we have the following agreements on synchronization indication[1].</w:t>
      </w:r>
    </w:p>
    <w:tbl>
      <w:tblPr>
        <w:tblStyle w:val="afc"/>
        <w:tblW w:w="9242" w:type="dxa"/>
        <w:tblLayout w:type="fixed"/>
        <w:tblLook w:val="04A0" w:firstRow="1" w:lastRow="0" w:firstColumn="1" w:lastColumn="0" w:noHBand="0" w:noVBand="1"/>
      </w:tblPr>
      <w:tblGrid>
        <w:gridCol w:w="9242"/>
      </w:tblGrid>
      <w:tr w:rsidR="00323B2C">
        <w:tc>
          <w:tcPr>
            <w:tcW w:w="9242" w:type="dxa"/>
          </w:tcPr>
          <w:p w:rsidR="00323B2C" w:rsidRDefault="00107DDD">
            <w:pPr>
              <w:rPr>
                <w:rFonts w:eastAsia="MS Mincho"/>
                <w:b/>
                <w:u w:val="single"/>
                <w:lang w:eastAsia="ja-JP"/>
              </w:rPr>
            </w:pPr>
            <w:r>
              <w:rPr>
                <w:rFonts w:eastAsia="MS Mincho" w:hint="eastAsia"/>
                <w:b/>
                <w:highlight w:val="green"/>
                <w:u w:val="single"/>
                <w:lang w:eastAsia="ja-JP"/>
              </w:rPr>
              <w:t>Agreements:</w:t>
            </w:r>
          </w:p>
          <w:p w:rsidR="00323B2C" w:rsidRDefault="00107DDD">
            <w:pPr>
              <w:numPr>
                <w:ilvl w:val="0"/>
                <w:numId w:val="13"/>
              </w:numPr>
              <w:rPr>
                <w:rFonts w:eastAsia="MS Mincho"/>
                <w:lang w:eastAsia="ja-JP"/>
              </w:rPr>
            </w:pPr>
            <w:r>
              <w:rPr>
                <w:rFonts w:eastAsia="MS Mincho" w:hint="eastAsia"/>
                <w:lang w:eastAsia="ja-JP"/>
              </w:rPr>
              <w:t>An indication related to the synchronization information is provided to the UE</w:t>
            </w:r>
          </w:p>
          <w:p w:rsidR="00323B2C" w:rsidRDefault="00107DDD">
            <w:pPr>
              <w:numPr>
                <w:ilvl w:val="1"/>
                <w:numId w:val="13"/>
              </w:numPr>
              <w:rPr>
                <w:rFonts w:eastAsia="MS Mincho"/>
                <w:lang w:eastAsia="ja-JP"/>
              </w:rPr>
            </w:pPr>
            <w:r>
              <w:rPr>
                <w:rFonts w:eastAsia="MS Mincho" w:hint="eastAsia"/>
                <w:lang w:eastAsia="ja-JP"/>
              </w:rPr>
              <w:t xml:space="preserve">When there is the indication for a carrier, UE can utilize serving cell timing to derive the index of SS block transmitted by </w:t>
            </w:r>
            <w:r>
              <w:rPr>
                <w:rFonts w:eastAsia="MS Mincho"/>
                <w:lang w:eastAsia="ja-JP"/>
              </w:rPr>
              <w:t>neighbor</w:t>
            </w:r>
            <w:r>
              <w:rPr>
                <w:rFonts w:eastAsia="MS Mincho" w:hint="eastAsia"/>
                <w:lang w:eastAsia="ja-JP"/>
              </w:rPr>
              <w:t xml:space="preserve"> cell (e.g., radio frame or SFN or symbol level synchronization)</w:t>
            </w:r>
          </w:p>
          <w:p w:rsidR="00323B2C" w:rsidRDefault="00107DDD">
            <w:pPr>
              <w:numPr>
                <w:ilvl w:val="1"/>
                <w:numId w:val="13"/>
              </w:numPr>
              <w:rPr>
                <w:rFonts w:eastAsia="MS Mincho"/>
                <w:lang w:eastAsia="ja-JP"/>
              </w:rPr>
            </w:pPr>
            <w:r>
              <w:rPr>
                <w:rFonts w:eastAsia="MS Mincho" w:hint="eastAsia"/>
                <w:lang w:eastAsia="ja-JP"/>
              </w:rPr>
              <w:t xml:space="preserve">Note that it is up to </w:t>
            </w:r>
            <w:r>
              <w:rPr>
                <w:rFonts w:eastAsia="MS Mincho"/>
                <w:lang w:eastAsia="ja-JP"/>
              </w:rPr>
              <w:t xml:space="preserve">RAN2 </w:t>
            </w:r>
            <w:r>
              <w:rPr>
                <w:rFonts w:eastAsia="MS Mincho" w:hint="eastAsia"/>
                <w:lang w:eastAsia="ja-JP"/>
              </w:rPr>
              <w:t>how to provide this indication</w:t>
            </w:r>
          </w:p>
          <w:p w:rsidR="00323B2C" w:rsidRDefault="00107DDD">
            <w:pPr>
              <w:numPr>
                <w:ilvl w:val="1"/>
                <w:numId w:val="13"/>
              </w:numPr>
              <w:rPr>
                <w:szCs w:val="20"/>
              </w:rPr>
            </w:pPr>
            <w:r>
              <w:rPr>
                <w:rFonts w:eastAsia="MS Mincho" w:hint="eastAsia"/>
                <w:lang w:eastAsia="ja-JP"/>
              </w:rPr>
              <w:t xml:space="preserve">Note that it is up to RAN4 about the feasibility of synchronization and its </w:t>
            </w:r>
            <w:r>
              <w:rPr>
                <w:rFonts w:eastAsia="宋体" w:hint="eastAsia"/>
              </w:rPr>
              <w:t>requirement</w:t>
            </w:r>
          </w:p>
        </w:tc>
      </w:tr>
    </w:tbl>
    <w:p w:rsidR="00323B2C" w:rsidRDefault="00107DDD">
      <w:pPr>
        <w:jc w:val="both"/>
      </w:pPr>
      <w:r>
        <w:rPr>
          <w:rFonts w:hint="eastAsia"/>
        </w:rPr>
        <w:t xml:space="preserve">It is agreed that synchronization information can be indicated for UE to derive SS block index of neighbor cell based on serving cell timing without reading PBCH. It is agreed by RAN2 that this information named as </w:t>
      </w:r>
      <w:r>
        <w:rPr>
          <w:i/>
          <w:iCs/>
        </w:rPr>
        <w:t>useServingCellTimingForSync</w:t>
      </w:r>
      <w:r>
        <w:rPr>
          <w:rFonts w:hint="eastAsia"/>
        </w:rPr>
        <w:t xml:space="preserve"> is provided in the configuration of measurement object. When it is set as true, UE can utilize serving cell timing to derive the index of SS block transmitted by neighbor cell on the carrier. However, it does not mean that all the cells on the carrier are perfectly synchronized, i.e. the timing offset observed by UE between two cells is within a fraction of CP. In the figure below, UE can obtain the SSB index of neighbor cell according to the serving cell timing after PSS/SSS detection as long as the timing offset between the two cells is smaller than 2 OFDM symbols based on the numerology of neighbor cell. If the timing offset is equal to or larger than 2 OFDM symbols, the ambiguity will be caused and UE will not derive the SSB index of neighbor cell based on the serving cell timing. Therefore, UE can</w:t>
      </w:r>
      <w:r>
        <w:t>’t</w:t>
      </w:r>
      <w:r>
        <w:rPr>
          <w:rFonts w:hint="eastAsia"/>
        </w:rPr>
        <w:t xml:space="preserve"> assume the cells on the carrier are synchronized perfectly unless the exact requirement is defined by RAN4 when </w:t>
      </w:r>
      <w:r>
        <w:rPr>
          <w:i/>
          <w:iCs/>
        </w:rPr>
        <w:t>useServingCellTimingForSync</w:t>
      </w:r>
      <w:r>
        <w:rPr>
          <w:rFonts w:hint="eastAsia"/>
        </w:rPr>
        <w:t xml:space="preserve"> is set as true. </w:t>
      </w:r>
    </w:p>
    <w:p w:rsidR="00323B2C" w:rsidRDefault="00107DDD">
      <w:pPr>
        <w:jc w:val="both"/>
        <w:rPr>
          <w:b/>
          <w:i/>
        </w:rPr>
      </w:pPr>
      <w:r>
        <w:rPr>
          <w:rFonts w:hint="eastAsia"/>
          <w:b/>
          <w:i/>
        </w:rPr>
        <w:lastRenderedPageBreak/>
        <w:t xml:space="preserve">Observation 1: UE can derive the SSB index of neighbor cell according to the serving cell timing as long as the timing offset between the two cells is smaller than 2 OFDM symbols based on the numerology of neighbor cell. </w:t>
      </w:r>
    </w:p>
    <w:p w:rsidR="00323B2C" w:rsidRDefault="00107DDD">
      <w:pPr>
        <w:jc w:val="both"/>
      </w:pPr>
      <w:r>
        <w:rPr>
          <w:b/>
          <w:i/>
        </w:rPr>
        <w:t>Proposal</w:t>
      </w:r>
      <w:r>
        <w:rPr>
          <w:rFonts w:hint="eastAsia"/>
          <w:b/>
          <w:i/>
        </w:rPr>
        <w:t xml:space="preserve"> 5: UE can</w:t>
      </w:r>
      <w:r>
        <w:rPr>
          <w:b/>
          <w:i/>
        </w:rPr>
        <w:t>’t</w:t>
      </w:r>
      <w:r>
        <w:rPr>
          <w:rFonts w:hint="eastAsia"/>
          <w:b/>
          <w:i/>
        </w:rPr>
        <w:t xml:space="preserve"> assume the cells on the carrier are synchronized perfectly unless the exact requirement is defined by RAN4 when useServingCellTimingForSync is set as true. </w:t>
      </w:r>
    </w:p>
    <w:p w:rsidR="00323B2C" w:rsidRDefault="00107DDD">
      <w:pPr>
        <w:jc w:val="center"/>
      </w:pPr>
      <w:r>
        <w:object w:dxaOrig="8294" w:dyaOrig="2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50pt" o:ole="">
            <v:imagedata r:id="rId9" o:title=""/>
          </v:shape>
          <o:OLEObject Type="Embed" ProgID="Visio.Drawing.11" ShapeID="_x0000_i1025" DrawAspect="Content" ObjectID="_1587563402" r:id="rId10"/>
        </w:object>
      </w:r>
    </w:p>
    <w:p w:rsidR="00323B2C" w:rsidRDefault="00107DDD">
      <w:pPr>
        <w:jc w:val="center"/>
      </w:pPr>
      <w:r>
        <w:rPr>
          <w:rFonts w:hint="eastAsia"/>
        </w:rPr>
        <w:t>Figure 1 synchronization requirement to derive SSB index of neighbor cell</w:t>
      </w:r>
    </w:p>
    <w:p w:rsidR="00323B2C" w:rsidRDefault="00107DDD">
      <w:pPr>
        <w:pStyle w:val="2"/>
        <w:numPr>
          <w:ilvl w:val="0"/>
          <w:numId w:val="11"/>
        </w:numPr>
        <w:rPr>
          <w:lang w:eastAsia="zh-CN"/>
        </w:rPr>
      </w:pPr>
      <w:r>
        <w:rPr>
          <w:lang w:eastAsia="zh-CN"/>
        </w:rPr>
        <w:t>Conclusions</w:t>
      </w:r>
    </w:p>
    <w:p w:rsidR="00323B2C" w:rsidRDefault="00107DDD">
      <w:pPr>
        <w:spacing w:after="240" w:line="240" w:lineRule="auto"/>
        <w:jc w:val="both"/>
      </w:pPr>
      <w:r>
        <w:t>The following was proposed above:</w:t>
      </w:r>
    </w:p>
    <w:p w:rsidR="00323B2C" w:rsidRDefault="00107DDD">
      <w:pPr>
        <w:spacing w:before="240" w:line="240" w:lineRule="auto"/>
        <w:jc w:val="both"/>
        <w:rPr>
          <w:b/>
          <w:i/>
        </w:rPr>
      </w:pPr>
      <w:bookmarkStart w:id="6" w:name="OLE_LINK11"/>
      <w:r>
        <w:rPr>
          <w:rFonts w:hint="eastAsia"/>
          <w:b/>
          <w:i/>
        </w:rPr>
        <w:t>Observation 1: UE can derive the SSB index of neighbor cell according to the serving cell timing as long as the timing offset between the two cells is smaller than 2 OFDM symbols based on the numerology of neighobr cell.</w:t>
      </w:r>
    </w:p>
    <w:bookmarkEnd w:id="6"/>
    <w:p w:rsidR="00323B2C" w:rsidRDefault="00107DDD">
      <w:pPr>
        <w:spacing w:before="240" w:line="240" w:lineRule="auto"/>
        <w:jc w:val="both"/>
        <w:rPr>
          <w:b/>
          <w:i/>
        </w:rPr>
      </w:pPr>
      <w:r>
        <w:rPr>
          <w:b/>
          <w:i/>
        </w:rPr>
        <w:t xml:space="preserve">Proposal </w:t>
      </w:r>
      <w:r>
        <w:rPr>
          <w:rFonts w:hint="eastAsia"/>
          <w:b/>
          <w:i/>
        </w:rPr>
        <w:t>1</w:t>
      </w:r>
      <w:r>
        <w:rPr>
          <w:b/>
          <w:i/>
        </w:rPr>
        <w:t>: C-DRX UE should not assume the configured CSI-RS resources for L3 mobility are present</w:t>
      </w:r>
      <w:r>
        <w:rPr>
          <w:rFonts w:hint="eastAsia"/>
          <w:b/>
          <w:i/>
        </w:rPr>
        <w:t>ed</w:t>
      </w:r>
      <w:r>
        <w:rPr>
          <w:b/>
          <w:i/>
        </w:rPr>
        <w:t xml:space="preserve"> outside the active time and CSI-RS for L3 mobility is configured only within C-DRX UE’s active time.</w:t>
      </w:r>
    </w:p>
    <w:p w:rsidR="00323B2C" w:rsidRDefault="00107DDD">
      <w:pPr>
        <w:jc w:val="both"/>
      </w:pPr>
      <w:r>
        <w:rPr>
          <w:b/>
          <w:i/>
        </w:rPr>
        <w:t xml:space="preserve">Proposal </w:t>
      </w:r>
      <w:r>
        <w:rPr>
          <w:rFonts w:hint="eastAsia"/>
          <w:b/>
          <w:i/>
        </w:rPr>
        <w:t>2: The SMTC window duration can be shorter than SS burst set and adopt the text proposal above for TS 38.215.</w:t>
      </w:r>
    </w:p>
    <w:p w:rsidR="00323B2C" w:rsidRDefault="00107DDD">
      <w:pPr>
        <w:spacing w:before="240" w:line="240" w:lineRule="auto"/>
        <w:jc w:val="both"/>
        <w:rPr>
          <w:b/>
          <w:i/>
        </w:rPr>
      </w:pPr>
      <w:r>
        <w:rPr>
          <w:b/>
          <w:i/>
        </w:rPr>
        <w:t>Proposal</w:t>
      </w:r>
      <w:r>
        <w:rPr>
          <w:rFonts w:hint="eastAsia"/>
          <w:b/>
          <w:i/>
        </w:rPr>
        <w:t xml:space="preserve"> 3: UE should assume rate matching around SSB REs to get more available resources for PDSCH in FR1. UE should assume rate matching around SSB OFDM symbols to get more flexibility for Rx beam selection in FR2.</w:t>
      </w:r>
    </w:p>
    <w:p w:rsidR="00323B2C" w:rsidRDefault="00107DDD">
      <w:pPr>
        <w:jc w:val="both"/>
      </w:pPr>
      <w:r>
        <w:rPr>
          <w:b/>
          <w:i/>
        </w:rPr>
        <w:t>Proposal</w:t>
      </w:r>
      <w:r>
        <w:rPr>
          <w:rFonts w:hint="eastAsia"/>
          <w:b/>
          <w:i/>
        </w:rPr>
        <w:t xml:space="preserve"> 4: The same multiplexing principle of CSI-RS for BM should be reused for CSI-RS for L3 mobility.</w:t>
      </w:r>
    </w:p>
    <w:p w:rsidR="00323B2C" w:rsidRDefault="00107DDD">
      <w:pPr>
        <w:spacing w:before="240" w:line="240" w:lineRule="auto"/>
        <w:jc w:val="both"/>
        <w:rPr>
          <w:b/>
          <w:i/>
        </w:rPr>
      </w:pPr>
      <w:r>
        <w:rPr>
          <w:b/>
          <w:i/>
        </w:rPr>
        <w:t>Proposal</w:t>
      </w:r>
      <w:r>
        <w:rPr>
          <w:rFonts w:hint="eastAsia"/>
          <w:b/>
          <w:i/>
        </w:rPr>
        <w:t xml:space="preserve"> 5: UE can</w:t>
      </w:r>
      <w:r>
        <w:rPr>
          <w:b/>
          <w:i/>
        </w:rPr>
        <w:t>’t</w:t>
      </w:r>
      <w:r>
        <w:rPr>
          <w:rFonts w:hint="eastAsia"/>
          <w:b/>
          <w:i/>
        </w:rPr>
        <w:t xml:space="preserve"> assume the cells on the carrier are synchronized perfectly unless the exact requirement is defined by RAN4 when useServingCellTimingForSync is set as true.</w:t>
      </w:r>
    </w:p>
    <w:p w:rsidR="00323B2C" w:rsidRDefault="00107DDD">
      <w:pPr>
        <w:pStyle w:val="2"/>
        <w:rPr>
          <w:b/>
        </w:rPr>
      </w:pPr>
      <w:r>
        <w:lastRenderedPageBreak/>
        <w:t>References</w:t>
      </w:r>
    </w:p>
    <w:p w:rsidR="00323B2C" w:rsidRDefault="00107DDD">
      <w:pPr>
        <w:pStyle w:val="13"/>
        <w:numPr>
          <w:ilvl w:val="0"/>
          <w:numId w:val="14"/>
        </w:numPr>
        <w:ind w:left="426" w:firstLineChars="0"/>
        <w:jc w:val="both"/>
        <w:rPr>
          <w:iCs/>
          <w:szCs w:val="20"/>
        </w:rPr>
      </w:pPr>
      <w:bookmarkStart w:id="7" w:name="OLE_LINK14"/>
      <w:bookmarkStart w:id="8" w:name="_Ref485216537"/>
      <w:r>
        <w:rPr>
          <w:rFonts w:hint="eastAsia"/>
          <w:iCs/>
          <w:szCs w:val="20"/>
        </w:rPr>
        <w:t>Chairman</w:t>
      </w:r>
      <w:r>
        <w:rPr>
          <w:iCs/>
          <w:szCs w:val="20"/>
        </w:rPr>
        <w:t>’</w:t>
      </w:r>
      <w:r>
        <w:rPr>
          <w:rFonts w:hint="eastAsia"/>
          <w:iCs/>
          <w:szCs w:val="20"/>
        </w:rPr>
        <w:t>s notes RAN1#NR AH1706, 2017-06</w:t>
      </w:r>
    </w:p>
    <w:bookmarkEnd w:id="7"/>
    <w:bookmarkEnd w:id="8"/>
    <w:p w:rsidR="00323B2C" w:rsidRDefault="00107DDD">
      <w:pPr>
        <w:pStyle w:val="13"/>
        <w:numPr>
          <w:ilvl w:val="0"/>
          <w:numId w:val="14"/>
        </w:numPr>
        <w:ind w:left="426" w:firstLineChars="0"/>
        <w:jc w:val="both"/>
        <w:rPr>
          <w:iCs/>
          <w:szCs w:val="20"/>
        </w:rPr>
      </w:pPr>
      <w:r>
        <w:rPr>
          <w:iCs/>
          <w:szCs w:val="20"/>
        </w:rPr>
        <w:t>Chairman’s notes RAN1#</w:t>
      </w:r>
      <w:r>
        <w:rPr>
          <w:rFonts w:hint="eastAsia"/>
          <w:iCs/>
          <w:szCs w:val="20"/>
        </w:rPr>
        <w:t>90</w:t>
      </w:r>
      <w:r>
        <w:rPr>
          <w:iCs/>
          <w:szCs w:val="20"/>
        </w:rPr>
        <w:t>, 2017-0</w:t>
      </w:r>
      <w:r>
        <w:rPr>
          <w:rFonts w:hint="eastAsia"/>
          <w:iCs/>
          <w:szCs w:val="20"/>
        </w:rPr>
        <w:t>8</w:t>
      </w:r>
    </w:p>
    <w:p w:rsidR="00323B2C" w:rsidRDefault="00107DDD">
      <w:pPr>
        <w:pStyle w:val="13"/>
        <w:numPr>
          <w:ilvl w:val="0"/>
          <w:numId w:val="14"/>
        </w:numPr>
        <w:ind w:left="426" w:firstLineChars="0"/>
        <w:jc w:val="both"/>
        <w:rPr>
          <w:iCs/>
          <w:szCs w:val="20"/>
        </w:rPr>
      </w:pPr>
      <w:r>
        <w:rPr>
          <w:rFonts w:hint="eastAsia"/>
          <w:iCs/>
          <w:szCs w:val="20"/>
        </w:rPr>
        <w:t>TS38.133-f00</w:t>
      </w:r>
    </w:p>
    <w:p w:rsidR="00323B2C" w:rsidRDefault="00323B2C">
      <w:pPr>
        <w:pStyle w:val="ListParagraph1"/>
        <w:numPr>
          <w:ilvl w:val="255"/>
          <w:numId w:val="0"/>
        </w:numPr>
        <w:ind w:firstLineChars="200" w:firstLine="400"/>
        <w:jc w:val="both"/>
        <w:rPr>
          <w:lang w:eastAsia="en-US"/>
        </w:rPr>
      </w:pPr>
    </w:p>
    <w:sectPr w:rsidR="00323B2C">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852" w:rsidRDefault="00107DDD">
      <w:pPr>
        <w:spacing w:after="0" w:line="240" w:lineRule="auto"/>
      </w:pPr>
      <w:r>
        <w:separator/>
      </w:r>
    </w:p>
  </w:endnote>
  <w:endnote w:type="continuationSeparator" w:id="0">
    <w:p w:rsidR="00B61852" w:rsidRDefault="00107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KaiTi_GB2312">
    <w:altName w:val="Segoe Print"/>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B2C" w:rsidRDefault="00107DDD">
    <w:pPr>
      <w:pStyle w:val="af"/>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323B2C" w:rsidRDefault="00323B2C">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B2C" w:rsidRDefault="00107DDD">
    <w:pPr>
      <w:pStyle w:val="af"/>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852" w:rsidRDefault="00107DDD">
      <w:pPr>
        <w:spacing w:after="0" w:line="240" w:lineRule="auto"/>
      </w:pPr>
      <w:r>
        <w:separator/>
      </w:r>
    </w:p>
  </w:footnote>
  <w:footnote w:type="continuationSeparator" w:id="0">
    <w:p w:rsidR="00B61852" w:rsidRDefault="00107D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B2C" w:rsidRDefault="00323B2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1"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 w15:restartNumberingAfterBreak="0">
    <w:nsid w:val="5B297B27"/>
    <w:multiLevelType w:val="multilevel"/>
    <w:tmpl w:val="5B297B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521A3E"/>
    <w:multiLevelType w:val="multilevel"/>
    <w:tmpl w:val="5F521A3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F9346EA"/>
    <w:multiLevelType w:val="multilevel"/>
    <w:tmpl w:val="5F9346EA"/>
    <w:lvl w:ilvl="0">
      <w:start w:val="1"/>
      <w:numFmt w:val="bullet"/>
      <w:lvlText w:val="-"/>
      <w:lvlJc w:val="left"/>
      <w:pPr>
        <w:tabs>
          <w:tab w:val="left" w:pos="720"/>
        </w:tabs>
        <w:ind w:left="720" w:hanging="360"/>
      </w:pPr>
      <w:rPr>
        <w:rFonts w:ascii="Calibri" w:hAnsi="Calibri" w:hint="default"/>
      </w:rPr>
    </w:lvl>
    <w:lvl w:ilvl="1">
      <w:start w:val="2629"/>
      <w:numFmt w:val="bullet"/>
      <w:lvlText w:val="o"/>
      <w:lvlJc w:val="left"/>
      <w:pPr>
        <w:tabs>
          <w:tab w:val="left" w:pos="1440"/>
        </w:tabs>
        <w:ind w:left="1440" w:hanging="360"/>
      </w:pPr>
      <w:rPr>
        <w:rFonts w:ascii="Courier New" w:hAnsi="Courier New" w:hint="default"/>
      </w:rPr>
    </w:lvl>
    <w:lvl w:ilvl="2">
      <w:start w:val="2629"/>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4"/>
  </w:num>
  <w:num w:numId="3">
    <w:abstractNumId w:val="1"/>
  </w:num>
  <w:num w:numId="4">
    <w:abstractNumId w:val="2"/>
  </w:num>
  <w:num w:numId="5">
    <w:abstractNumId w:val="5"/>
  </w:num>
  <w:num w:numId="6">
    <w:abstractNumId w:val="6"/>
  </w:num>
  <w:num w:numId="7">
    <w:abstractNumId w:val="13"/>
  </w:num>
  <w:num w:numId="8">
    <w:abstractNumId w:val="7"/>
  </w:num>
  <w:num w:numId="9">
    <w:abstractNumId w:val="11"/>
  </w:num>
  <w:num w:numId="10">
    <w:abstractNumId w:val="3"/>
  </w:num>
  <w:num w:numId="11">
    <w:abstractNumId w:val="9"/>
  </w:num>
  <w:num w:numId="12">
    <w:abstractNumId w:val="10"/>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DBA"/>
    <w:rsid w:val="000002D5"/>
    <w:rsid w:val="000003ED"/>
    <w:rsid w:val="00002E9B"/>
    <w:rsid w:val="00004D9B"/>
    <w:rsid w:val="00005A6E"/>
    <w:rsid w:val="00007324"/>
    <w:rsid w:val="00014964"/>
    <w:rsid w:val="00014C80"/>
    <w:rsid w:val="00014F0D"/>
    <w:rsid w:val="00015582"/>
    <w:rsid w:val="0001694E"/>
    <w:rsid w:val="0001696F"/>
    <w:rsid w:val="00023E7F"/>
    <w:rsid w:val="0002532C"/>
    <w:rsid w:val="00027F39"/>
    <w:rsid w:val="000314BE"/>
    <w:rsid w:val="00031B50"/>
    <w:rsid w:val="0003612C"/>
    <w:rsid w:val="000406B7"/>
    <w:rsid w:val="000411C0"/>
    <w:rsid w:val="00041CF2"/>
    <w:rsid w:val="0004434E"/>
    <w:rsid w:val="0004471A"/>
    <w:rsid w:val="00051194"/>
    <w:rsid w:val="00051696"/>
    <w:rsid w:val="00052635"/>
    <w:rsid w:val="00052B94"/>
    <w:rsid w:val="00053328"/>
    <w:rsid w:val="00055C73"/>
    <w:rsid w:val="000605BA"/>
    <w:rsid w:val="00060703"/>
    <w:rsid w:val="00060E49"/>
    <w:rsid w:val="000624CA"/>
    <w:rsid w:val="00062F96"/>
    <w:rsid w:val="000650EB"/>
    <w:rsid w:val="00065E37"/>
    <w:rsid w:val="0006799E"/>
    <w:rsid w:val="00070277"/>
    <w:rsid w:val="00070497"/>
    <w:rsid w:val="000704D9"/>
    <w:rsid w:val="0007080B"/>
    <w:rsid w:val="000709EF"/>
    <w:rsid w:val="00070EBD"/>
    <w:rsid w:val="00071281"/>
    <w:rsid w:val="0007169D"/>
    <w:rsid w:val="000724F7"/>
    <w:rsid w:val="00072A71"/>
    <w:rsid w:val="0007415F"/>
    <w:rsid w:val="000753C1"/>
    <w:rsid w:val="000758FD"/>
    <w:rsid w:val="00075E59"/>
    <w:rsid w:val="00077251"/>
    <w:rsid w:val="00077BAE"/>
    <w:rsid w:val="00081796"/>
    <w:rsid w:val="00081FD6"/>
    <w:rsid w:val="000838FC"/>
    <w:rsid w:val="00083A58"/>
    <w:rsid w:val="00083F29"/>
    <w:rsid w:val="00083F98"/>
    <w:rsid w:val="000840B8"/>
    <w:rsid w:val="00086A29"/>
    <w:rsid w:val="00087364"/>
    <w:rsid w:val="00090E70"/>
    <w:rsid w:val="00091B52"/>
    <w:rsid w:val="00092939"/>
    <w:rsid w:val="00095581"/>
    <w:rsid w:val="00095947"/>
    <w:rsid w:val="00096569"/>
    <w:rsid w:val="000966AB"/>
    <w:rsid w:val="0009782B"/>
    <w:rsid w:val="000A01F5"/>
    <w:rsid w:val="000A27B9"/>
    <w:rsid w:val="000A2DC7"/>
    <w:rsid w:val="000A2EBC"/>
    <w:rsid w:val="000A32E0"/>
    <w:rsid w:val="000A502D"/>
    <w:rsid w:val="000A795C"/>
    <w:rsid w:val="000B15C9"/>
    <w:rsid w:val="000B2582"/>
    <w:rsid w:val="000B3420"/>
    <w:rsid w:val="000B5C7B"/>
    <w:rsid w:val="000B7207"/>
    <w:rsid w:val="000B7610"/>
    <w:rsid w:val="000C1E08"/>
    <w:rsid w:val="000C6B91"/>
    <w:rsid w:val="000C721B"/>
    <w:rsid w:val="000D5FF3"/>
    <w:rsid w:val="000D64BB"/>
    <w:rsid w:val="000D65D7"/>
    <w:rsid w:val="000D68C4"/>
    <w:rsid w:val="000D760C"/>
    <w:rsid w:val="000D793E"/>
    <w:rsid w:val="000E13C1"/>
    <w:rsid w:val="000E1937"/>
    <w:rsid w:val="000E2F2E"/>
    <w:rsid w:val="000E3FBD"/>
    <w:rsid w:val="000E44B7"/>
    <w:rsid w:val="000F2AB2"/>
    <w:rsid w:val="000F407E"/>
    <w:rsid w:val="000F4F1E"/>
    <w:rsid w:val="000F4F40"/>
    <w:rsid w:val="00100B78"/>
    <w:rsid w:val="0010212F"/>
    <w:rsid w:val="001039AC"/>
    <w:rsid w:val="001072DE"/>
    <w:rsid w:val="00107DDD"/>
    <w:rsid w:val="00111185"/>
    <w:rsid w:val="00112AC8"/>
    <w:rsid w:val="0011367A"/>
    <w:rsid w:val="001146A0"/>
    <w:rsid w:val="00116121"/>
    <w:rsid w:val="0011709C"/>
    <w:rsid w:val="00117508"/>
    <w:rsid w:val="001179D7"/>
    <w:rsid w:val="0012178E"/>
    <w:rsid w:val="00121834"/>
    <w:rsid w:val="00123655"/>
    <w:rsid w:val="00126145"/>
    <w:rsid w:val="00127D7C"/>
    <w:rsid w:val="001318B4"/>
    <w:rsid w:val="00132828"/>
    <w:rsid w:val="00133880"/>
    <w:rsid w:val="00136836"/>
    <w:rsid w:val="00140521"/>
    <w:rsid w:val="00140F02"/>
    <w:rsid w:val="00142EE8"/>
    <w:rsid w:val="0014399F"/>
    <w:rsid w:val="00143E06"/>
    <w:rsid w:val="00144065"/>
    <w:rsid w:val="001442F6"/>
    <w:rsid w:val="00145121"/>
    <w:rsid w:val="0014740A"/>
    <w:rsid w:val="001475A2"/>
    <w:rsid w:val="001477A7"/>
    <w:rsid w:val="00150610"/>
    <w:rsid w:val="00151481"/>
    <w:rsid w:val="00152F27"/>
    <w:rsid w:val="00154C97"/>
    <w:rsid w:val="00155514"/>
    <w:rsid w:val="00157DF3"/>
    <w:rsid w:val="00161014"/>
    <w:rsid w:val="00161A9A"/>
    <w:rsid w:val="00164066"/>
    <w:rsid w:val="0016721B"/>
    <w:rsid w:val="00170048"/>
    <w:rsid w:val="00170B55"/>
    <w:rsid w:val="00171139"/>
    <w:rsid w:val="001721E6"/>
    <w:rsid w:val="001742D5"/>
    <w:rsid w:val="00174436"/>
    <w:rsid w:val="00175199"/>
    <w:rsid w:val="001767E6"/>
    <w:rsid w:val="0018036E"/>
    <w:rsid w:val="00180466"/>
    <w:rsid w:val="001825DA"/>
    <w:rsid w:val="00183A36"/>
    <w:rsid w:val="001841A8"/>
    <w:rsid w:val="00184AF5"/>
    <w:rsid w:val="001856E7"/>
    <w:rsid w:val="00185733"/>
    <w:rsid w:val="00185B0F"/>
    <w:rsid w:val="00187397"/>
    <w:rsid w:val="00190A8D"/>
    <w:rsid w:val="001945DC"/>
    <w:rsid w:val="00194BDB"/>
    <w:rsid w:val="0019542C"/>
    <w:rsid w:val="00195D7A"/>
    <w:rsid w:val="00196645"/>
    <w:rsid w:val="001A29FE"/>
    <w:rsid w:val="001A5421"/>
    <w:rsid w:val="001A674C"/>
    <w:rsid w:val="001A718F"/>
    <w:rsid w:val="001B21A1"/>
    <w:rsid w:val="001B2CDE"/>
    <w:rsid w:val="001B2CE5"/>
    <w:rsid w:val="001B48B3"/>
    <w:rsid w:val="001B594D"/>
    <w:rsid w:val="001B7B19"/>
    <w:rsid w:val="001B7CE7"/>
    <w:rsid w:val="001C05BA"/>
    <w:rsid w:val="001C06FA"/>
    <w:rsid w:val="001C2A1C"/>
    <w:rsid w:val="001C37C0"/>
    <w:rsid w:val="001C3DF5"/>
    <w:rsid w:val="001D072E"/>
    <w:rsid w:val="001D1BAF"/>
    <w:rsid w:val="001D20A0"/>
    <w:rsid w:val="001D3F01"/>
    <w:rsid w:val="001D5F96"/>
    <w:rsid w:val="001D6048"/>
    <w:rsid w:val="001D7190"/>
    <w:rsid w:val="001E011E"/>
    <w:rsid w:val="001E090F"/>
    <w:rsid w:val="001E0A05"/>
    <w:rsid w:val="001E0CFA"/>
    <w:rsid w:val="001E4852"/>
    <w:rsid w:val="001E6124"/>
    <w:rsid w:val="001E65DD"/>
    <w:rsid w:val="001E6819"/>
    <w:rsid w:val="001E78A8"/>
    <w:rsid w:val="001E7A14"/>
    <w:rsid w:val="001F048F"/>
    <w:rsid w:val="001F0617"/>
    <w:rsid w:val="001F57BD"/>
    <w:rsid w:val="001F5B0C"/>
    <w:rsid w:val="001F5FA0"/>
    <w:rsid w:val="001F703D"/>
    <w:rsid w:val="001F7D46"/>
    <w:rsid w:val="00201E0A"/>
    <w:rsid w:val="00202154"/>
    <w:rsid w:val="0020218A"/>
    <w:rsid w:val="002049B8"/>
    <w:rsid w:val="0020686F"/>
    <w:rsid w:val="002102C1"/>
    <w:rsid w:val="002123D6"/>
    <w:rsid w:val="00214D7D"/>
    <w:rsid w:val="0021536D"/>
    <w:rsid w:val="00215816"/>
    <w:rsid w:val="00215F64"/>
    <w:rsid w:val="00217556"/>
    <w:rsid w:val="002178EE"/>
    <w:rsid w:val="00220CE0"/>
    <w:rsid w:val="00221120"/>
    <w:rsid w:val="00224213"/>
    <w:rsid w:val="00224645"/>
    <w:rsid w:val="0022556B"/>
    <w:rsid w:val="0022597F"/>
    <w:rsid w:val="00225C26"/>
    <w:rsid w:val="00226D96"/>
    <w:rsid w:val="0022720E"/>
    <w:rsid w:val="002274A1"/>
    <w:rsid w:val="00227FD4"/>
    <w:rsid w:val="002328D6"/>
    <w:rsid w:val="00233288"/>
    <w:rsid w:val="002333B7"/>
    <w:rsid w:val="00234117"/>
    <w:rsid w:val="00234250"/>
    <w:rsid w:val="002363A9"/>
    <w:rsid w:val="00236BA1"/>
    <w:rsid w:val="0023798F"/>
    <w:rsid w:val="00244D42"/>
    <w:rsid w:val="0024567E"/>
    <w:rsid w:val="002456CE"/>
    <w:rsid w:val="00247311"/>
    <w:rsid w:val="00247F79"/>
    <w:rsid w:val="002519B7"/>
    <w:rsid w:val="00251E7C"/>
    <w:rsid w:val="002525F2"/>
    <w:rsid w:val="0025287B"/>
    <w:rsid w:val="002530C6"/>
    <w:rsid w:val="002533B8"/>
    <w:rsid w:val="00253440"/>
    <w:rsid w:val="0025650E"/>
    <w:rsid w:val="002641EA"/>
    <w:rsid w:val="00266730"/>
    <w:rsid w:val="00267558"/>
    <w:rsid w:val="0026790F"/>
    <w:rsid w:val="00271BFE"/>
    <w:rsid w:val="00272467"/>
    <w:rsid w:val="002724C1"/>
    <w:rsid w:val="0027255D"/>
    <w:rsid w:val="00272AD2"/>
    <w:rsid w:val="00272B00"/>
    <w:rsid w:val="00273A29"/>
    <w:rsid w:val="00273DE9"/>
    <w:rsid w:val="00274701"/>
    <w:rsid w:val="00275D0E"/>
    <w:rsid w:val="002769A3"/>
    <w:rsid w:val="0027765B"/>
    <w:rsid w:val="00283F82"/>
    <w:rsid w:val="0028413E"/>
    <w:rsid w:val="00284B7D"/>
    <w:rsid w:val="00285137"/>
    <w:rsid w:val="00287DDB"/>
    <w:rsid w:val="0029127B"/>
    <w:rsid w:val="002937D9"/>
    <w:rsid w:val="002938A5"/>
    <w:rsid w:val="00294907"/>
    <w:rsid w:val="00295775"/>
    <w:rsid w:val="002960F4"/>
    <w:rsid w:val="00296698"/>
    <w:rsid w:val="002973B9"/>
    <w:rsid w:val="002973C9"/>
    <w:rsid w:val="002974D4"/>
    <w:rsid w:val="002A2FA8"/>
    <w:rsid w:val="002A3C50"/>
    <w:rsid w:val="002A3E5A"/>
    <w:rsid w:val="002A54A2"/>
    <w:rsid w:val="002A580E"/>
    <w:rsid w:val="002A62F7"/>
    <w:rsid w:val="002A6E14"/>
    <w:rsid w:val="002B09BE"/>
    <w:rsid w:val="002B40F3"/>
    <w:rsid w:val="002B4D7C"/>
    <w:rsid w:val="002B62A3"/>
    <w:rsid w:val="002B66F7"/>
    <w:rsid w:val="002B6BAA"/>
    <w:rsid w:val="002B7DE8"/>
    <w:rsid w:val="002C09CF"/>
    <w:rsid w:val="002C1206"/>
    <w:rsid w:val="002C2792"/>
    <w:rsid w:val="002C28B3"/>
    <w:rsid w:val="002C32E5"/>
    <w:rsid w:val="002C368B"/>
    <w:rsid w:val="002C370A"/>
    <w:rsid w:val="002C478D"/>
    <w:rsid w:val="002C58B2"/>
    <w:rsid w:val="002C7B26"/>
    <w:rsid w:val="002D02D4"/>
    <w:rsid w:val="002D0728"/>
    <w:rsid w:val="002D10A8"/>
    <w:rsid w:val="002D35FA"/>
    <w:rsid w:val="002D38D1"/>
    <w:rsid w:val="002D3FEE"/>
    <w:rsid w:val="002D5BFF"/>
    <w:rsid w:val="002D6B6C"/>
    <w:rsid w:val="002E12C1"/>
    <w:rsid w:val="002E441D"/>
    <w:rsid w:val="002E4C97"/>
    <w:rsid w:val="002E5332"/>
    <w:rsid w:val="002E6FD7"/>
    <w:rsid w:val="002E794D"/>
    <w:rsid w:val="002F0126"/>
    <w:rsid w:val="002F0B40"/>
    <w:rsid w:val="002F2FF2"/>
    <w:rsid w:val="002F3759"/>
    <w:rsid w:val="002F5517"/>
    <w:rsid w:val="002F6E8E"/>
    <w:rsid w:val="002F7C7C"/>
    <w:rsid w:val="003014EB"/>
    <w:rsid w:val="00304E41"/>
    <w:rsid w:val="00305907"/>
    <w:rsid w:val="0030773F"/>
    <w:rsid w:val="00310227"/>
    <w:rsid w:val="00310A97"/>
    <w:rsid w:val="00312681"/>
    <w:rsid w:val="003126CC"/>
    <w:rsid w:val="003128D3"/>
    <w:rsid w:val="00312C1A"/>
    <w:rsid w:val="00312DD1"/>
    <w:rsid w:val="00313E5D"/>
    <w:rsid w:val="003151C1"/>
    <w:rsid w:val="0031570F"/>
    <w:rsid w:val="003162A2"/>
    <w:rsid w:val="00317337"/>
    <w:rsid w:val="00320818"/>
    <w:rsid w:val="00321F48"/>
    <w:rsid w:val="00323309"/>
    <w:rsid w:val="00323B2C"/>
    <w:rsid w:val="003260A8"/>
    <w:rsid w:val="00326600"/>
    <w:rsid w:val="00330B7F"/>
    <w:rsid w:val="0033176D"/>
    <w:rsid w:val="00333E28"/>
    <w:rsid w:val="003340AF"/>
    <w:rsid w:val="00337150"/>
    <w:rsid w:val="0033751D"/>
    <w:rsid w:val="00341B32"/>
    <w:rsid w:val="00346CE0"/>
    <w:rsid w:val="003504B5"/>
    <w:rsid w:val="00351ED4"/>
    <w:rsid w:val="003533A7"/>
    <w:rsid w:val="00353C62"/>
    <w:rsid w:val="00354E35"/>
    <w:rsid w:val="00356CD7"/>
    <w:rsid w:val="00356D53"/>
    <w:rsid w:val="00360683"/>
    <w:rsid w:val="003631E5"/>
    <w:rsid w:val="003664A9"/>
    <w:rsid w:val="00367F59"/>
    <w:rsid w:val="00373017"/>
    <w:rsid w:val="00377306"/>
    <w:rsid w:val="003811CA"/>
    <w:rsid w:val="00383282"/>
    <w:rsid w:val="0038528B"/>
    <w:rsid w:val="00386553"/>
    <w:rsid w:val="00386EFC"/>
    <w:rsid w:val="0039092A"/>
    <w:rsid w:val="0039096E"/>
    <w:rsid w:val="00391673"/>
    <w:rsid w:val="00392963"/>
    <w:rsid w:val="003935A6"/>
    <w:rsid w:val="00394680"/>
    <w:rsid w:val="003946D4"/>
    <w:rsid w:val="0039600F"/>
    <w:rsid w:val="003962AF"/>
    <w:rsid w:val="003969B2"/>
    <w:rsid w:val="003A13E4"/>
    <w:rsid w:val="003A299A"/>
    <w:rsid w:val="003A2A06"/>
    <w:rsid w:val="003A3800"/>
    <w:rsid w:val="003A4BC6"/>
    <w:rsid w:val="003A4CF0"/>
    <w:rsid w:val="003A54C5"/>
    <w:rsid w:val="003A6500"/>
    <w:rsid w:val="003B0021"/>
    <w:rsid w:val="003B0808"/>
    <w:rsid w:val="003B3883"/>
    <w:rsid w:val="003B40ED"/>
    <w:rsid w:val="003B4151"/>
    <w:rsid w:val="003B46C8"/>
    <w:rsid w:val="003B5CF4"/>
    <w:rsid w:val="003C18A9"/>
    <w:rsid w:val="003C27E8"/>
    <w:rsid w:val="003C361A"/>
    <w:rsid w:val="003C3674"/>
    <w:rsid w:val="003C3FCC"/>
    <w:rsid w:val="003C70DA"/>
    <w:rsid w:val="003C7996"/>
    <w:rsid w:val="003C7F12"/>
    <w:rsid w:val="003D2633"/>
    <w:rsid w:val="003D2D35"/>
    <w:rsid w:val="003D3730"/>
    <w:rsid w:val="003D3EDC"/>
    <w:rsid w:val="003D472E"/>
    <w:rsid w:val="003D4CBE"/>
    <w:rsid w:val="003D7320"/>
    <w:rsid w:val="003E0A5A"/>
    <w:rsid w:val="003E33B1"/>
    <w:rsid w:val="003F043F"/>
    <w:rsid w:val="003F1D01"/>
    <w:rsid w:val="003F28BC"/>
    <w:rsid w:val="003F448B"/>
    <w:rsid w:val="003F546E"/>
    <w:rsid w:val="003F58F6"/>
    <w:rsid w:val="004000BE"/>
    <w:rsid w:val="004019E1"/>
    <w:rsid w:val="00401A8A"/>
    <w:rsid w:val="00401F9A"/>
    <w:rsid w:val="004043F0"/>
    <w:rsid w:val="0040477F"/>
    <w:rsid w:val="00405E21"/>
    <w:rsid w:val="0040663A"/>
    <w:rsid w:val="004074BD"/>
    <w:rsid w:val="00411AA7"/>
    <w:rsid w:val="00412643"/>
    <w:rsid w:val="00412AFA"/>
    <w:rsid w:val="00413229"/>
    <w:rsid w:val="004137FF"/>
    <w:rsid w:val="004143B4"/>
    <w:rsid w:val="004147B5"/>
    <w:rsid w:val="00414D93"/>
    <w:rsid w:val="004163D1"/>
    <w:rsid w:val="00420162"/>
    <w:rsid w:val="00420445"/>
    <w:rsid w:val="00420822"/>
    <w:rsid w:val="0042159B"/>
    <w:rsid w:val="00423369"/>
    <w:rsid w:val="00423C2D"/>
    <w:rsid w:val="00425DF0"/>
    <w:rsid w:val="004262D3"/>
    <w:rsid w:val="004265A0"/>
    <w:rsid w:val="00426D49"/>
    <w:rsid w:val="00427746"/>
    <w:rsid w:val="00427917"/>
    <w:rsid w:val="00432BCA"/>
    <w:rsid w:val="004331D7"/>
    <w:rsid w:val="00435AD0"/>
    <w:rsid w:val="004375F4"/>
    <w:rsid w:val="004404DB"/>
    <w:rsid w:val="00441AA1"/>
    <w:rsid w:val="004428A3"/>
    <w:rsid w:val="00442B95"/>
    <w:rsid w:val="00443CA7"/>
    <w:rsid w:val="00444E65"/>
    <w:rsid w:val="00446005"/>
    <w:rsid w:val="00446AE1"/>
    <w:rsid w:val="00447379"/>
    <w:rsid w:val="0044782C"/>
    <w:rsid w:val="00451934"/>
    <w:rsid w:val="00454E69"/>
    <w:rsid w:val="0046088D"/>
    <w:rsid w:val="00461C5A"/>
    <w:rsid w:val="0046454E"/>
    <w:rsid w:val="004656EE"/>
    <w:rsid w:val="00466205"/>
    <w:rsid w:val="00466A01"/>
    <w:rsid w:val="00476687"/>
    <w:rsid w:val="00477C38"/>
    <w:rsid w:val="0048006F"/>
    <w:rsid w:val="0048204D"/>
    <w:rsid w:val="004860DF"/>
    <w:rsid w:val="004877DF"/>
    <w:rsid w:val="00487887"/>
    <w:rsid w:val="0049275B"/>
    <w:rsid w:val="00493C58"/>
    <w:rsid w:val="00496761"/>
    <w:rsid w:val="00496C3B"/>
    <w:rsid w:val="00496CF4"/>
    <w:rsid w:val="004976F3"/>
    <w:rsid w:val="004A0A1F"/>
    <w:rsid w:val="004A52C5"/>
    <w:rsid w:val="004A7DD0"/>
    <w:rsid w:val="004B0201"/>
    <w:rsid w:val="004B321C"/>
    <w:rsid w:val="004B77E3"/>
    <w:rsid w:val="004C0DB9"/>
    <w:rsid w:val="004C1005"/>
    <w:rsid w:val="004C145A"/>
    <w:rsid w:val="004C17E9"/>
    <w:rsid w:val="004C3D99"/>
    <w:rsid w:val="004C46E1"/>
    <w:rsid w:val="004C5861"/>
    <w:rsid w:val="004C5904"/>
    <w:rsid w:val="004C63EE"/>
    <w:rsid w:val="004C6A8B"/>
    <w:rsid w:val="004D10DB"/>
    <w:rsid w:val="004D15BB"/>
    <w:rsid w:val="004D1EE6"/>
    <w:rsid w:val="004D28B9"/>
    <w:rsid w:val="004D3881"/>
    <w:rsid w:val="004D3A83"/>
    <w:rsid w:val="004D6142"/>
    <w:rsid w:val="004D659F"/>
    <w:rsid w:val="004E3ED2"/>
    <w:rsid w:val="004E45F0"/>
    <w:rsid w:val="004E47E2"/>
    <w:rsid w:val="004E5133"/>
    <w:rsid w:val="004E6CD1"/>
    <w:rsid w:val="004E72AC"/>
    <w:rsid w:val="004E78E8"/>
    <w:rsid w:val="004F1E6B"/>
    <w:rsid w:val="004F23D9"/>
    <w:rsid w:val="004F32B2"/>
    <w:rsid w:val="004F4788"/>
    <w:rsid w:val="004F6D2F"/>
    <w:rsid w:val="00501BD7"/>
    <w:rsid w:val="00503289"/>
    <w:rsid w:val="00504BCA"/>
    <w:rsid w:val="00504C60"/>
    <w:rsid w:val="00506A83"/>
    <w:rsid w:val="00506DC9"/>
    <w:rsid w:val="0051029C"/>
    <w:rsid w:val="00513F6E"/>
    <w:rsid w:val="00515626"/>
    <w:rsid w:val="00521828"/>
    <w:rsid w:val="005220E0"/>
    <w:rsid w:val="00522BE2"/>
    <w:rsid w:val="005253C8"/>
    <w:rsid w:val="0052599D"/>
    <w:rsid w:val="00526223"/>
    <w:rsid w:val="005274F3"/>
    <w:rsid w:val="00530886"/>
    <w:rsid w:val="00532A42"/>
    <w:rsid w:val="00532C95"/>
    <w:rsid w:val="00532D9C"/>
    <w:rsid w:val="005343AC"/>
    <w:rsid w:val="00535E08"/>
    <w:rsid w:val="005363C8"/>
    <w:rsid w:val="00536B5C"/>
    <w:rsid w:val="00546F7A"/>
    <w:rsid w:val="00550DFF"/>
    <w:rsid w:val="00550F30"/>
    <w:rsid w:val="00551D99"/>
    <w:rsid w:val="00553F2B"/>
    <w:rsid w:val="00555AF4"/>
    <w:rsid w:val="00555AFA"/>
    <w:rsid w:val="005573A0"/>
    <w:rsid w:val="00557A2B"/>
    <w:rsid w:val="00564E4E"/>
    <w:rsid w:val="00565697"/>
    <w:rsid w:val="0056599C"/>
    <w:rsid w:val="00565F51"/>
    <w:rsid w:val="00566C02"/>
    <w:rsid w:val="00566D96"/>
    <w:rsid w:val="0057083E"/>
    <w:rsid w:val="00570FDA"/>
    <w:rsid w:val="00574D84"/>
    <w:rsid w:val="005761E3"/>
    <w:rsid w:val="0057681B"/>
    <w:rsid w:val="0057799E"/>
    <w:rsid w:val="00580ED6"/>
    <w:rsid w:val="00582975"/>
    <w:rsid w:val="005833B6"/>
    <w:rsid w:val="0058346E"/>
    <w:rsid w:val="00584FEA"/>
    <w:rsid w:val="00585079"/>
    <w:rsid w:val="00586E42"/>
    <w:rsid w:val="00587EC0"/>
    <w:rsid w:val="00590621"/>
    <w:rsid w:val="00590FE0"/>
    <w:rsid w:val="005941A7"/>
    <w:rsid w:val="00594E1C"/>
    <w:rsid w:val="00595124"/>
    <w:rsid w:val="0059566C"/>
    <w:rsid w:val="00595DA5"/>
    <w:rsid w:val="005A0289"/>
    <w:rsid w:val="005A22CF"/>
    <w:rsid w:val="005A41EA"/>
    <w:rsid w:val="005A6174"/>
    <w:rsid w:val="005B000C"/>
    <w:rsid w:val="005B0B97"/>
    <w:rsid w:val="005B391E"/>
    <w:rsid w:val="005B3EF1"/>
    <w:rsid w:val="005B56A7"/>
    <w:rsid w:val="005B5D93"/>
    <w:rsid w:val="005B6C81"/>
    <w:rsid w:val="005C15A0"/>
    <w:rsid w:val="005C37EF"/>
    <w:rsid w:val="005D06C2"/>
    <w:rsid w:val="005D074A"/>
    <w:rsid w:val="005D2D7B"/>
    <w:rsid w:val="005D4B24"/>
    <w:rsid w:val="005D6743"/>
    <w:rsid w:val="005D680C"/>
    <w:rsid w:val="005E048F"/>
    <w:rsid w:val="005E2AE9"/>
    <w:rsid w:val="005E3142"/>
    <w:rsid w:val="005F0BCE"/>
    <w:rsid w:val="005F2183"/>
    <w:rsid w:val="005F33A3"/>
    <w:rsid w:val="005F34F7"/>
    <w:rsid w:val="005F54EB"/>
    <w:rsid w:val="005F56A6"/>
    <w:rsid w:val="006012C6"/>
    <w:rsid w:val="00602802"/>
    <w:rsid w:val="0060538B"/>
    <w:rsid w:val="00612F9F"/>
    <w:rsid w:val="00613EFD"/>
    <w:rsid w:val="00614401"/>
    <w:rsid w:val="006154BA"/>
    <w:rsid w:val="00617400"/>
    <w:rsid w:val="0061756D"/>
    <w:rsid w:val="00617630"/>
    <w:rsid w:val="00617F55"/>
    <w:rsid w:val="00620346"/>
    <w:rsid w:val="00620555"/>
    <w:rsid w:val="006221A9"/>
    <w:rsid w:val="00624BB7"/>
    <w:rsid w:val="00625409"/>
    <w:rsid w:val="0062638D"/>
    <w:rsid w:val="00630F1E"/>
    <w:rsid w:val="00631FF1"/>
    <w:rsid w:val="0063642D"/>
    <w:rsid w:val="0064134B"/>
    <w:rsid w:val="00641942"/>
    <w:rsid w:val="006506EE"/>
    <w:rsid w:val="00650B77"/>
    <w:rsid w:val="00652B56"/>
    <w:rsid w:val="00653245"/>
    <w:rsid w:val="00656384"/>
    <w:rsid w:val="00657662"/>
    <w:rsid w:val="00657CCF"/>
    <w:rsid w:val="006653D4"/>
    <w:rsid w:val="00666A15"/>
    <w:rsid w:val="00666E6D"/>
    <w:rsid w:val="00667F6E"/>
    <w:rsid w:val="0067028F"/>
    <w:rsid w:val="00670FA6"/>
    <w:rsid w:val="00671904"/>
    <w:rsid w:val="006722CE"/>
    <w:rsid w:val="00673458"/>
    <w:rsid w:val="00673C52"/>
    <w:rsid w:val="0067540F"/>
    <w:rsid w:val="00676281"/>
    <w:rsid w:val="00677F9F"/>
    <w:rsid w:val="00682611"/>
    <w:rsid w:val="00682E96"/>
    <w:rsid w:val="006851A4"/>
    <w:rsid w:val="00690BB8"/>
    <w:rsid w:val="00692574"/>
    <w:rsid w:val="0069278C"/>
    <w:rsid w:val="00693A87"/>
    <w:rsid w:val="00694A8E"/>
    <w:rsid w:val="00696B73"/>
    <w:rsid w:val="0069721F"/>
    <w:rsid w:val="006A00D0"/>
    <w:rsid w:val="006A185C"/>
    <w:rsid w:val="006A4230"/>
    <w:rsid w:val="006A42F6"/>
    <w:rsid w:val="006A5B40"/>
    <w:rsid w:val="006A6E0F"/>
    <w:rsid w:val="006B007F"/>
    <w:rsid w:val="006B176F"/>
    <w:rsid w:val="006B2E5E"/>
    <w:rsid w:val="006B45BB"/>
    <w:rsid w:val="006B48F1"/>
    <w:rsid w:val="006B5C5D"/>
    <w:rsid w:val="006B77B1"/>
    <w:rsid w:val="006C2467"/>
    <w:rsid w:val="006C2AB7"/>
    <w:rsid w:val="006C4DEE"/>
    <w:rsid w:val="006C60A2"/>
    <w:rsid w:val="006C720A"/>
    <w:rsid w:val="006C7454"/>
    <w:rsid w:val="006C7E7C"/>
    <w:rsid w:val="006D072C"/>
    <w:rsid w:val="006D0752"/>
    <w:rsid w:val="006D158A"/>
    <w:rsid w:val="006D20FE"/>
    <w:rsid w:val="006D3FD8"/>
    <w:rsid w:val="006D3FDD"/>
    <w:rsid w:val="006D43C6"/>
    <w:rsid w:val="006D4C4D"/>
    <w:rsid w:val="006D512F"/>
    <w:rsid w:val="006D52EC"/>
    <w:rsid w:val="006D7CA8"/>
    <w:rsid w:val="006E4FFF"/>
    <w:rsid w:val="006E5253"/>
    <w:rsid w:val="006E6B9A"/>
    <w:rsid w:val="006F0107"/>
    <w:rsid w:val="006F0F9F"/>
    <w:rsid w:val="006F4B51"/>
    <w:rsid w:val="006F5508"/>
    <w:rsid w:val="006F5DED"/>
    <w:rsid w:val="00700D5A"/>
    <w:rsid w:val="00701EF9"/>
    <w:rsid w:val="00702C87"/>
    <w:rsid w:val="0070480D"/>
    <w:rsid w:val="007048C3"/>
    <w:rsid w:val="00705286"/>
    <w:rsid w:val="007056DE"/>
    <w:rsid w:val="007057D5"/>
    <w:rsid w:val="00705C78"/>
    <w:rsid w:val="007062F7"/>
    <w:rsid w:val="00710C7C"/>
    <w:rsid w:val="00711D33"/>
    <w:rsid w:val="00711DD1"/>
    <w:rsid w:val="00712655"/>
    <w:rsid w:val="00712FC3"/>
    <w:rsid w:val="007132D3"/>
    <w:rsid w:val="00713CC9"/>
    <w:rsid w:val="00720AC2"/>
    <w:rsid w:val="00723A10"/>
    <w:rsid w:val="00724B15"/>
    <w:rsid w:val="00726156"/>
    <w:rsid w:val="007315AC"/>
    <w:rsid w:val="00732383"/>
    <w:rsid w:val="00732E84"/>
    <w:rsid w:val="007338BB"/>
    <w:rsid w:val="00733BDE"/>
    <w:rsid w:val="00737957"/>
    <w:rsid w:val="00742180"/>
    <w:rsid w:val="00742F6E"/>
    <w:rsid w:val="007477F6"/>
    <w:rsid w:val="0075003C"/>
    <w:rsid w:val="0075182E"/>
    <w:rsid w:val="00752F61"/>
    <w:rsid w:val="00754C81"/>
    <w:rsid w:val="007561F9"/>
    <w:rsid w:val="00756D67"/>
    <w:rsid w:val="00757C50"/>
    <w:rsid w:val="00760049"/>
    <w:rsid w:val="00760058"/>
    <w:rsid w:val="00760131"/>
    <w:rsid w:val="00760A3F"/>
    <w:rsid w:val="00761F1C"/>
    <w:rsid w:val="00762C40"/>
    <w:rsid w:val="00763560"/>
    <w:rsid w:val="0076369E"/>
    <w:rsid w:val="00763935"/>
    <w:rsid w:val="00765BB9"/>
    <w:rsid w:val="00765F0F"/>
    <w:rsid w:val="00766C46"/>
    <w:rsid w:val="00766FA3"/>
    <w:rsid w:val="00767B6F"/>
    <w:rsid w:val="00771468"/>
    <w:rsid w:val="00772D0C"/>
    <w:rsid w:val="00773E97"/>
    <w:rsid w:val="00776A1A"/>
    <w:rsid w:val="00776CA7"/>
    <w:rsid w:val="00781226"/>
    <w:rsid w:val="007812A0"/>
    <w:rsid w:val="00784191"/>
    <w:rsid w:val="00784B28"/>
    <w:rsid w:val="0078762A"/>
    <w:rsid w:val="007911DF"/>
    <w:rsid w:val="00791354"/>
    <w:rsid w:val="0079178D"/>
    <w:rsid w:val="00791A5D"/>
    <w:rsid w:val="00792173"/>
    <w:rsid w:val="00792B4E"/>
    <w:rsid w:val="00793083"/>
    <w:rsid w:val="00793203"/>
    <w:rsid w:val="007960C4"/>
    <w:rsid w:val="0079666E"/>
    <w:rsid w:val="0079669E"/>
    <w:rsid w:val="00796A2A"/>
    <w:rsid w:val="007970E5"/>
    <w:rsid w:val="007A01CA"/>
    <w:rsid w:val="007A124D"/>
    <w:rsid w:val="007A134E"/>
    <w:rsid w:val="007A2A69"/>
    <w:rsid w:val="007A2D26"/>
    <w:rsid w:val="007A412D"/>
    <w:rsid w:val="007A4A70"/>
    <w:rsid w:val="007A6A83"/>
    <w:rsid w:val="007B059C"/>
    <w:rsid w:val="007B10A8"/>
    <w:rsid w:val="007B1DB5"/>
    <w:rsid w:val="007B2934"/>
    <w:rsid w:val="007B546D"/>
    <w:rsid w:val="007B7386"/>
    <w:rsid w:val="007C143D"/>
    <w:rsid w:val="007C3178"/>
    <w:rsid w:val="007C33E4"/>
    <w:rsid w:val="007C5E33"/>
    <w:rsid w:val="007D3894"/>
    <w:rsid w:val="007D3E2E"/>
    <w:rsid w:val="007D78C8"/>
    <w:rsid w:val="007E04D4"/>
    <w:rsid w:val="007E058D"/>
    <w:rsid w:val="007E267A"/>
    <w:rsid w:val="007E2A74"/>
    <w:rsid w:val="007E5CF8"/>
    <w:rsid w:val="007E76BF"/>
    <w:rsid w:val="007E771D"/>
    <w:rsid w:val="007F10BA"/>
    <w:rsid w:val="007F143F"/>
    <w:rsid w:val="007F3EF2"/>
    <w:rsid w:val="007F538E"/>
    <w:rsid w:val="007F691D"/>
    <w:rsid w:val="008010A5"/>
    <w:rsid w:val="00801948"/>
    <w:rsid w:val="00804085"/>
    <w:rsid w:val="00804288"/>
    <w:rsid w:val="008042AF"/>
    <w:rsid w:val="0080681C"/>
    <w:rsid w:val="00807778"/>
    <w:rsid w:val="0080786E"/>
    <w:rsid w:val="00812352"/>
    <w:rsid w:val="00813CD3"/>
    <w:rsid w:val="0081518A"/>
    <w:rsid w:val="00815E75"/>
    <w:rsid w:val="00816B86"/>
    <w:rsid w:val="00816F96"/>
    <w:rsid w:val="00821502"/>
    <w:rsid w:val="00823E65"/>
    <w:rsid w:val="008244E5"/>
    <w:rsid w:val="00824762"/>
    <w:rsid w:val="0082624D"/>
    <w:rsid w:val="008339F9"/>
    <w:rsid w:val="0083545E"/>
    <w:rsid w:val="00836060"/>
    <w:rsid w:val="00836189"/>
    <w:rsid w:val="00836840"/>
    <w:rsid w:val="008374D9"/>
    <w:rsid w:val="00840AB6"/>
    <w:rsid w:val="00842222"/>
    <w:rsid w:val="00842932"/>
    <w:rsid w:val="008459AF"/>
    <w:rsid w:val="00846CBF"/>
    <w:rsid w:val="00846FAB"/>
    <w:rsid w:val="00850219"/>
    <w:rsid w:val="008505E8"/>
    <w:rsid w:val="00852480"/>
    <w:rsid w:val="00852D38"/>
    <w:rsid w:val="00853203"/>
    <w:rsid w:val="00853251"/>
    <w:rsid w:val="008535A0"/>
    <w:rsid w:val="00854869"/>
    <w:rsid w:val="008553DA"/>
    <w:rsid w:val="00856CC3"/>
    <w:rsid w:val="0085736B"/>
    <w:rsid w:val="0086050D"/>
    <w:rsid w:val="008620C2"/>
    <w:rsid w:val="00865DE0"/>
    <w:rsid w:val="00866033"/>
    <w:rsid w:val="00870BF0"/>
    <w:rsid w:val="00870FE7"/>
    <w:rsid w:val="008716FA"/>
    <w:rsid w:val="00871D7E"/>
    <w:rsid w:val="008721F4"/>
    <w:rsid w:val="00872250"/>
    <w:rsid w:val="008725F3"/>
    <w:rsid w:val="00872C28"/>
    <w:rsid w:val="00874050"/>
    <w:rsid w:val="00876247"/>
    <w:rsid w:val="008809EC"/>
    <w:rsid w:val="00881A67"/>
    <w:rsid w:val="00884252"/>
    <w:rsid w:val="0088624E"/>
    <w:rsid w:val="00886503"/>
    <w:rsid w:val="00887DF7"/>
    <w:rsid w:val="00892039"/>
    <w:rsid w:val="00892A32"/>
    <w:rsid w:val="00893B8E"/>
    <w:rsid w:val="0089560B"/>
    <w:rsid w:val="0089612C"/>
    <w:rsid w:val="00897F2F"/>
    <w:rsid w:val="008A0730"/>
    <w:rsid w:val="008A1ED0"/>
    <w:rsid w:val="008A1F1C"/>
    <w:rsid w:val="008A2594"/>
    <w:rsid w:val="008A34A6"/>
    <w:rsid w:val="008A4707"/>
    <w:rsid w:val="008A4BA4"/>
    <w:rsid w:val="008A5BDD"/>
    <w:rsid w:val="008A5F17"/>
    <w:rsid w:val="008B09B0"/>
    <w:rsid w:val="008B277E"/>
    <w:rsid w:val="008B2FDC"/>
    <w:rsid w:val="008B6B21"/>
    <w:rsid w:val="008B6C31"/>
    <w:rsid w:val="008C2ADD"/>
    <w:rsid w:val="008C2B14"/>
    <w:rsid w:val="008C4C00"/>
    <w:rsid w:val="008C4EB6"/>
    <w:rsid w:val="008C6E52"/>
    <w:rsid w:val="008D0722"/>
    <w:rsid w:val="008D251E"/>
    <w:rsid w:val="008D2554"/>
    <w:rsid w:val="008D2CF0"/>
    <w:rsid w:val="008D347B"/>
    <w:rsid w:val="008D3EF6"/>
    <w:rsid w:val="008E090D"/>
    <w:rsid w:val="008E1348"/>
    <w:rsid w:val="008E27D5"/>
    <w:rsid w:val="008E2C8D"/>
    <w:rsid w:val="008E4F19"/>
    <w:rsid w:val="008E51A4"/>
    <w:rsid w:val="008E6896"/>
    <w:rsid w:val="008E6C24"/>
    <w:rsid w:val="008F03A6"/>
    <w:rsid w:val="008F5BBE"/>
    <w:rsid w:val="009005E0"/>
    <w:rsid w:val="0090352C"/>
    <w:rsid w:val="0090427E"/>
    <w:rsid w:val="0090516B"/>
    <w:rsid w:val="00905828"/>
    <w:rsid w:val="00905C53"/>
    <w:rsid w:val="00906156"/>
    <w:rsid w:val="009108D2"/>
    <w:rsid w:val="00913E51"/>
    <w:rsid w:val="009146DD"/>
    <w:rsid w:val="009157DC"/>
    <w:rsid w:val="00915D34"/>
    <w:rsid w:val="00916155"/>
    <w:rsid w:val="00916A11"/>
    <w:rsid w:val="00916CA6"/>
    <w:rsid w:val="009172E7"/>
    <w:rsid w:val="009214F2"/>
    <w:rsid w:val="00921D45"/>
    <w:rsid w:val="00922614"/>
    <w:rsid w:val="00923F47"/>
    <w:rsid w:val="00930CFC"/>
    <w:rsid w:val="00931C9D"/>
    <w:rsid w:val="00932248"/>
    <w:rsid w:val="00932BEF"/>
    <w:rsid w:val="00934221"/>
    <w:rsid w:val="009345A5"/>
    <w:rsid w:val="0093734D"/>
    <w:rsid w:val="009402E9"/>
    <w:rsid w:val="00942836"/>
    <w:rsid w:val="0094304B"/>
    <w:rsid w:val="009433CB"/>
    <w:rsid w:val="009438D0"/>
    <w:rsid w:val="00943FE8"/>
    <w:rsid w:val="00947FE1"/>
    <w:rsid w:val="0095082C"/>
    <w:rsid w:val="009516DF"/>
    <w:rsid w:val="00951938"/>
    <w:rsid w:val="00953E08"/>
    <w:rsid w:val="0096003B"/>
    <w:rsid w:val="009625EF"/>
    <w:rsid w:val="009628AF"/>
    <w:rsid w:val="0096292F"/>
    <w:rsid w:val="009648BC"/>
    <w:rsid w:val="00971496"/>
    <w:rsid w:val="00971DDC"/>
    <w:rsid w:val="0097265A"/>
    <w:rsid w:val="00972F70"/>
    <w:rsid w:val="0097320D"/>
    <w:rsid w:val="009745AB"/>
    <w:rsid w:val="00974ECD"/>
    <w:rsid w:val="009752FB"/>
    <w:rsid w:val="009810AE"/>
    <w:rsid w:val="00983C2C"/>
    <w:rsid w:val="009854F3"/>
    <w:rsid w:val="009871A7"/>
    <w:rsid w:val="00987AB6"/>
    <w:rsid w:val="00991070"/>
    <w:rsid w:val="00991963"/>
    <w:rsid w:val="00992DCD"/>
    <w:rsid w:val="009952B3"/>
    <w:rsid w:val="00996DDA"/>
    <w:rsid w:val="009A181F"/>
    <w:rsid w:val="009A1C7D"/>
    <w:rsid w:val="009A3971"/>
    <w:rsid w:val="009A5D9D"/>
    <w:rsid w:val="009A6C21"/>
    <w:rsid w:val="009B147D"/>
    <w:rsid w:val="009B2AA7"/>
    <w:rsid w:val="009B4D79"/>
    <w:rsid w:val="009B54AA"/>
    <w:rsid w:val="009B5573"/>
    <w:rsid w:val="009C044E"/>
    <w:rsid w:val="009C1507"/>
    <w:rsid w:val="009C2CAB"/>
    <w:rsid w:val="009C4726"/>
    <w:rsid w:val="009C4BD7"/>
    <w:rsid w:val="009C701D"/>
    <w:rsid w:val="009C78C8"/>
    <w:rsid w:val="009C7FB5"/>
    <w:rsid w:val="009D03F9"/>
    <w:rsid w:val="009D1A30"/>
    <w:rsid w:val="009D1EE1"/>
    <w:rsid w:val="009D2D92"/>
    <w:rsid w:val="009D31B7"/>
    <w:rsid w:val="009D464B"/>
    <w:rsid w:val="009D4E27"/>
    <w:rsid w:val="009D61BB"/>
    <w:rsid w:val="009D7EE2"/>
    <w:rsid w:val="009E0835"/>
    <w:rsid w:val="009E27A5"/>
    <w:rsid w:val="009E2BBA"/>
    <w:rsid w:val="009E30B4"/>
    <w:rsid w:val="009E555F"/>
    <w:rsid w:val="009E748B"/>
    <w:rsid w:val="009F1C45"/>
    <w:rsid w:val="009F35E1"/>
    <w:rsid w:val="009F4300"/>
    <w:rsid w:val="009F5202"/>
    <w:rsid w:val="009F548D"/>
    <w:rsid w:val="009F5AF4"/>
    <w:rsid w:val="009F6F2F"/>
    <w:rsid w:val="00A02E6B"/>
    <w:rsid w:val="00A0363B"/>
    <w:rsid w:val="00A03DA2"/>
    <w:rsid w:val="00A044DF"/>
    <w:rsid w:val="00A07A4C"/>
    <w:rsid w:val="00A07D64"/>
    <w:rsid w:val="00A11B04"/>
    <w:rsid w:val="00A16D4F"/>
    <w:rsid w:val="00A173FB"/>
    <w:rsid w:val="00A17BD3"/>
    <w:rsid w:val="00A22250"/>
    <w:rsid w:val="00A22F3F"/>
    <w:rsid w:val="00A237B2"/>
    <w:rsid w:val="00A24CCA"/>
    <w:rsid w:val="00A24F87"/>
    <w:rsid w:val="00A25CF2"/>
    <w:rsid w:val="00A26629"/>
    <w:rsid w:val="00A279D4"/>
    <w:rsid w:val="00A27B2A"/>
    <w:rsid w:val="00A31718"/>
    <w:rsid w:val="00A31F96"/>
    <w:rsid w:val="00A3215B"/>
    <w:rsid w:val="00A34767"/>
    <w:rsid w:val="00A411EE"/>
    <w:rsid w:val="00A4219D"/>
    <w:rsid w:val="00A42EB5"/>
    <w:rsid w:val="00A43B75"/>
    <w:rsid w:val="00A464CF"/>
    <w:rsid w:val="00A4728B"/>
    <w:rsid w:val="00A472E9"/>
    <w:rsid w:val="00A476D8"/>
    <w:rsid w:val="00A47F49"/>
    <w:rsid w:val="00A508F9"/>
    <w:rsid w:val="00A51137"/>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64548"/>
    <w:rsid w:val="00A6459C"/>
    <w:rsid w:val="00A6678D"/>
    <w:rsid w:val="00A71BD4"/>
    <w:rsid w:val="00A72B9C"/>
    <w:rsid w:val="00A7317C"/>
    <w:rsid w:val="00A7473A"/>
    <w:rsid w:val="00A76243"/>
    <w:rsid w:val="00A762D5"/>
    <w:rsid w:val="00A76CC3"/>
    <w:rsid w:val="00A773F5"/>
    <w:rsid w:val="00A805A8"/>
    <w:rsid w:val="00A80B01"/>
    <w:rsid w:val="00A83159"/>
    <w:rsid w:val="00A83D20"/>
    <w:rsid w:val="00A8433B"/>
    <w:rsid w:val="00A84CE5"/>
    <w:rsid w:val="00A84D84"/>
    <w:rsid w:val="00A853DD"/>
    <w:rsid w:val="00A877B9"/>
    <w:rsid w:val="00A91ACA"/>
    <w:rsid w:val="00A93646"/>
    <w:rsid w:val="00A9379A"/>
    <w:rsid w:val="00A944DA"/>
    <w:rsid w:val="00A945E2"/>
    <w:rsid w:val="00A94F9B"/>
    <w:rsid w:val="00A95088"/>
    <w:rsid w:val="00A95E61"/>
    <w:rsid w:val="00A9638F"/>
    <w:rsid w:val="00AA2D50"/>
    <w:rsid w:val="00AA3CA4"/>
    <w:rsid w:val="00AB0940"/>
    <w:rsid w:val="00AB0FB3"/>
    <w:rsid w:val="00AB1474"/>
    <w:rsid w:val="00AB4EFA"/>
    <w:rsid w:val="00AC16A2"/>
    <w:rsid w:val="00AC24D4"/>
    <w:rsid w:val="00AC2BD8"/>
    <w:rsid w:val="00AC4276"/>
    <w:rsid w:val="00AC4AAA"/>
    <w:rsid w:val="00AC5A41"/>
    <w:rsid w:val="00AC68A1"/>
    <w:rsid w:val="00AC7216"/>
    <w:rsid w:val="00AC75B1"/>
    <w:rsid w:val="00AD0C4F"/>
    <w:rsid w:val="00AD20A2"/>
    <w:rsid w:val="00AD3030"/>
    <w:rsid w:val="00AD54E8"/>
    <w:rsid w:val="00AD5E2B"/>
    <w:rsid w:val="00AD5EB6"/>
    <w:rsid w:val="00AD668A"/>
    <w:rsid w:val="00AD7B4E"/>
    <w:rsid w:val="00AE052F"/>
    <w:rsid w:val="00AE26C5"/>
    <w:rsid w:val="00AE3567"/>
    <w:rsid w:val="00AE3C0F"/>
    <w:rsid w:val="00AE4560"/>
    <w:rsid w:val="00AE4706"/>
    <w:rsid w:val="00AE6A29"/>
    <w:rsid w:val="00AE6AE8"/>
    <w:rsid w:val="00AE743A"/>
    <w:rsid w:val="00AE775A"/>
    <w:rsid w:val="00AE7C57"/>
    <w:rsid w:val="00AF035C"/>
    <w:rsid w:val="00AF18EF"/>
    <w:rsid w:val="00AF1A64"/>
    <w:rsid w:val="00AF3B2C"/>
    <w:rsid w:val="00AF3BF9"/>
    <w:rsid w:val="00AF4CEB"/>
    <w:rsid w:val="00AF7396"/>
    <w:rsid w:val="00B03B2F"/>
    <w:rsid w:val="00B03BCC"/>
    <w:rsid w:val="00B043AB"/>
    <w:rsid w:val="00B05888"/>
    <w:rsid w:val="00B07901"/>
    <w:rsid w:val="00B1029B"/>
    <w:rsid w:val="00B107DB"/>
    <w:rsid w:val="00B1120E"/>
    <w:rsid w:val="00B12666"/>
    <w:rsid w:val="00B139DE"/>
    <w:rsid w:val="00B16C2A"/>
    <w:rsid w:val="00B22638"/>
    <w:rsid w:val="00B243F4"/>
    <w:rsid w:val="00B24CFC"/>
    <w:rsid w:val="00B25060"/>
    <w:rsid w:val="00B26A4A"/>
    <w:rsid w:val="00B26DD1"/>
    <w:rsid w:val="00B31627"/>
    <w:rsid w:val="00B31DEC"/>
    <w:rsid w:val="00B32C30"/>
    <w:rsid w:val="00B35602"/>
    <w:rsid w:val="00B37427"/>
    <w:rsid w:val="00B40B53"/>
    <w:rsid w:val="00B42AE6"/>
    <w:rsid w:val="00B435F5"/>
    <w:rsid w:val="00B44E9F"/>
    <w:rsid w:val="00B454F4"/>
    <w:rsid w:val="00B46077"/>
    <w:rsid w:val="00B50CDC"/>
    <w:rsid w:val="00B50FD8"/>
    <w:rsid w:val="00B533B9"/>
    <w:rsid w:val="00B53A0C"/>
    <w:rsid w:val="00B5527C"/>
    <w:rsid w:val="00B55FA9"/>
    <w:rsid w:val="00B56B1F"/>
    <w:rsid w:val="00B578C5"/>
    <w:rsid w:val="00B57C29"/>
    <w:rsid w:val="00B60DCF"/>
    <w:rsid w:val="00B61268"/>
    <w:rsid w:val="00B61852"/>
    <w:rsid w:val="00B65945"/>
    <w:rsid w:val="00B67AF4"/>
    <w:rsid w:val="00B72D05"/>
    <w:rsid w:val="00B73E13"/>
    <w:rsid w:val="00B76024"/>
    <w:rsid w:val="00B765A4"/>
    <w:rsid w:val="00B76DCE"/>
    <w:rsid w:val="00B816F5"/>
    <w:rsid w:val="00B82BFD"/>
    <w:rsid w:val="00B8312D"/>
    <w:rsid w:val="00B834F3"/>
    <w:rsid w:val="00B83E85"/>
    <w:rsid w:val="00B846EC"/>
    <w:rsid w:val="00B86BDA"/>
    <w:rsid w:val="00B87244"/>
    <w:rsid w:val="00B87640"/>
    <w:rsid w:val="00B87F06"/>
    <w:rsid w:val="00B907D3"/>
    <w:rsid w:val="00B93DCC"/>
    <w:rsid w:val="00B95ADA"/>
    <w:rsid w:val="00B960A9"/>
    <w:rsid w:val="00B960F2"/>
    <w:rsid w:val="00BA14B7"/>
    <w:rsid w:val="00BA1C72"/>
    <w:rsid w:val="00BA245E"/>
    <w:rsid w:val="00BA48BD"/>
    <w:rsid w:val="00BB070C"/>
    <w:rsid w:val="00BB0DB8"/>
    <w:rsid w:val="00BB223E"/>
    <w:rsid w:val="00BB5D7F"/>
    <w:rsid w:val="00BB6344"/>
    <w:rsid w:val="00BC0F95"/>
    <w:rsid w:val="00BC15B0"/>
    <w:rsid w:val="00BC1F67"/>
    <w:rsid w:val="00BC2EC5"/>
    <w:rsid w:val="00BC3330"/>
    <w:rsid w:val="00BC7528"/>
    <w:rsid w:val="00BC7924"/>
    <w:rsid w:val="00BD1F36"/>
    <w:rsid w:val="00BD285A"/>
    <w:rsid w:val="00BD42C1"/>
    <w:rsid w:val="00BD4AC8"/>
    <w:rsid w:val="00BD5AB5"/>
    <w:rsid w:val="00BE24EB"/>
    <w:rsid w:val="00BE2E7D"/>
    <w:rsid w:val="00BE6CB0"/>
    <w:rsid w:val="00BE7AD0"/>
    <w:rsid w:val="00BF04D4"/>
    <w:rsid w:val="00BF074A"/>
    <w:rsid w:val="00BF11AE"/>
    <w:rsid w:val="00BF2C7E"/>
    <w:rsid w:val="00BF4E61"/>
    <w:rsid w:val="00BF5CF3"/>
    <w:rsid w:val="00C00590"/>
    <w:rsid w:val="00C01D44"/>
    <w:rsid w:val="00C02744"/>
    <w:rsid w:val="00C0297C"/>
    <w:rsid w:val="00C02F16"/>
    <w:rsid w:val="00C030FD"/>
    <w:rsid w:val="00C04975"/>
    <w:rsid w:val="00C04E92"/>
    <w:rsid w:val="00C062F6"/>
    <w:rsid w:val="00C10492"/>
    <w:rsid w:val="00C115D4"/>
    <w:rsid w:val="00C118BF"/>
    <w:rsid w:val="00C12A7E"/>
    <w:rsid w:val="00C15FEF"/>
    <w:rsid w:val="00C16D62"/>
    <w:rsid w:val="00C24819"/>
    <w:rsid w:val="00C30433"/>
    <w:rsid w:val="00C30640"/>
    <w:rsid w:val="00C3079E"/>
    <w:rsid w:val="00C33A56"/>
    <w:rsid w:val="00C33CBA"/>
    <w:rsid w:val="00C349CF"/>
    <w:rsid w:val="00C42297"/>
    <w:rsid w:val="00C44689"/>
    <w:rsid w:val="00C45F4C"/>
    <w:rsid w:val="00C47ABD"/>
    <w:rsid w:val="00C50168"/>
    <w:rsid w:val="00C50FB7"/>
    <w:rsid w:val="00C516B7"/>
    <w:rsid w:val="00C53622"/>
    <w:rsid w:val="00C54982"/>
    <w:rsid w:val="00C5567E"/>
    <w:rsid w:val="00C5588E"/>
    <w:rsid w:val="00C573D9"/>
    <w:rsid w:val="00C66B5A"/>
    <w:rsid w:val="00C67F74"/>
    <w:rsid w:val="00C7277F"/>
    <w:rsid w:val="00C73478"/>
    <w:rsid w:val="00C749A1"/>
    <w:rsid w:val="00C74F47"/>
    <w:rsid w:val="00C766A6"/>
    <w:rsid w:val="00C76F1A"/>
    <w:rsid w:val="00C81BB1"/>
    <w:rsid w:val="00C83087"/>
    <w:rsid w:val="00C845F9"/>
    <w:rsid w:val="00C8562D"/>
    <w:rsid w:val="00C86B00"/>
    <w:rsid w:val="00C86B68"/>
    <w:rsid w:val="00C90416"/>
    <w:rsid w:val="00C9201F"/>
    <w:rsid w:val="00C93EDD"/>
    <w:rsid w:val="00C953EF"/>
    <w:rsid w:val="00C95DD5"/>
    <w:rsid w:val="00C97311"/>
    <w:rsid w:val="00CA1AEB"/>
    <w:rsid w:val="00CA32E5"/>
    <w:rsid w:val="00CA4F19"/>
    <w:rsid w:val="00CA5EFF"/>
    <w:rsid w:val="00CA6D69"/>
    <w:rsid w:val="00CA744F"/>
    <w:rsid w:val="00CA7B1E"/>
    <w:rsid w:val="00CB0EE0"/>
    <w:rsid w:val="00CB10FA"/>
    <w:rsid w:val="00CB13D1"/>
    <w:rsid w:val="00CB1E38"/>
    <w:rsid w:val="00CB23E1"/>
    <w:rsid w:val="00CB5784"/>
    <w:rsid w:val="00CB7C7C"/>
    <w:rsid w:val="00CC0088"/>
    <w:rsid w:val="00CC024C"/>
    <w:rsid w:val="00CC29FA"/>
    <w:rsid w:val="00CC2AB5"/>
    <w:rsid w:val="00CC39FD"/>
    <w:rsid w:val="00CC502E"/>
    <w:rsid w:val="00CC7F0B"/>
    <w:rsid w:val="00CD18FB"/>
    <w:rsid w:val="00CD3037"/>
    <w:rsid w:val="00CD329D"/>
    <w:rsid w:val="00CD3FBE"/>
    <w:rsid w:val="00CD478F"/>
    <w:rsid w:val="00CD7D6E"/>
    <w:rsid w:val="00CE1B6E"/>
    <w:rsid w:val="00CE4DE5"/>
    <w:rsid w:val="00CE6174"/>
    <w:rsid w:val="00CF00C8"/>
    <w:rsid w:val="00CF16DE"/>
    <w:rsid w:val="00CF356A"/>
    <w:rsid w:val="00CF398A"/>
    <w:rsid w:val="00CF527B"/>
    <w:rsid w:val="00D00BD8"/>
    <w:rsid w:val="00D02F5A"/>
    <w:rsid w:val="00D0360C"/>
    <w:rsid w:val="00D04B88"/>
    <w:rsid w:val="00D06B3F"/>
    <w:rsid w:val="00D078F4"/>
    <w:rsid w:val="00D07D4A"/>
    <w:rsid w:val="00D10075"/>
    <w:rsid w:val="00D12160"/>
    <w:rsid w:val="00D15157"/>
    <w:rsid w:val="00D15C08"/>
    <w:rsid w:val="00D15C3A"/>
    <w:rsid w:val="00D15E25"/>
    <w:rsid w:val="00D16AB7"/>
    <w:rsid w:val="00D2092D"/>
    <w:rsid w:val="00D21A5C"/>
    <w:rsid w:val="00D22A73"/>
    <w:rsid w:val="00D22B56"/>
    <w:rsid w:val="00D2405C"/>
    <w:rsid w:val="00D25CA2"/>
    <w:rsid w:val="00D26398"/>
    <w:rsid w:val="00D2647C"/>
    <w:rsid w:val="00D273EF"/>
    <w:rsid w:val="00D2780E"/>
    <w:rsid w:val="00D32A1B"/>
    <w:rsid w:val="00D3302E"/>
    <w:rsid w:val="00D34F0F"/>
    <w:rsid w:val="00D37C6E"/>
    <w:rsid w:val="00D45706"/>
    <w:rsid w:val="00D462B9"/>
    <w:rsid w:val="00D51AB5"/>
    <w:rsid w:val="00D51DA9"/>
    <w:rsid w:val="00D5308D"/>
    <w:rsid w:val="00D53D01"/>
    <w:rsid w:val="00D56DBA"/>
    <w:rsid w:val="00D57553"/>
    <w:rsid w:val="00D62003"/>
    <w:rsid w:val="00D63DEA"/>
    <w:rsid w:val="00D66CDA"/>
    <w:rsid w:val="00D66EC2"/>
    <w:rsid w:val="00D673E0"/>
    <w:rsid w:val="00D70674"/>
    <w:rsid w:val="00D7074E"/>
    <w:rsid w:val="00D70E91"/>
    <w:rsid w:val="00D714C3"/>
    <w:rsid w:val="00D72C08"/>
    <w:rsid w:val="00D72F23"/>
    <w:rsid w:val="00D743AA"/>
    <w:rsid w:val="00D76E1B"/>
    <w:rsid w:val="00D776E9"/>
    <w:rsid w:val="00D8248D"/>
    <w:rsid w:val="00D82A53"/>
    <w:rsid w:val="00D83034"/>
    <w:rsid w:val="00D849D4"/>
    <w:rsid w:val="00D85273"/>
    <w:rsid w:val="00D859DF"/>
    <w:rsid w:val="00D85C61"/>
    <w:rsid w:val="00D876F7"/>
    <w:rsid w:val="00D9131C"/>
    <w:rsid w:val="00D91B7C"/>
    <w:rsid w:val="00D91F23"/>
    <w:rsid w:val="00D93AC6"/>
    <w:rsid w:val="00D93B0C"/>
    <w:rsid w:val="00D93D1F"/>
    <w:rsid w:val="00D966A9"/>
    <w:rsid w:val="00D96FEA"/>
    <w:rsid w:val="00DA12AB"/>
    <w:rsid w:val="00DA19C6"/>
    <w:rsid w:val="00DA307E"/>
    <w:rsid w:val="00DA4ADA"/>
    <w:rsid w:val="00DA5597"/>
    <w:rsid w:val="00DA7C4F"/>
    <w:rsid w:val="00DA7D2F"/>
    <w:rsid w:val="00DA7D4E"/>
    <w:rsid w:val="00DB1E11"/>
    <w:rsid w:val="00DB292F"/>
    <w:rsid w:val="00DB3AE4"/>
    <w:rsid w:val="00DB5B00"/>
    <w:rsid w:val="00DC1F87"/>
    <w:rsid w:val="00DC254A"/>
    <w:rsid w:val="00DC4081"/>
    <w:rsid w:val="00DD201C"/>
    <w:rsid w:val="00DD2AFC"/>
    <w:rsid w:val="00DD34F8"/>
    <w:rsid w:val="00DD38EA"/>
    <w:rsid w:val="00DD646B"/>
    <w:rsid w:val="00DD71A4"/>
    <w:rsid w:val="00DD785D"/>
    <w:rsid w:val="00DE0E7D"/>
    <w:rsid w:val="00DE1E17"/>
    <w:rsid w:val="00DE31A3"/>
    <w:rsid w:val="00DE4466"/>
    <w:rsid w:val="00DE54C5"/>
    <w:rsid w:val="00DE6E54"/>
    <w:rsid w:val="00DE7CCB"/>
    <w:rsid w:val="00DF0BD1"/>
    <w:rsid w:val="00DF219B"/>
    <w:rsid w:val="00DF25FD"/>
    <w:rsid w:val="00DF482D"/>
    <w:rsid w:val="00DF56D1"/>
    <w:rsid w:val="00DF65B2"/>
    <w:rsid w:val="00DF6FEC"/>
    <w:rsid w:val="00E0055C"/>
    <w:rsid w:val="00E00801"/>
    <w:rsid w:val="00E02718"/>
    <w:rsid w:val="00E0278A"/>
    <w:rsid w:val="00E03A4D"/>
    <w:rsid w:val="00E03DF4"/>
    <w:rsid w:val="00E051E3"/>
    <w:rsid w:val="00E05567"/>
    <w:rsid w:val="00E06260"/>
    <w:rsid w:val="00E06906"/>
    <w:rsid w:val="00E069B4"/>
    <w:rsid w:val="00E077EB"/>
    <w:rsid w:val="00E07960"/>
    <w:rsid w:val="00E07B15"/>
    <w:rsid w:val="00E125B7"/>
    <w:rsid w:val="00E1495E"/>
    <w:rsid w:val="00E14E7A"/>
    <w:rsid w:val="00E14F87"/>
    <w:rsid w:val="00E153F6"/>
    <w:rsid w:val="00E160A8"/>
    <w:rsid w:val="00E164F6"/>
    <w:rsid w:val="00E174D1"/>
    <w:rsid w:val="00E20171"/>
    <w:rsid w:val="00E20904"/>
    <w:rsid w:val="00E21D8D"/>
    <w:rsid w:val="00E22B11"/>
    <w:rsid w:val="00E3121B"/>
    <w:rsid w:val="00E31405"/>
    <w:rsid w:val="00E32ACC"/>
    <w:rsid w:val="00E3415B"/>
    <w:rsid w:val="00E34CA4"/>
    <w:rsid w:val="00E35457"/>
    <w:rsid w:val="00E35B00"/>
    <w:rsid w:val="00E3603F"/>
    <w:rsid w:val="00E367EE"/>
    <w:rsid w:val="00E4164A"/>
    <w:rsid w:val="00E43842"/>
    <w:rsid w:val="00E43AE7"/>
    <w:rsid w:val="00E4405C"/>
    <w:rsid w:val="00E4509B"/>
    <w:rsid w:val="00E4633B"/>
    <w:rsid w:val="00E47699"/>
    <w:rsid w:val="00E47AE4"/>
    <w:rsid w:val="00E52E3C"/>
    <w:rsid w:val="00E53CC2"/>
    <w:rsid w:val="00E540F5"/>
    <w:rsid w:val="00E569C1"/>
    <w:rsid w:val="00E570E1"/>
    <w:rsid w:val="00E57329"/>
    <w:rsid w:val="00E61115"/>
    <w:rsid w:val="00E6253B"/>
    <w:rsid w:val="00E631F7"/>
    <w:rsid w:val="00E669B4"/>
    <w:rsid w:val="00E75AF8"/>
    <w:rsid w:val="00E76174"/>
    <w:rsid w:val="00E77CC4"/>
    <w:rsid w:val="00E80D8D"/>
    <w:rsid w:val="00E83ECC"/>
    <w:rsid w:val="00E87771"/>
    <w:rsid w:val="00E91BDE"/>
    <w:rsid w:val="00E92072"/>
    <w:rsid w:val="00E943EE"/>
    <w:rsid w:val="00E95BF2"/>
    <w:rsid w:val="00E97D96"/>
    <w:rsid w:val="00EA13D1"/>
    <w:rsid w:val="00EA4B8A"/>
    <w:rsid w:val="00EA5073"/>
    <w:rsid w:val="00EA5B9D"/>
    <w:rsid w:val="00EA622C"/>
    <w:rsid w:val="00EB0370"/>
    <w:rsid w:val="00EB362D"/>
    <w:rsid w:val="00EB434B"/>
    <w:rsid w:val="00EB5904"/>
    <w:rsid w:val="00EB6F8D"/>
    <w:rsid w:val="00EC162F"/>
    <w:rsid w:val="00EC1A79"/>
    <w:rsid w:val="00EC363B"/>
    <w:rsid w:val="00EC3E5A"/>
    <w:rsid w:val="00ED1A2D"/>
    <w:rsid w:val="00ED2C69"/>
    <w:rsid w:val="00ED600D"/>
    <w:rsid w:val="00ED640C"/>
    <w:rsid w:val="00ED6A98"/>
    <w:rsid w:val="00ED7545"/>
    <w:rsid w:val="00EE01E9"/>
    <w:rsid w:val="00EE3590"/>
    <w:rsid w:val="00EE5769"/>
    <w:rsid w:val="00EE6CB7"/>
    <w:rsid w:val="00EF09A6"/>
    <w:rsid w:val="00EF48F6"/>
    <w:rsid w:val="00EF4D67"/>
    <w:rsid w:val="00EF59B8"/>
    <w:rsid w:val="00EF6E23"/>
    <w:rsid w:val="00EF6EFD"/>
    <w:rsid w:val="00F001B4"/>
    <w:rsid w:val="00F00B49"/>
    <w:rsid w:val="00F00FAE"/>
    <w:rsid w:val="00F01A21"/>
    <w:rsid w:val="00F01BCE"/>
    <w:rsid w:val="00F03CF7"/>
    <w:rsid w:val="00F055EA"/>
    <w:rsid w:val="00F10506"/>
    <w:rsid w:val="00F1145E"/>
    <w:rsid w:val="00F12491"/>
    <w:rsid w:val="00F1510A"/>
    <w:rsid w:val="00F15DDF"/>
    <w:rsid w:val="00F1735C"/>
    <w:rsid w:val="00F17791"/>
    <w:rsid w:val="00F17CE5"/>
    <w:rsid w:val="00F2040B"/>
    <w:rsid w:val="00F21F00"/>
    <w:rsid w:val="00F22144"/>
    <w:rsid w:val="00F23FF7"/>
    <w:rsid w:val="00F24AEF"/>
    <w:rsid w:val="00F313F6"/>
    <w:rsid w:val="00F3170B"/>
    <w:rsid w:val="00F32506"/>
    <w:rsid w:val="00F40727"/>
    <w:rsid w:val="00F422C3"/>
    <w:rsid w:val="00F423D3"/>
    <w:rsid w:val="00F42709"/>
    <w:rsid w:val="00F43013"/>
    <w:rsid w:val="00F44478"/>
    <w:rsid w:val="00F45B8B"/>
    <w:rsid w:val="00F52317"/>
    <w:rsid w:val="00F56558"/>
    <w:rsid w:val="00F57978"/>
    <w:rsid w:val="00F57C13"/>
    <w:rsid w:val="00F610CA"/>
    <w:rsid w:val="00F627BA"/>
    <w:rsid w:val="00F644FF"/>
    <w:rsid w:val="00F7227E"/>
    <w:rsid w:val="00F7238F"/>
    <w:rsid w:val="00F8225E"/>
    <w:rsid w:val="00F822E9"/>
    <w:rsid w:val="00F82C44"/>
    <w:rsid w:val="00F90C2D"/>
    <w:rsid w:val="00F924D8"/>
    <w:rsid w:val="00F96864"/>
    <w:rsid w:val="00F97224"/>
    <w:rsid w:val="00F974BF"/>
    <w:rsid w:val="00FA10BA"/>
    <w:rsid w:val="00FA43C3"/>
    <w:rsid w:val="00FA4444"/>
    <w:rsid w:val="00FA5603"/>
    <w:rsid w:val="00FA6853"/>
    <w:rsid w:val="00FA755D"/>
    <w:rsid w:val="00FA75B7"/>
    <w:rsid w:val="00FB01B6"/>
    <w:rsid w:val="00FB1555"/>
    <w:rsid w:val="00FB29EF"/>
    <w:rsid w:val="00FB390A"/>
    <w:rsid w:val="00FB412A"/>
    <w:rsid w:val="00FB4DFB"/>
    <w:rsid w:val="00FB7DA0"/>
    <w:rsid w:val="00FC35D7"/>
    <w:rsid w:val="00FC4E76"/>
    <w:rsid w:val="00FC4F4F"/>
    <w:rsid w:val="00FC74EF"/>
    <w:rsid w:val="00FC7AC7"/>
    <w:rsid w:val="00FC7B21"/>
    <w:rsid w:val="00FD0AF1"/>
    <w:rsid w:val="00FD1CFB"/>
    <w:rsid w:val="00FD6A78"/>
    <w:rsid w:val="00FD6B97"/>
    <w:rsid w:val="00FE0878"/>
    <w:rsid w:val="00FE18BD"/>
    <w:rsid w:val="00FE1A1C"/>
    <w:rsid w:val="00FE2656"/>
    <w:rsid w:val="00FE2682"/>
    <w:rsid w:val="00FE351A"/>
    <w:rsid w:val="00FE49FA"/>
    <w:rsid w:val="00FE5A94"/>
    <w:rsid w:val="00FF0AAD"/>
    <w:rsid w:val="00FF107D"/>
    <w:rsid w:val="00FF2308"/>
    <w:rsid w:val="00FF4401"/>
    <w:rsid w:val="00FF6A6C"/>
    <w:rsid w:val="014F4BED"/>
    <w:rsid w:val="017B11D4"/>
    <w:rsid w:val="028F3B97"/>
    <w:rsid w:val="03C6764C"/>
    <w:rsid w:val="0459269F"/>
    <w:rsid w:val="04906D33"/>
    <w:rsid w:val="054112F8"/>
    <w:rsid w:val="06D738DD"/>
    <w:rsid w:val="06FF51B1"/>
    <w:rsid w:val="07D72026"/>
    <w:rsid w:val="07EA35B6"/>
    <w:rsid w:val="08056D69"/>
    <w:rsid w:val="09B42268"/>
    <w:rsid w:val="0AEA2AC2"/>
    <w:rsid w:val="0C3D2422"/>
    <w:rsid w:val="0C897076"/>
    <w:rsid w:val="0CAC0D84"/>
    <w:rsid w:val="0CFD3BEA"/>
    <w:rsid w:val="0D2E3E5D"/>
    <w:rsid w:val="0D596FF0"/>
    <w:rsid w:val="0DC47CB0"/>
    <w:rsid w:val="0DF26FEA"/>
    <w:rsid w:val="11FD55DE"/>
    <w:rsid w:val="11FD6802"/>
    <w:rsid w:val="121F3C8F"/>
    <w:rsid w:val="124A112A"/>
    <w:rsid w:val="1345480C"/>
    <w:rsid w:val="13CE0AC8"/>
    <w:rsid w:val="14644E78"/>
    <w:rsid w:val="14D84C0C"/>
    <w:rsid w:val="150D65C1"/>
    <w:rsid w:val="169635CD"/>
    <w:rsid w:val="16DB0889"/>
    <w:rsid w:val="16F825BD"/>
    <w:rsid w:val="189E3B8C"/>
    <w:rsid w:val="1A2E6A43"/>
    <w:rsid w:val="1AC83A25"/>
    <w:rsid w:val="1B073FF2"/>
    <w:rsid w:val="1B15615E"/>
    <w:rsid w:val="1C114E7C"/>
    <w:rsid w:val="1C675562"/>
    <w:rsid w:val="1CA72649"/>
    <w:rsid w:val="1D280F70"/>
    <w:rsid w:val="1D965D9B"/>
    <w:rsid w:val="1EA62506"/>
    <w:rsid w:val="227116A1"/>
    <w:rsid w:val="233930BC"/>
    <w:rsid w:val="237211FF"/>
    <w:rsid w:val="23AC3F25"/>
    <w:rsid w:val="245406D4"/>
    <w:rsid w:val="259C4254"/>
    <w:rsid w:val="25D634C0"/>
    <w:rsid w:val="267232BD"/>
    <w:rsid w:val="26D16895"/>
    <w:rsid w:val="27527B8D"/>
    <w:rsid w:val="286F3C73"/>
    <w:rsid w:val="287A13A3"/>
    <w:rsid w:val="28E007F7"/>
    <w:rsid w:val="28EC6A09"/>
    <w:rsid w:val="29012737"/>
    <w:rsid w:val="29080F6D"/>
    <w:rsid w:val="29BD1D18"/>
    <w:rsid w:val="2B092617"/>
    <w:rsid w:val="2B450CF3"/>
    <w:rsid w:val="2B781B6F"/>
    <w:rsid w:val="2B9D5F02"/>
    <w:rsid w:val="2BE833AA"/>
    <w:rsid w:val="2C1E5D1C"/>
    <w:rsid w:val="2C5366FD"/>
    <w:rsid w:val="2E1C4E7A"/>
    <w:rsid w:val="2E5524D2"/>
    <w:rsid w:val="2EA03945"/>
    <w:rsid w:val="2FAD02A2"/>
    <w:rsid w:val="2FCE23B4"/>
    <w:rsid w:val="2FE11440"/>
    <w:rsid w:val="30092CC2"/>
    <w:rsid w:val="30987D2D"/>
    <w:rsid w:val="31727168"/>
    <w:rsid w:val="31830893"/>
    <w:rsid w:val="31E21B78"/>
    <w:rsid w:val="32895C24"/>
    <w:rsid w:val="336D27EB"/>
    <w:rsid w:val="34521DF7"/>
    <w:rsid w:val="348D2E92"/>
    <w:rsid w:val="34A54EE2"/>
    <w:rsid w:val="34F807AE"/>
    <w:rsid w:val="362254E7"/>
    <w:rsid w:val="36796E2E"/>
    <w:rsid w:val="369A3349"/>
    <w:rsid w:val="386F66EB"/>
    <w:rsid w:val="38911812"/>
    <w:rsid w:val="3A0500B6"/>
    <w:rsid w:val="3B2220F5"/>
    <w:rsid w:val="3B42557C"/>
    <w:rsid w:val="3BB6252D"/>
    <w:rsid w:val="3BBF5426"/>
    <w:rsid w:val="3DE06EFD"/>
    <w:rsid w:val="3E4032C2"/>
    <w:rsid w:val="3E824B3E"/>
    <w:rsid w:val="3E9313B5"/>
    <w:rsid w:val="3E964105"/>
    <w:rsid w:val="3ED754A0"/>
    <w:rsid w:val="3F18786F"/>
    <w:rsid w:val="3FB03D5F"/>
    <w:rsid w:val="3FB23C0A"/>
    <w:rsid w:val="408876F4"/>
    <w:rsid w:val="409C5503"/>
    <w:rsid w:val="412B5D8F"/>
    <w:rsid w:val="4134343E"/>
    <w:rsid w:val="4197347F"/>
    <w:rsid w:val="41FC52C5"/>
    <w:rsid w:val="41FC60C0"/>
    <w:rsid w:val="42434046"/>
    <w:rsid w:val="424F77E4"/>
    <w:rsid w:val="42717674"/>
    <w:rsid w:val="43D56994"/>
    <w:rsid w:val="44244859"/>
    <w:rsid w:val="446328B5"/>
    <w:rsid w:val="44C70D28"/>
    <w:rsid w:val="45642AE6"/>
    <w:rsid w:val="461C1543"/>
    <w:rsid w:val="46CA02A1"/>
    <w:rsid w:val="471F7B17"/>
    <w:rsid w:val="47574851"/>
    <w:rsid w:val="47D009BC"/>
    <w:rsid w:val="48942E8C"/>
    <w:rsid w:val="49974833"/>
    <w:rsid w:val="49F71B89"/>
    <w:rsid w:val="49FD76F2"/>
    <w:rsid w:val="4A2E0D66"/>
    <w:rsid w:val="4A733C53"/>
    <w:rsid w:val="4ABA01CF"/>
    <w:rsid w:val="4B202B1B"/>
    <w:rsid w:val="4BCA0A71"/>
    <w:rsid w:val="4D0C2D49"/>
    <w:rsid w:val="4D3F4B3C"/>
    <w:rsid w:val="4DA0447F"/>
    <w:rsid w:val="4E925AB1"/>
    <w:rsid w:val="4EA93FCA"/>
    <w:rsid w:val="4ECB6A56"/>
    <w:rsid w:val="4F164A1C"/>
    <w:rsid w:val="4F1A565C"/>
    <w:rsid w:val="4F6E40EE"/>
    <w:rsid w:val="4F881229"/>
    <w:rsid w:val="4F917967"/>
    <w:rsid w:val="4FCF3A23"/>
    <w:rsid w:val="502C2BC6"/>
    <w:rsid w:val="50841015"/>
    <w:rsid w:val="50965AD7"/>
    <w:rsid w:val="50DD33D4"/>
    <w:rsid w:val="518956B6"/>
    <w:rsid w:val="51A92AD0"/>
    <w:rsid w:val="51B724AB"/>
    <w:rsid w:val="51BA31F3"/>
    <w:rsid w:val="525F0769"/>
    <w:rsid w:val="531320EE"/>
    <w:rsid w:val="545579E4"/>
    <w:rsid w:val="54952069"/>
    <w:rsid w:val="54E9612A"/>
    <w:rsid w:val="550C1990"/>
    <w:rsid w:val="554B3BDD"/>
    <w:rsid w:val="56370441"/>
    <w:rsid w:val="56405F37"/>
    <w:rsid w:val="573723F3"/>
    <w:rsid w:val="575A74B3"/>
    <w:rsid w:val="58CE1745"/>
    <w:rsid w:val="59091227"/>
    <w:rsid w:val="59414A38"/>
    <w:rsid w:val="59930380"/>
    <w:rsid w:val="59F53DE9"/>
    <w:rsid w:val="5A3E20F7"/>
    <w:rsid w:val="5B8F08CA"/>
    <w:rsid w:val="5C1E64D2"/>
    <w:rsid w:val="5D455D0B"/>
    <w:rsid w:val="5DA62B2D"/>
    <w:rsid w:val="5DE3228A"/>
    <w:rsid w:val="5F57642D"/>
    <w:rsid w:val="5F922B15"/>
    <w:rsid w:val="5FFA7CDD"/>
    <w:rsid w:val="60C7603F"/>
    <w:rsid w:val="6194215B"/>
    <w:rsid w:val="61F17199"/>
    <w:rsid w:val="62E02EA8"/>
    <w:rsid w:val="634645CF"/>
    <w:rsid w:val="63A34945"/>
    <w:rsid w:val="65093B08"/>
    <w:rsid w:val="656F7F6B"/>
    <w:rsid w:val="658348B0"/>
    <w:rsid w:val="659201DA"/>
    <w:rsid w:val="66397D0B"/>
    <w:rsid w:val="664946EC"/>
    <w:rsid w:val="666A7BDE"/>
    <w:rsid w:val="6717222F"/>
    <w:rsid w:val="67E46A44"/>
    <w:rsid w:val="67FF31A8"/>
    <w:rsid w:val="68576FE6"/>
    <w:rsid w:val="68D9096C"/>
    <w:rsid w:val="6921566A"/>
    <w:rsid w:val="694A2434"/>
    <w:rsid w:val="69797C2C"/>
    <w:rsid w:val="69800948"/>
    <w:rsid w:val="69B876C8"/>
    <w:rsid w:val="6A80198E"/>
    <w:rsid w:val="6AFE7C60"/>
    <w:rsid w:val="6B5437DD"/>
    <w:rsid w:val="6B80229B"/>
    <w:rsid w:val="6C6F6BDB"/>
    <w:rsid w:val="6CCA6BE0"/>
    <w:rsid w:val="6DCD0934"/>
    <w:rsid w:val="6E994BBA"/>
    <w:rsid w:val="6F257C47"/>
    <w:rsid w:val="6F9645D3"/>
    <w:rsid w:val="6FB13745"/>
    <w:rsid w:val="6FF0262C"/>
    <w:rsid w:val="6FFB2F65"/>
    <w:rsid w:val="70475EEF"/>
    <w:rsid w:val="70A74631"/>
    <w:rsid w:val="70B17FBA"/>
    <w:rsid w:val="70B67226"/>
    <w:rsid w:val="71994182"/>
    <w:rsid w:val="722A3C97"/>
    <w:rsid w:val="733156C3"/>
    <w:rsid w:val="734616B3"/>
    <w:rsid w:val="73462C81"/>
    <w:rsid w:val="73CB0276"/>
    <w:rsid w:val="742456FE"/>
    <w:rsid w:val="744C71AF"/>
    <w:rsid w:val="75A95E94"/>
    <w:rsid w:val="77D13FD1"/>
    <w:rsid w:val="781B0FDA"/>
    <w:rsid w:val="78841311"/>
    <w:rsid w:val="78AB7F24"/>
    <w:rsid w:val="78B872CD"/>
    <w:rsid w:val="796B7AAF"/>
    <w:rsid w:val="796F04F9"/>
    <w:rsid w:val="7A0069A7"/>
    <w:rsid w:val="7A165D44"/>
    <w:rsid w:val="7A3E0FC8"/>
    <w:rsid w:val="7AB411E8"/>
    <w:rsid w:val="7AED1E1D"/>
    <w:rsid w:val="7CA05880"/>
    <w:rsid w:val="7CAA6F9D"/>
    <w:rsid w:val="7CBE3500"/>
    <w:rsid w:val="7CFE09A7"/>
    <w:rsid w:val="7D7A1AFA"/>
    <w:rsid w:val="7E0B0E89"/>
    <w:rsid w:val="7E612140"/>
    <w:rsid w:val="7EEB05F3"/>
    <w:rsid w:val="7FB55A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319BD3BA-BC3A-464E-858B-5ACA864F8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nhideWhenUsed="1"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qFormat="1"/>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qFormat="1"/>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pacing w:after="200" w:line="300" w:lineRule="auto"/>
    </w:pPr>
    <w:rPr>
      <w:rFonts w:eastAsiaTheme="minorEastAsia"/>
      <w:szCs w:val="22"/>
    </w:rPr>
  </w:style>
  <w:style w:type="paragraph" w:styleId="1">
    <w:name w:val="heading 1"/>
    <w:next w:val="a"/>
    <w:link w:val="1Char"/>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adjustRightInd/>
      <w:spacing w:after="180" w:line="240" w:lineRule="auto"/>
      <w:ind w:left="568" w:hanging="284"/>
    </w:pPr>
    <w:rPr>
      <w:szCs w:val="20"/>
      <w:lang w:val="en-GB" w:eastAsia="en-US"/>
    </w:rPr>
  </w:style>
  <w:style w:type="paragraph" w:styleId="a4">
    <w:name w:val="annotation subject"/>
    <w:basedOn w:val="a5"/>
    <w:next w:val="a5"/>
    <w:link w:val="Char0"/>
    <w:uiPriority w:val="99"/>
    <w:unhideWhenUsed/>
    <w:qFormat/>
    <w:rPr>
      <w:b/>
      <w:bCs/>
    </w:rPr>
  </w:style>
  <w:style w:type="paragraph" w:styleId="a5">
    <w:name w:val="annotation text"/>
    <w:basedOn w:val="a"/>
    <w:link w:val="Char1"/>
    <w:unhideWhenUsed/>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Normal Indent"/>
    <w:basedOn w:val="a"/>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a9">
    <w:name w:val="caption"/>
    <w:basedOn w:val="a"/>
    <w:next w:val="a"/>
    <w:link w:val="Char2"/>
    <w:qFormat/>
    <w:pPr>
      <w:adjustRightInd/>
      <w:spacing w:before="120" w:after="120" w:line="240" w:lineRule="auto"/>
    </w:pPr>
    <w:rPr>
      <w:b/>
      <w:szCs w:val="20"/>
      <w:lang w:val="en-GB" w:eastAsia="en-US"/>
    </w:rPr>
  </w:style>
  <w:style w:type="paragraph" w:styleId="aa">
    <w:name w:val="Document Map"/>
    <w:basedOn w:val="a"/>
    <w:link w:val="Char3"/>
    <w:uiPriority w:val="99"/>
    <w:unhideWhenUsed/>
    <w:qFormat/>
    <w:rPr>
      <w:rFonts w:ascii="宋体"/>
      <w:sz w:val="18"/>
      <w:szCs w:val="18"/>
    </w:rPr>
  </w:style>
  <w:style w:type="paragraph" w:styleId="ab">
    <w:name w:val="Body Text"/>
    <w:basedOn w:val="a"/>
    <w:link w:val="Char4"/>
    <w:qFormat/>
    <w:pPr>
      <w:adjustRightInd/>
      <w:spacing w:after="180" w:line="240" w:lineRule="auto"/>
    </w:pPr>
    <w:rPr>
      <w:szCs w:val="20"/>
      <w:lang w:val="en-GB" w:eastAsia="en-US"/>
    </w:rPr>
  </w:style>
  <w:style w:type="paragraph" w:styleId="ac">
    <w:name w:val="Plain Text"/>
    <w:basedOn w:val="a"/>
    <w:link w:val="Char5"/>
    <w:uiPriority w:val="99"/>
    <w:qFormat/>
    <w:pPr>
      <w:adjustRightInd/>
      <w:spacing w:after="180" w:line="240" w:lineRule="auto"/>
    </w:pPr>
    <w:rPr>
      <w:rFonts w:ascii="Courier New" w:hAnsi="Courier New"/>
      <w:szCs w:val="20"/>
      <w:lang w:val="nb-NO" w:eastAsia="en-US"/>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qFormat/>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
    <w:link w:val="2Char1"/>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e">
    <w:name w:val="Balloon Text"/>
    <w:basedOn w:val="a"/>
    <w:link w:val="Char7"/>
    <w:uiPriority w:val="99"/>
    <w:unhideWhenUsed/>
    <w:qFormat/>
    <w:rPr>
      <w:sz w:val="18"/>
      <w:szCs w:val="18"/>
    </w:rPr>
  </w:style>
  <w:style w:type="paragraph" w:styleId="af">
    <w:name w:val="footer"/>
    <w:basedOn w:val="a"/>
    <w:link w:val="Char8"/>
    <w:qFormat/>
    <w:pPr>
      <w:tabs>
        <w:tab w:val="center" w:pos="4153"/>
        <w:tab w:val="right" w:pos="8306"/>
      </w:tabs>
      <w:snapToGrid w:val="0"/>
    </w:pPr>
    <w:rPr>
      <w:sz w:val="18"/>
      <w:szCs w:val="18"/>
    </w:rPr>
  </w:style>
  <w:style w:type="paragraph" w:styleId="af0">
    <w:name w:val="header"/>
    <w:basedOn w:val="a"/>
    <w:link w:val="Char9"/>
    <w:qFormat/>
    <w:pPr>
      <w:pBdr>
        <w:bottom w:val="single" w:sz="6" w:space="1" w:color="auto"/>
      </w:pBdr>
      <w:tabs>
        <w:tab w:val="center" w:pos="4153"/>
        <w:tab w:val="right" w:pos="8306"/>
      </w:tabs>
      <w:snapToGrid w:val="0"/>
      <w:jc w:val="center"/>
    </w:pPr>
    <w:rPr>
      <w:sz w:val="18"/>
      <w:szCs w:val="18"/>
    </w:rPr>
  </w:style>
  <w:style w:type="paragraph" w:styleId="af1">
    <w:name w:val="index heading"/>
    <w:basedOn w:val="a"/>
    <w:next w:val="a"/>
    <w:qFormat/>
    <w:pPr>
      <w:pBdr>
        <w:top w:val="single" w:sz="12" w:space="0" w:color="auto"/>
      </w:pBdr>
      <w:adjustRightInd/>
      <w:spacing w:before="360" w:after="240" w:line="240" w:lineRule="auto"/>
    </w:pPr>
    <w:rPr>
      <w:b/>
      <w:i/>
      <w:sz w:val="26"/>
      <w:szCs w:val="20"/>
      <w:lang w:val="en-GB" w:eastAsia="en-US"/>
    </w:rPr>
  </w:style>
  <w:style w:type="paragraph" w:styleId="af2">
    <w:name w:val="footnote text"/>
    <w:basedOn w:val="a"/>
    <w:link w:val="Chara"/>
    <w:semiHidden/>
    <w:qFormat/>
    <w:pPr>
      <w:keepLines/>
      <w:adjustRightInd/>
      <w:spacing w:line="240" w:lineRule="auto"/>
      <w:ind w:left="454" w:hanging="454"/>
    </w:pPr>
    <w:rPr>
      <w:sz w:val="16"/>
      <w:szCs w:val="20"/>
      <w:lang w:val="en-GB" w:eastAsia="en-US"/>
    </w:rPr>
  </w:style>
  <w:style w:type="paragraph" w:styleId="52">
    <w:name w:val="List 5"/>
    <w:basedOn w:val="42"/>
    <w:qFormat/>
    <w:pPr>
      <w:ind w:left="1702"/>
    </w:pPr>
  </w:style>
  <w:style w:type="paragraph" w:styleId="42">
    <w:name w:val="List 4"/>
    <w:basedOn w:val="30"/>
    <w:qFormat/>
    <w:pPr>
      <w:ind w:left="1418"/>
    </w:pPr>
  </w:style>
  <w:style w:type="paragraph" w:styleId="33">
    <w:name w:val="Body Text Indent 3"/>
    <w:basedOn w:val="a"/>
    <w:link w:val="3Char1"/>
    <w:qFormat/>
    <w:pPr>
      <w:overflowPunct w:val="0"/>
      <w:autoSpaceDE w:val="0"/>
      <w:autoSpaceDN w:val="0"/>
      <w:spacing w:line="240" w:lineRule="auto"/>
      <w:ind w:left="1080"/>
      <w:textAlignment w:val="baseline"/>
    </w:pPr>
    <w:rPr>
      <w:szCs w:val="20"/>
      <w:lang w:eastAsia="ja-JP"/>
    </w:rPr>
  </w:style>
  <w:style w:type="paragraph" w:styleId="90">
    <w:name w:val="toc 9"/>
    <w:basedOn w:val="80"/>
    <w:next w:val="a"/>
    <w:qFormat/>
    <w:pPr>
      <w:ind w:left="1418" w:hanging="1418"/>
    </w:pPr>
  </w:style>
  <w:style w:type="paragraph" w:styleId="25">
    <w:name w:val="Body Text 2"/>
    <w:basedOn w:val="a"/>
    <w:link w:val="2Char2"/>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3">
    <w:name w:val="Normal (Web)"/>
    <w:basedOn w:val="a"/>
    <w:uiPriority w:val="99"/>
    <w:qFormat/>
    <w:pPr>
      <w:adjustRightInd/>
      <w:spacing w:before="100" w:beforeAutospacing="1" w:after="100" w:afterAutospacing="1" w:line="240" w:lineRule="auto"/>
    </w:pPr>
    <w:rPr>
      <w:rFonts w:eastAsia="Batang"/>
      <w:sz w:val="24"/>
      <w:szCs w:val="24"/>
      <w:lang w:eastAsia="ko-KR"/>
    </w:rPr>
  </w:style>
  <w:style w:type="paragraph" w:styleId="11">
    <w:name w:val="index 1"/>
    <w:basedOn w:val="a"/>
    <w:next w:val="a"/>
    <w:semiHidden/>
    <w:qFormat/>
    <w:pPr>
      <w:keepLines/>
      <w:adjustRightInd/>
      <w:spacing w:line="240" w:lineRule="auto"/>
    </w:pPr>
    <w:rPr>
      <w:szCs w:val="20"/>
      <w:lang w:val="en-GB" w:eastAsia="en-US"/>
    </w:rPr>
  </w:style>
  <w:style w:type="paragraph" w:styleId="26">
    <w:name w:val="index 2"/>
    <w:basedOn w:val="11"/>
    <w:next w:val="a"/>
    <w:semiHidden/>
    <w:qFormat/>
    <w:pPr>
      <w:ind w:left="284"/>
    </w:pPr>
  </w:style>
  <w:style w:type="character" w:styleId="af4">
    <w:name w:val="Strong"/>
    <w:qFormat/>
    <w:rPr>
      <w:rFonts w:ascii="Arial" w:eastAsia="宋体" w:hAnsi="Arial" w:cs="Arial"/>
      <w:b/>
      <w:bCs/>
      <w:color w:val="0000FF"/>
      <w:kern w:val="2"/>
      <w:lang w:val="en-US" w:eastAsia="zh-CN" w:bidi="ar-SA"/>
    </w:rPr>
  </w:style>
  <w:style w:type="character" w:styleId="af5">
    <w:name w:val="page number"/>
    <w:basedOn w:val="a0"/>
    <w:semiHidden/>
    <w:qFormat/>
  </w:style>
  <w:style w:type="character" w:styleId="af6">
    <w:name w:val="FollowedHyperlink"/>
    <w:qFormat/>
    <w:rPr>
      <w:color w:val="800080"/>
      <w:u w:val="single"/>
    </w:rPr>
  </w:style>
  <w:style w:type="character" w:styleId="af7">
    <w:name w:val="Emphasis"/>
    <w:qFormat/>
    <w:rPr>
      <w:i/>
      <w:iCs/>
    </w:rPr>
  </w:style>
  <w:style w:type="character" w:styleId="af8">
    <w:name w:val="line number"/>
    <w:qFormat/>
    <w:rPr>
      <w:rFonts w:ascii="Arial" w:eastAsia="宋体" w:hAnsi="Arial" w:cs="Arial"/>
      <w:color w:val="0000FF"/>
      <w:kern w:val="2"/>
      <w:sz w:val="18"/>
      <w:lang w:val="en-US" w:eastAsia="zh-CN" w:bidi="ar-SA"/>
    </w:rPr>
  </w:style>
  <w:style w:type="character" w:styleId="af9">
    <w:name w:val="Hyperlink"/>
    <w:qFormat/>
    <w:rPr>
      <w:color w:val="0000FF"/>
      <w:u w:val="single"/>
    </w:rPr>
  </w:style>
  <w:style w:type="character" w:styleId="afa">
    <w:name w:val="annotation reference"/>
    <w:basedOn w:val="a0"/>
    <w:unhideWhenUsed/>
    <w:qFormat/>
    <w:rPr>
      <w:sz w:val="21"/>
      <w:szCs w:val="21"/>
    </w:rPr>
  </w:style>
  <w:style w:type="character" w:styleId="afb">
    <w:name w:val="footnote reference"/>
    <w:semiHidden/>
    <w:qFormat/>
    <w:rPr>
      <w:b/>
      <w:position w:val="6"/>
      <w:sz w:val="16"/>
    </w:rPr>
  </w:style>
  <w:style w:type="table" w:styleId="afc">
    <w:name w:val="Table Grid"/>
    <w:basedOn w:val="a1"/>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2-2">
    <w:name w:val="Medium Shading 2 Accent 2"/>
    <w:basedOn w:val="a1"/>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Grid 2 Accent 1"/>
    <w:basedOn w:val="a1"/>
    <w:uiPriority w:val="68"/>
    <w:qFormat/>
    <w:rPr>
      <w:rFonts w:asciiTheme="majorHAnsi" w:eastAsiaTheme="majorEastAsia" w:hAnsiTheme="majorHAnsi" w:cstheme="majorBidi"/>
      <w:color w:val="000000" w:themeColor="text1"/>
    </w:rPr>
    <w:tblPr>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auto"/>
          <w:insideV w:val="single" w:sz="6" w:space="0" w:color="auto"/>
        </w:tcBorders>
        <w:shd w:val="clear" w:color="auto" w:fill="EEEEEE" w:themeFill="accent1" w:themeFillTint="7F"/>
      </w:tcPr>
    </w:tblStylePr>
    <w:tblStylePr w:type="nwCell">
      <w:tblPr/>
      <w:tcPr>
        <w:shd w:val="clear" w:color="auto" w:fill="FFFFFF" w:themeFill="background1"/>
      </w:tcPr>
    </w:tblStylePr>
  </w:style>
  <w:style w:type="table" w:styleId="2-5">
    <w:name w:val="Medium Grid 2 Accent 5"/>
    <w:basedOn w:val="a1"/>
    <w:uiPriority w:val="68"/>
    <w:qFormat/>
    <w:rPr>
      <w:rFonts w:asciiTheme="majorHAnsi" w:eastAsiaTheme="majorEastAsia" w:hAnsiTheme="majorHAnsi" w:cstheme="majorBidi"/>
      <w:color w:val="000000" w:themeColor="text1"/>
    </w:rPr>
    <w:tblPr>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auto"/>
          <w:insideV w:val="single" w:sz="6" w:space="0" w:color="auto"/>
        </w:tcBorders>
        <w:shd w:val="clear" w:color="auto" w:fill="AFAFAF" w:themeFill="accent5" w:themeFillTint="7F"/>
      </w:tcPr>
    </w:tblStylePr>
    <w:tblStylePr w:type="nwCell">
      <w:tblPr/>
      <w:tcPr>
        <w:shd w:val="clear" w:color="auto" w:fill="FFFFFF" w:themeFill="background1"/>
      </w:tcPr>
    </w:tblStylePr>
  </w:style>
  <w:style w:type="character" w:customStyle="1" w:styleId="Char7">
    <w:name w:val="批注框文本 Char"/>
    <w:basedOn w:val="a0"/>
    <w:link w:val="ae"/>
    <w:uiPriority w:val="99"/>
    <w:semiHidden/>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PlaceholderText1">
    <w:name w:val="Placeholder Text1"/>
    <w:basedOn w:val="a0"/>
    <w:uiPriority w:val="99"/>
    <w:unhideWhenUsed/>
    <w:qFormat/>
    <w:rPr>
      <w:color w:val="808080"/>
    </w:rPr>
  </w:style>
  <w:style w:type="character" w:customStyle="1" w:styleId="Char3">
    <w:name w:val="文档结构图 Char"/>
    <w:basedOn w:val="a0"/>
    <w:link w:val="aa"/>
    <w:uiPriority w:val="99"/>
    <w:semiHidden/>
    <w:qFormat/>
    <w:rPr>
      <w:rFonts w:ascii="宋体"/>
      <w:sz w:val="18"/>
      <w:szCs w:val="18"/>
    </w:rPr>
  </w:style>
  <w:style w:type="character" w:customStyle="1" w:styleId="Char1">
    <w:name w:val="批注文字 Char"/>
    <w:basedOn w:val="a0"/>
    <w:link w:val="a5"/>
    <w:qFormat/>
    <w:rPr>
      <w:szCs w:val="22"/>
    </w:rPr>
  </w:style>
  <w:style w:type="character" w:customStyle="1" w:styleId="Char0">
    <w:name w:val="批注主题 Char"/>
    <w:basedOn w:val="Char1"/>
    <w:link w:val="a4"/>
    <w:uiPriority w:val="99"/>
    <w:qFormat/>
    <w:rPr>
      <w:b/>
      <w:bCs/>
      <w:szCs w:val="22"/>
    </w:rPr>
  </w:style>
  <w:style w:type="character" w:customStyle="1" w:styleId="1Char">
    <w:name w:val="标题 1 Char"/>
    <w:basedOn w:val="a0"/>
    <w:link w:val="1"/>
    <w:qFormat/>
    <w:rPr>
      <w:rFonts w:ascii="Arial" w:hAnsi="Arial"/>
      <w:sz w:val="3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3Char">
    <w:name w:val="标题 3 Char"/>
    <w:basedOn w:val="a0"/>
    <w:link w:val="3"/>
    <w:qFormat/>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qFormat/>
    <w:rPr>
      <w:rFonts w:ascii="Arial" w:hAnsi="Arial"/>
      <w:sz w:val="36"/>
      <w:lang w:val="en-GB" w:eastAsia="en-US"/>
    </w:rPr>
  </w:style>
  <w:style w:type="paragraph" w:customStyle="1" w:styleId="EQ">
    <w:name w:val="EQ"/>
    <w:basedOn w:val="a"/>
    <w:next w:val="a"/>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character" w:customStyle="1" w:styleId="Chara">
    <w:name w:val="脚注文本 Char"/>
    <w:basedOn w:val="a0"/>
    <w:link w:val="af2"/>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adjustRightInd/>
      <w:spacing w:line="240" w:lineRule="auto"/>
    </w:pPr>
    <w:rPr>
      <w:rFonts w:ascii="Arial" w:hAnsi="Arial"/>
      <w:sz w:val="18"/>
      <w:szCs w:val="20"/>
      <w:lang w:eastAsia="en-US"/>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qFormat/>
    <w:pPr>
      <w:keepLines/>
      <w:adjustRightInd/>
      <w:spacing w:after="180" w:line="240" w:lineRule="auto"/>
      <w:ind w:left="1702" w:hanging="1418"/>
    </w:pPr>
    <w:rPr>
      <w:szCs w:val="20"/>
      <w:lang w:val="en-GB" w:eastAsia="en-US"/>
    </w:rPr>
  </w:style>
  <w:style w:type="paragraph" w:customStyle="1" w:styleId="FP">
    <w:name w:val="FP"/>
    <w:basedOn w:val="a"/>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20"/>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adjustRightInd/>
      <w:spacing w:after="180" w:line="240" w:lineRule="auto"/>
      <w:ind w:left="851"/>
    </w:pPr>
    <w:rPr>
      <w:szCs w:val="20"/>
      <w:lang w:val="en-GB" w:eastAsia="en-US"/>
    </w:rPr>
  </w:style>
  <w:style w:type="paragraph" w:customStyle="1" w:styleId="INDENT2">
    <w:name w:val="INDENT2"/>
    <w:basedOn w:val="a"/>
    <w:qFormat/>
    <w:pPr>
      <w:adjustRightInd/>
      <w:spacing w:after="180" w:line="240" w:lineRule="auto"/>
      <w:ind w:left="1135" w:hanging="284"/>
    </w:pPr>
    <w:rPr>
      <w:szCs w:val="20"/>
      <w:lang w:val="en-GB" w:eastAsia="en-US"/>
    </w:rPr>
  </w:style>
  <w:style w:type="paragraph" w:customStyle="1" w:styleId="INDENT3">
    <w:name w:val="INDENT3"/>
    <w:basedOn w:val="a"/>
    <w:qFormat/>
    <w:pPr>
      <w:adjustRightInd/>
      <w:spacing w:after="180" w:line="240" w:lineRule="auto"/>
      <w:ind w:left="1701" w:hanging="567"/>
    </w:pPr>
    <w:rPr>
      <w:szCs w:val="20"/>
      <w:lang w:val="en-GB" w:eastAsia="en-US"/>
    </w:rPr>
  </w:style>
  <w:style w:type="paragraph" w:customStyle="1" w:styleId="FigureTitle">
    <w:name w:val="Figure_Title"/>
    <w:basedOn w:val="a"/>
    <w:next w:val="a"/>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qFormat/>
    <w:pPr>
      <w:keepNext/>
      <w:keepLines/>
      <w:adjustRightInd/>
      <w:spacing w:after="180" w:line="240" w:lineRule="auto"/>
    </w:pPr>
    <w:rPr>
      <w:b/>
      <w:szCs w:val="20"/>
      <w:lang w:val="en-GB" w:eastAsia="en-US"/>
    </w:rPr>
  </w:style>
  <w:style w:type="paragraph" w:customStyle="1" w:styleId="enumlev2">
    <w:name w:val="enumlev2"/>
    <w:basedOn w:val="a"/>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qFormat/>
    <w:pPr>
      <w:keepNext/>
      <w:keepLines/>
      <w:adjustRightInd/>
      <w:spacing w:before="240" w:after="180" w:line="240" w:lineRule="auto"/>
      <w:ind w:left="1418"/>
    </w:pPr>
    <w:rPr>
      <w:rFonts w:ascii="Arial" w:hAnsi="Arial"/>
      <w:b/>
      <w:sz w:val="36"/>
      <w:szCs w:val="20"/>
      <w:lang w:eastAsia="en-US"/>
    </w:rPr>
  </w:style>
  <w:style w:type="character" w:customStyle="1" w:styleId="Char5">
    <w:name w:val="纯文本 Char"/>
    <w:basedOn w:val="a0"/>
    <w:link w:val="ac"/>
    <w:uiPriority w:val="99"/>
    <w:qFormat/>
    <w:rPr>
      <w:rFonts w:ascii="Courier New" w:hAnsi="Courier New"/>
      <w:lang w:val="nb-NO" w:eastAsia="en-US"/>
    </w:rPr>
  </w:style>
  <w:style w:type="paragraph" w:customStyle="1" w:styleId="TAJ">
    <w:name w:val="TAJ"/>
    <w:basedOn w:val="TH"/>
    <w:qFormat/>
  </w:style>
  <w:style w:type="character" w:customStyle="1" w:styleId="Char4">
    <w:name w:val="正文文本 Char"/>
    <w:basedOn w:val="a0"/>
    <w:link w:val="ab"/>
    <w:qFormat/>
    <w:rPr>
      <w:lang w:val="en-GB" w:eastAsia="en-US"/>
    </w:rPr>
  </w:style>
  <w:style w:type="paragraph" w:customStyle="1" w:styleId="Guidance">
    <w:name w:val="Guidance"/>
    <w:basedOn w:val="a"/>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1"/>
      </w:numPr>
      <w:autoSpaceDE w:val="0"/>
      <w:autoSpaceDN w:val="0"/>
      <w:adjustRightInd w:val="0"/>
      <w:spacing w:before="60" w:after="60" w:line="276" w:lineRule="auto"/>
      <w:jc w:val="both"/>
    </w:pPr>
    <w:rPr>
      <w:rFonts w:ascii="Arial" w:eastAsiaTheme="minorEastAsia" w:hAnsi="Arial" w:cs="Arial"/>
      <w:color w:val="0000FF"/>
      <w:kern w:val="2"/>
    </w:rPr>
  </w:style>
  <w:style w:type="paragraph" w:customStyle="1" w:styleId="CRCoverPage">
    <w:name w:val="CR Cover Page"/>
    <w:next w:val="a"/>
    <w:qFormat/>
    <w:pPr>
      <w:spacing w:after="120" w:line="276" w:lineRule="auto"/>
    </w:pPr>
    <w:rPr>
      <w:rFonts w:ascii="Arial" w:eastAsia="MS Mincho" w:hAnsi="Arial"/>
      <w:lang w:val="en-GB" w:eastAsia="de-DE"/>
    </w:rPr>
  </w:style>
  <w:style w:type="paragraph" w:customStyle="1" w:styleId="Reference">
    <w:name w:val="Reference"/>
    <w:basedOn w:val="a"/>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
    <w:qFormat/>
    <w:pPr>
      <w:numPr>
        <w:numId w:val="2"/>
      </w:numPr>
      <w:adjustRightInd/>
      <w:spacing w:line="240" w:lineRule="auto"/>
      <w:jc w:val="both"/>
    </w:pPr>
    <w:rPr>
      <w:rFonts w:eastAsia="MS Mincho"/>
      <w:szCs w:val="20"/>
      <w:lang w:val="en-GB" w:eastAsia="en-US"/>
    </w:rPr>
  </w:style>
  <w:style w:type="paragraph" w:customStyle="1" w:styleId="Figure">
    <w:name w:val="Figure"/>
    <w:basedOn w:val="a"/>
    <w:next w:val="a"/>
    <w:qFormat/>
    <w:pPr>
      <w:keepNext/>
      <w:adjustRightInd/>
      <w:spacing w:before="60" w:after="60" w:line="240" w:lineRule="auto"/>
      <w:jc w:val="center"/>
    </w:pPr>
    <w:rPr>
      <w:sz w:val="22"/>
      <w:szCs w:val="20"/>
      <w:lang w:eastAsia="en-US"/>
    </w:rPr>
  </w:style>
  <w:style w:type="paragraph" w:customStyle="1" w:styleId="FigureCaption">
    <w:name w:val="Figure Caption"/>
    <w:basedOn w:val="a"/>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qFormat/>
    <w:pPr>
      <w:adjustRightInd/>
      <w:spacing w:before="120" w:after="120" w:line="240" w:lineRule="atLeast"/>
      <w:jc w:val="right"/>
    </w:pPr>
    <w:rPr>
      <w:sz w:val="22"/>
      <w:szCs w:val="20"/>
      <w:lang w:eastAsia="en-US"/>
    </w:rPr>
  </w:style>
  <w:style w:type="paragraph" w:customStyle="1" w:styleId="multifig">
    <w:name w:val="multifig"/>
    <w:basedOn w:val="a"/>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qFormat/>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qFormat/>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0"/>
    <w:link w:val="HTML"/>
    <w:qFormat/>
    <w:rPr>
      <w:rFonts w:ascii="Courier New" w:eastAsia="Batang" w:hAnsi="Courier New" w:cs="Courier New"/>
      <w:lang w:eastAsia="ko-KR"/>
    </w:rPr>
  </w:style>
  <w:style w:type="paragraph" w:customStyle="1" w:styleId="Bullet">
    <w:name w:val="Bullet"/>
    <w:basedOn w:val="a"/>
    <w:qFormat/>
    <w:pPr>
      <w:numPr>
        <w:numId w:val="3"/>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
    <w:next w:val="a"/>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
    <w:qFormat/>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
    <w:qFormat/>
    <w:pPr>
      <w:adjustRightInd/>
      <w:spacing w:line="240" w:lineRule="auto"/>
      <w:jc w:val="both"/>
    </w:pPr>
    <w:rPr>
      <w:sz w:val="16"/>
      <w:szCs w:val="24"/>
      <w:lang w:eastAsia="en-US"/>
    </w:rPr>
  </w:style>
  <w:style w:type="paragraph" w:customStyle="1" w:styleId="figure0">
    <w:name w:val="figure"/>
    <w:basedOn w:val="a"/>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1">
    <w:name w:val="正文文本缩进 3 Char"/>
    <w:basedOn w:val="a0"/>
    <w:link w:val="33"/>
    <w:qFormat/>
    <w:rPr>
      <w:lang w:eastAsia="ja-JP"/>
    </w:rPr>
  </w:style>
  <w:style w:type="paragraph" w:customStyle="1" w:styleId="tah0">
    <w:name w:val="tah"/>
    <w:basedOn w:val="a"/>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spacing w:after="200" w:line="276" w:lineRule="auto"/>
      <w:ind w:left="720" w:hanging="360"/>
      <w:jc w:val="both"/>
    </w:pPr>
    <w:rPr>
      <w:rFonts w:eastAsiaTheme="minorEastAsia"/>
      <w:kern w:val="2"/>
      <w:lang w:val="en-GB"/>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pPr>
      <w:spacing w:after="200" w:line="276" w:lineRule="auto"/>
    </w:pPr>
    <w:rPr>
      <w:rFonts w:eastAsiaTheme="minorEastAsia"/>
      <w:lang w:val="en-GB" w:eastAsia="en-US"/>
    </w:rPr>
  </w:style>
  <w:style w:type="character" w:customStyle="1" w:styleId="B1Char1">
    <w:name w:val="B1 Char1"/>
    <w:link w:val="B1"/>
    <w:qFormat/>
    <w:rPr>
      <w:lang w:val="en-GB" w:eastAsia="en-US"/>
    </w:rPr>
  </w:style>
  <w:style w:type="character" w:customStyle="1" w:styleId="2Char2">
    <w:name w:val="正文文本 2 Char"/>
    <w:basedOn w:val="a0"/>
    <w:link w:val="25"/>
    <w:qFormat/>
    <w:rPr>
      <w:rFonts w:eastAsia="Times New Roman"/>
      <w:kern w:val="2"/>
      <w:sz w:val="21"/>
      <w:lang w:eastAsia="ja-JP"/>
    </w:rPr>
  </w:style>
  <w:style w:type="character" w:customStyle="1" w:styleId="2Char1">
    <w:name w:val="正文文本缩进 2 Char"/>
    <w:basedOn w:val="a0"/>
    <w:link w:val="24"/>
    <w:qFormat/>
    <w:rPr>
      <w:rFonts w:eastAsia="Times New Roman"/>
      <w:kern w:val="2"/>
      <w:lang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qFormat/>
    <w:pPr>
      <w:spacing w:after="200" w:line="276" w:lineRule="auto"/>
    </w:pPr>
    <w:rPr>
      <w:rFonts w:ascii="Arial" w:eastAsia="MS Mincho" w:hAnsi="Arial"/>
      <w:lang w:val="en-GB" w:eastAsia="en-US"/>
    </w:rPr>
  </w:style>
  <w:style w:type="paragraph" w:customStyle="1" w:styleId="TabList">
    <w:name w:val="TabList"/>
    <w:basedOn w:val="a"/>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qFormat/>
    <w:pPr>
      <w:keepNext/>
      <w:keepLines/>
      <w:numPr>
        <w:numId w:val="5"/>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textintend2">
    <w:name w:val="text intend 2"/>
    <w:basedOn w:val="text"/>
    <w:qFormat/>
    <w:pPr>
      <w:widowControl/>
      <w:numPr>
        <w:numId w:val="7"/>
      </w:numPr>
      <w:spacing w:after="120"/>
    </w:pPr>
    <w:rPr>
      <w:rFonts w:eastAsia="MS Mincho"/>
      <w:lang w:val="en-US"/>
    </w:rPr>
  </w:style>
  <w:style w:type="paragraph" w:customStyle="1" w:styleId="textintend3">
    <w:name w:val="text intend 3"/>
    <w:basedOn w:val="text"/>
    <w:qFormat/>
    <w:pPr>
      <w:widowControl/>
      <w:numPr>
        <w:numId w:val="8"/>
      </w:numPr>
      <w:spacing w:after="120"/>
    </w:pPr>
    <w:rPr>
      <w:rFonts w:eastAsia="MS Mincho"/>
      <w:lang w:val="en-US"/>
    </w:rPr>
  </w:style>
  <w:style w:type="paragraph" w:customStyle="1" w:styleId="normalpuce">
    <w:name w:val="normal puce"/>
    <w:basedOn w:val="a"/>
    <w:qFormat/>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qFormat/>
    <w:pPr>
      <w:keepLines w:val="0"/>
      <w:numPr>
        <w:numId w:val="10"/>
      </w:numPr>
      <w:pBdr>
        <w:top w:val="none" w:sz="0" w:space="0" w:color="auto"/>
      </w:pBdr>
      <w:overflowPunct w:val="0"/>
      <w:autoSpaceDE w:val="0"/>
      <w:autoSpaceDN w:val="0"/>
      <w:adjustRightInd w:val="0"/>
      <w:spacing w:after="0"/>
      <w:textAlignment w:val="baseline"/>
    </w:pPr>
    <w:rPr>
      <w:rFonts w:eastAsia="Times New Roman"/>
      <w:b/>
      <w:kern w:val="28"/>
      <w:sz w:val="24"/>
      <w:lang w:val="en-US" w:eastAsia="zh-CN"/>
    </w:rPr>
  </w:style>
  <w:style w:type="character" w:customStyle="1" w:styleId="Char6">
    <w:name w:val="日期 Char"/>
    <w:basedOn w:val="a0"/>
    <w:link w:val="ad"/>
    <w:qFormat/>
    <w:rPr>
      <w:rFonts w:eastAsia="Times New Roman"/>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line="276"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Char">
    <w:name w:val="列表 Char"/>
    <w:link w:val="a3"/>
    <w:qFormat/>
    <w:rPr>
      <w:lang w:val="en-GB" w:eastAsia="en-US"/>
    </w:rPr>
  </w:style>
  <w:style w:type="character" w:customStyle="1" w:styleId="Char9">
    <w:name w:val="页眉 Char"/>
    <w:link w:val="af0"/>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lang w:val="en-GB" w:eastAsia="en-US"/>
    </w:rPr>
  </w:style>
  <w:style w:type="character" w:customStyle="1" w:styleId="3Char0">
    <w:name w:val="列表 3 Char"/>
    <w:link w:val="30"/>
    <w:qFormat/>
    <w:rPr>
      <w:lang w:val="en-GB" w:eastAsia="en-US"/>
    </w:rPr>
  </w:style>
  <w:style w:type="character" w:customStyle="1" w:styleId="B3Char">
    <w:name w:val="B3 Char"/>
    <w:link w:val="B3"/>
    <w:qFormat/>
    <w:rPr>
      <w:lang w:val="en-GB" w:eastAsia="en-US"/>
    </w:rPr>
  </w:style>
  <w:style w:type="character" w:customStyle="1" w:styleId="Char8">
    <w:name w:val="页脚 Char"/>
    <w:link w:val="af"/>
    <w:qFormat/>
    <w:rPr>
      <w:sz w:val="18"/>
      <w:szCs w:val="18"/>
    </w:rPr>
  </w:style>
  <w:style w:type="paragraph" w:customStyle="1" w:styleId="tdoc-header">
    <w:name w:val="tdoc-header"/>
    <w:qFormat/>
    <w:pPr>
      <w:spacing w:after="200" w:line="276"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76" w:lineRule="auto"/>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76" w:lineRule="auto"/>
      <w:jc w:val="both"/>
    </w:pPr>
    <w:rPr>
      <w:rFonts w:eastAsiaTheme="minorEastAsia"/>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76"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
    <w:semiHidden/>
    <w:qFormat/>
    <w:pPr>
      <w:keepNext/>
      <w:tabs>
        <w:tab w:val="left" w:pos="720"/>
      </w:tabs>
      <w:autoSpaceDE w:val="0"/>
      <w:autoSpaceDN w:val="0"/>
      <w:adjustRightInd w:val="0"/>
      <w:spacing w:after="200" w:line="276" w:lineRule="auto"/>
      <w:ind w:left="720" w:hanging="360"/>
      <w:jc w:val="both"/>
    </w:pPr>
    <w:rPr>
      <w:rFonts w:eastAsiaTheme="minorEastAsia"/>
      <w:kern w:val="2"/>
      <w:lang w:val="en-GB"/>
    </w:rPr>
  </w:style>
  <w:style w:type="table" w:customStyle="1" w:styleId="12">
    <w:name w:val="网格型1"/>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a0"/>
    <w:qFormat/>
  </w:style>
  <w:style w:type="character" w:customStyle="1" w:styleId="Char2">
    <w:name w:val="题注 Char"/>
    <w:link w:val="a9"/>
    <w:qFormat/>
    <w:rPr>
      <w:b/>
      <w:lang w:val="en-GB" w:eastAsia="en-US"/>
    </w:rPr>
  </w:style>
  <w:style w:type="character" w:customStyle="1" w:styleId="ListParagraphChar">
    <w:name w:val="List Paragraph Char"/>
    <w:link w:val="ListParagraph1"/>
    <w:uiPriority w:val="34"/>
    <w:qFormat/>
    <w:locked/>
    <w:rPr>
      <w:szCs w:val="22"/>
    </w:rPr>
  </w:style>
  <w:style w:type="character" w:customStyle="1" w:styleId="def">
    <w:name w:val="def"/>
    <w:basedOn w:val="a0"/>
    <w:qFormat/>
  </w:style>
  <w:style w:type="paragraph" w:customStyle="1" w:styleId="Doc-text2">
    <w:name w:val="Doc-text2"/>
    <w:basedOn w:val="a"/>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a0"/>
    <w:link w:val="Doc-text2"/>
    <w:qFormat/>
    <w:rPr>
      <w:rFonts w:ascii="Arial" w:eastAsia="MS Mincho" w:hAnsi="Arial"/>
      <w:szCs w:val="24"/>
      <w:lang w:val="en-GB" w:eastAsia="en-GB"/>
    </w:rPr>
  </w:style>
  <w:style w:type="table" w:customStyle="1" w:styleId="MediumShading2-Accent11">
    <w:name w:val="Medium Shading 2 - Accent 11"/>
    <w:basedOn w:val="a1"/>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Style1">
    <w:name w:val="_Style 1"/>
    <w:basedOn w:val="a"/>
    <w:uiPriority w:val="34"/>
    <w:qFormat/>
    <w:pPr>
      <w:ind w:leftChars="400" w:left="840"/>
    </w:pPr>
  </w:style>
  <w:style w:type="paragraph" w:customStyle="1" w:styleId="13">
    <w:name w:val="列出段落1"/>
    <w:basedOn w:val="a"/>
    <w:uiPriority w:val="34"/>
    <w:unhideWhenUsed/>
    <w:qFormat/>
    <w:pPr>
      <w:spacing w:after="0"/>
      <w:ind w:firstLineChars="200" w:firstLine="420"/>
    </w:pPr>
  </w:style>
  <w:style w:type="paragraph" w:customStyle="1" w:styleId="ListParagraph2">
    <w:name w:val="List Paragraph2"/>
    <w:basedOn w:val="a"/>
    <w:uiPriority w:val="34"/>
    <w:qFormat/>
    <w:pPr>
      <w:ind w:leftChars="400" w:left="840"/>
    </w:pPr>
  </w:style>
  <w:style w:type="paragraph" w:customStyle="1" w:styleId="27">
    <w:name w:val="列出段落2"/>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1F81CF-621D-4838-B009-105354FAD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1940</Words>
  <Characters>11060</Characters>
  <Application>Microsoft Office Word</Application>
  <DocSecurity>0</DocSecurity>
  <Lines>92</Lines>
  <Paragraphs>25</Paragraphs>
  <ScaleCrop>false</ScaleCrop>
  <Company>Microsoft</Company>
  <LinksUpToDate>false</LinksUpToDate>
  <CharactersWithSpaces>12975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10186871</dc:creator>
  <cp:lastModifiedBy>张峻峰10005275</cp:lastModifiedBy>
  <cp:revision>13</cp:revision>
  <cp:lastPrinted>2017-09-28T19:34:00Z</cp:lastPrinted>
  <dcterms:created xsi:type="dcterms:W3CDTF">2017-03-21T19:11:00Z</dcterms:created>
  <dcterms:modified xsi:type="dcterms:W3CDTF">2018-05-11T09:02:00Z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