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78B11B82"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#92</w:t>
      </w:r>
      <w:r>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4A46EC" w:rsidRPr="004A46EC">
        <w:rPr>
          <w:rFonts w:ascii="Arial" w:hAnsi="Arial" w:cs="Arial"/>
          <w:b/>
          <w:sz w:val="24"/>
        </w:rPr>
        <w:t>R1-1804752</w:t>
      </w:r>
    </w:p>
    <w:p w14:paraId="719E3DBE" w14:textId="63CE06D0" w:rsidR="0030068F" w:rsidRPr="00FC7BBB" w:rsidRDefault="002D71FF" w:rsidP="0030068F">
      <w:pPr>
        <w:spacing w:after="0"/>
        <w:rPr>
          <w:rFonts w:ascii="Arial" w:hAnsi="Arial" w:cs="Arial"/>
          <w:b/>
          <w:sz w:val="24"/>
        </w:rPr>
      </w:pPr>
      <w:proofErr w:type="spellStart"/>
      <w:r>
        <w:rPr>
          <w:rFonts w:ascii="Arial" w:hAnsi="Arial" w:cs="Arial"/>
          <w:b/>
          <w:sz w:val="24"/>
          <w:lang w:val="en-US"/>
        </w:rPr>
        <w:t>Sanya</w:t>
      </w:r>
      <w:proofErr w:type="spellEnd"/>
      <w:r>
        <w:rPr>
          <w:rFonts w:ascii="Arial" w:hAnsi="Arial" w:cs="Arial"/>
          <w:b/>
          <w:sz w:val="24"/>
          <w:lang w:val="en-US"/>
        </w:rPr>
        <w:t>, China</w:t>
      </w:r>
      <w:r w:rsidRPr="002C4AFA">
        <w:rPr>
          <w:rFonts w:ascii="Arial" w:hAnsi="Arial" w:cs="Arial"/>
          <w:b/>
          <w:sz w:val="24"/>
          <w:lang w:val="en-US"/>
        </w:rPr>
        <w:t xml:space="preserve">, </w:t>
      </w:r>
      <w:r>
        <w:rPr>
          <w:rFonts w:ascii="Arial" w:hAnsi="Arial" w:cs="Arial"/>
          <w:b/>
          <w:sz w:val="24"/>
          <w:lang w:val="en-US"/>
        </w:rPr>
        <w:t>April 16</w:t>
      </w:r>
      <w:r w:rsidRPr="003E5A52">
        <w:rPr>
          <w:rFonts w:ascii="Arial" w:hAnsi="Arial" w:cs="Arial"/>
          <w:b/>
          <w:sz w:val="24"/>
          <w:vertAlign w:val="superscript"/>
          <w:lang w:val="en-US"/>
        </w:rPr>
        <w:t>th</w:t>
      </w:r>
      <w:r>
        <w:rPr>
          <w:rFonts w:ascii="Arial" w:hAnsi="Arial" w:cs="Arial"/>
          <w:b/>
          <w:sz w:val="24"/>
          <w:lang w:val="en-US"/>
        </w:rPr>
        <w:t xml:space="preserve"> – 20</w:t>
      </w:r>
      <w:r w:rsidRPr="003E5A52">
        <w:rPr>
          <w:rFonts w:ascii="Arial" w:hAnsi="Arial" w:cs="Arial"/>
          <w:b/>
          <w:sz w:val="24"/>
          <w:vertAlign w:val="superscript"/>
          <w:lang w:val="en-US"/>
        </w:rPr>
        <w:t>th</w:t>
      </w:r>
      <w:r>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07CDE64"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A85991">
        <w:rPr>
          <w:rFonts w:ascii="Arial" w:hAnsi="Arial" w:cs="Arial"/>
          <w:b/>
          <w:bCs/>
          <w:sz w:val="24"/>
          <w:lang w:val="en-US"/>
        </w:rPr>
        <w:t>7.6.3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1F67D2BE"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7B2273" w:rsidRPr="007B2273">
        <w:rPr>
          <w:rFonts w:ascii="Arial" w:hAnsi="Arial" w:cs="Arial"/>
          <w:b/>
          <w:bCs/>
          <w:sz w:val="24"/>
          <w:lang w:val="en-US"/>
        </w:rPr>
        <w:t>Enhancements to NR to operate in unlicensed spectrum</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6D0C72E6" w14:textId="6B3AD0F7" w:rsidR="007B2273" w:rsidRDefault="00E750D7" w:rsidP="00E750D7">
      <w:r>
        <w:t xml:space="preserve">In RAN1 #92, </w:t>
      </w:r>
      <w:r w:rsidR="00ED6AD8">
        <w:t xml:space="preserve">the study on NR-based access to unlicensed spectrum has started </w:t>
      </w:r>
      <w:r w:rsidR="007B2273">
        <w:t xml:space="preserve">with the following objectives </w:t>
      </w:r>
      <w:r w:rsidR="00ED6AD8">
        <w:t>[1]</w:t>
      </w:r>
      <w:r w:rsidR="007B2273">
        <w:t>:</w:t>
      </w:r>
      <w:r w:rsidR="00ED6AD8">
        <w:t xml:space="preserve"> </w:t>
      </w:r>
    </w:p>
    <w:p w14:paraId="34C4F525" w14:textId="77777777" w:rsidR="007B2273" w:rsidRPr="00706C1E" w:rsidRDefault="007B2273" w:rsidP="007B2273">
      <w:pPr>
        <w:numPr>
          <w:ilvl w:val="0"/>
          <w:numId w:val="29"/>
        </w:numPr>
        <w:overflowPunct w:val="0"/>
        <w:autoSpaceDE w:val="0"/>
        <w:autoSpaceDN w:val="0"/>
        <w:adjustRightInd w:val="0"/>
        <w:spacing w:after="180"/>
        <w:jc w:val="left"/>
        <w:rPr>
          <w:bCs/>
          <w:lang w:val="en-US"/>
        </w:rPr>
      </w:pPr>
      <w:r w:rsidRPr="00706C1E">
        <w:rPr>
          <w:bCs/>
          <w:lang w:val="en-US"/>
        </w:rPr>
        <w:t xml:space="preserve">Study NR-based operation in unlicensed spectrum (RAN1, RAN2, RAN4) including </w:t>
      </w:r>
    </w:p>
    <w:p w14:paraId="02FD64C9" w14:textId="77777777" w:rsidR="007B2273" w:rsidRPr="00706C1E" w:rsidRDefault="007B2273" w:rsidP="007B2273">
      <w:pPr>
        <w:numPr>
          <w:ilvl w:val="1"/>
          <w:numId w:val="30"/>
        </w:numPr>
        <w:overflowPunct w:val="0"/>
        <w:autoSpaceDE w:val="0"/>
        <w:autoSpaceDN w:val="0"/>
        <w:adjustRightInd w:val="0"/>
        <w:spacing w:after="0"/>
        <w:jc w:val="left"/>
        <w:rPr>
          <w:bCs/>
          <w:lang w:val="en-US"/>
        </w:rPr>
      </w:pPr>
      <w:r w:rsidRPr="00706C1E">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E102C6A" w14:textId="77777777" w:rsidR="007B2273" w:rsidRPr="00706C1E" w:rsidRDefault="007B2273" w:rsidP="007B2273">
      <w:pPr>
        <w:numPr>
          <w:ilvl w:val="2"/>
          <w:numId w:val="30"/>
        </w:numPr>
        <w:overflowPunct w:val="0"/>
        <w:autoSpaceDE w:val="0"/>
        <w:autoSpaceDN w:val="0"/>
        <w:adjustRightInd w:val="0"/>
        <w:spacing w:after="0"/>
        <w:jc w:val="left"/>
        <w:rPr>
          <w:bCs/>
          <w:lang w:val="en-US"/>
        </w:rPr>
      </w:pPr>
      <w:r w:rsidRPr="00706C1E">
        <w:rPr>
          <w:bCs/>
          <w:lang w:val="en-US"/>
        </w:rPr>
        <w:t>Consider unlicensed bands both below and above 6GHz, up to 52.6GHz</w:t>
      </w:r>
    </w:p>
    <w:p w14:paraId="5D84BD98" w14:textId="77777777" w:rsidR="007B2273" w:rsidRPr="00706C1E" w:rsidRDefault="007B2273" w:rsidP="007B2273">
      <w:pPr>
        <w:numPr>
          <w:ilvl w:val="2"/>
          <w:numId w:val="30"/>
        </w:numPr>
        <w:overflowPunct w:val="0"/>
        <w:autoSpaceDE w:val="0"/>
        <w:autoSpaceDN w:val="0"/>
        <w:adjustRightInd w:val="0"/>
        <w:spacing w:after="0"/>
        <w:jc w:val="left"/>
        <w:rPr>
          <w:bCs/>
          <w:lang w:val="en-US"/>
        </w:rPr>
      </w:pPr>
      <w:r w:rsidRPr="00706C1E">
        <w:rPr>
          <w:bCs/>
          <w:lang w:val="en-US"/>
        </w:rPr>
        <w:t xml:space="preserve">Consider unlicensed bands above 52.6GHz to the extent that waveform design principles remain unchanged with respect to below 52.6GHz bands </w:t>
      </w:r>
    </w:p>
    <w:p w14:paraId="486A4DF4" w14:textId="77777777" w:rsidR="007B2273" w:rsidRPr="00706C1E" w:rsidRDefault="007B2273" w:rsidP="007B2273">
      <w:pPr>
        <w:numPr>
          <w:ilvl w:val="2"/>
          <w:numId w:val="30"/>
        </w:numPr>
        <w:overflowPunct w:val="0"/>
        <w:autoSpaceDE w:val="0"/>
        <w:autoSpaceDN w:val="0"/>
        <w:adjustRightInd w:val="0"/>
        <w:spacing w:after="0"/>
        <w:jc w:val="left"/>
        <w:rPr>
          <w:bCs/>
          <w:lang w:val="en-US"/>
        </w:rPr>
      </w:pPr>
      <w:r w:rsidRPr="00706C1E">
        <w:rPr>
          <w:bCs/>
          <w:lang w:val="en-US" w:eastAsia="zh-CN"/>
        </w:rPr>
        <w:t>Consider similar forward compatibility principles made in the NR WI</w:t>
      </w:r>
      <w:r w:rsidRPr="00706C1E">
        <w:rPr>
          <w:bCs/>
          <w:lang w:val="en-US"/>
        </w:rPr>
        <w:t xml:space="preserve"> </w:t>
      </w:r>
    </w:p>
    <w:p w14:paraId="313D6C66" w14:textId="77777777" w:rsidR="007B2273" w:rsidRPr="00706C1E" w:rsidRDefault="007B2273" w:rsidP="007B2273">
      <w:pPr>
        <w:numPr>
          <w:ilvl w:val="1"/>
          <w:numId w:val="30"/>
        </w:numPr>
        <w:overflowPunct w:val="0"/>
        <w:autoSpaceDE w:val="0"/>
        <w:autoSpaceDN w:val="0"/>
        <w:adjustRightInd w:val="0"/>
        <w:spacing w:after="0"/>
        <w:jc w:val="left"/>
        <w:rPr>
          <w:bCs/>
        </w:rPr>
      </w:pPr>
      <w:r w:rsidRPr="00706C1E">
        <w:rPr>
          <w:bCs/>
        </w:rPr>
        <w:t>Initial access, channel access. Scheduling/HARQ, and mobility including connected/inactive/idle mode operation and radio-link monitoring/failure</w:t>
      </w:r>
    </w:p>
    <w:p w14:paraId="1C7447F8" w14:textId="77777777" w:rsidR="007B2273" w:rsidRPr="00706C1E" w:rsidRDefault="007B2273" w:rsidP="007B2273">
      <w:pPr>
        <w:numPr>
          <w:ilvl w:val="1"/>
          <w:numId w:val="30"/>
        </w:numPr>
        <w:overflowPunct w:val="0"/>
        <w:autoSpaceDE w:val="0"/>
        <w:autoSpaceDN w:val="0"/>
        <w:adjustRightInd w:val="0"/>
        <w:spacing w:after="0"/>
        <w:jc w:val="left"/>
        <w:rPr>
          <w:bCs/>
          <w:lang w:val="en-US"/>
        </w:rPr>
      </w:pPr>
      <w:r w:rsidRPr="00706C1E">
        <w:rPr>
          <w:bCs/>
          <w:lang w:val="en-US"/>
        </w:rPr>
        <w:t xml:space="preserve">Coexistence methods within NR-based and between NR-based operation in unlicensed and LTE-based LAA and with other incumbent RATs in accordance with regulatory requirements in e.g., 5GHz , 37GHz, 60GHz bands </w:t>
      </w:r>
    </w:p>
    <w:p w14:paraId="33F9B070" w14:textId="77777777" w:rsidR="007B2273" w:rsidRPr="00706C1E" w:rsidRDefault="007B2273" w:rsidP="007B2273">
      <w:pPr>
        <w:numPr>
          <w:ilvl w:val="2"/>
          <w:numId w:val="30"/>
        </w:numPr>
        <w:overflowPunct w:val="0"/>
        <w:autoSpaceDE w:val="0"/>
        <w:autoSpaceDN w:val="0"/>
        <w:adjustRightInd w:val="0"/>
        <w:spacing w:after="0"/>
        <w:jc w:val="left"/>
        <w:rPr>
          <w:bCs/>
          <w:lang w:val="en-US"/>
        </w:rPr>
      </w:pPr>
      <w:r w:rsidRPr="00706C1E">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11A0E462" w14:textId="77777777" w:rsidR="007B2273" w:rsidRDefault="007B2273" w:rsidP="00E750D7">
      <w:pPr>
        <w:rPr>
          <w:lang w:val="en-US"/>
        </w:rPr>
      </w:pPr>
    </w:p>
    <w:p w14:paraId="0DA4F593" w14:textId="790113C2" w:rsidR="00DF2318" w:rsidRDefault="00DF2318" w:rsidP="00E750D7">
      <w:pPr>
        <w:rPr>
          <w:lang w:val="en-US"/>
        </w:rPr>
      </w:pPr>
      <w:r>
        <w:rPr>
          <w:lang w:val="en-US"/>
        </w:rPr>
        <w:t>In this contribution, we discuss</w:t>
      </w:r>
      <w:r w:rsidR="00F87CA4">
        <w:rPr>
          <w:lang w:val="en-US"/>
        </w:rPr>
        <w:t xml:space="preserve"> necessary enhancements </w:t>
      </w:r>
      <w:r w:rsidR="00F76FE0">
        <w:rPr>
          <w:lang w:val="en-US"/>
        </w:rPr>
        <w:t>to</w:t>
      </w:r>
      <w:r w:rsidR="00F87CA4">
        <w:rPr>
          <w:lang w:val="en-US"/>
        </w:rPr>
        <w:t xml:space="preserve"> Rel-15 NR design, which was mainly designed for the use in licensed spectrum, </w:t>
      </w:r>
      <w:r w:rsidR="00E32ED6">
        <w:rPr>
          <w:lang w:val="en-US"/>
        </w:rPr>
        <w:t xml:space="preserve">such that the NR </w:t>
      </w:r>
      <w:r w:rsidR="00FF4737">
        <w:rPr>
          <w:lang w:val="en-US"/>
        </w:rPr>
        <w:t xml:space="preserve">can operate in </w:t>
      </w:r>
      <w:r w:rsidR="00E32ED6">
        <w:rPr>
          <w:lang w:val="en-US"/>
        </w:rPr>
        <w:t xml:space="preserve">unlicensed spectrum. </w:t>
      </w:r>
      <w:r w:rsidR="00F73B9B">
        <w:rPr>
          <w:lang w:val="en-US"/>
        </w:rPr>
        <w:t xml:space="preserve">To be specific, the following two aspects are discussed </w:t>
      </w:r>
      <w:r w:rsidR="00FF4737">
        <w:rPr>
          <w:lang w:val="en-US"/>
        </w:rPr>
        <w:t>as</w:t>
      </w:r>
      <w:r w:rsidR="00F73B9B">
        <w:rPr>
          <w:lang w:val="en-US"/>
        </w:rPr>
        <w:t xml:space="preserve"> potential enhancements:</w:t>
      </w:r>
    </w:p>
    <w:p w14:paraId="7C559B18" w14:textId="062F7E01" w:rsidR="00F73B9B" w:rsidRDefault="00F63BA9" w:rsidP="00F63BA9">
      <w:pPr>
        <w:pStyle w:val="ListParagraph"/>
        <w:numPr>
          <w:ilvl w:val="0"/>
          <w:numId w:val="29"/>
        </w:numPr>
        <w:rPr>
          <w:lang w:val="en-US" w:eastAsia="ko-KR"/>
        </w:rPr>
      </w:pPr>
      <w:r>
        <w:rPr>
          <w:lang w:val="en-US" w:eastAsia="ko-KR"/>
        </w:rPr>
        <w:t xml:space="preserve">Discovery reference signal </w:t>
      </w:r>
      <w:r w:rsidR="002D280D">
        <w:rPr>
          <w:lang w:val="en-US" w:eastAsia="ko-KR"/>
        </w:rPr>
        <w:t>for NR-unlicensed for RRM</w:t>
      </w:r>
    </w:p>
    <w:p w14:paraId="76332434" w14:textId="008BBC17" w:rsidR="00ED6AD8" w:rsidRPr="0083017B" w:rsidRDefault="00FF4737" w:rsidP="00E750D7">
      <w:pPr>
        <w:pStyle w:val="ListParagraph"/>
        <w:numPr>
          <w:ilvl w:val="0"/>
          <w:numId w:val="29"/>
        </w:numPr>
        <w:rPr>
          <w:lang w:val="en-US" w:eastAsia="ko-KR"/>
        </w:rPr>
      </w:pPr>
      <w:r>
        <w:rPr>
          <w:lang w:val="en-US" w:eastAsia="ko-KR"/>
        </w:rPr>
        <w:t xml:space="preserve">Method to increase PDCCH transmission opportunities while not increasing UE power consumption: </w:t>
      </w:r>
      <w:r w:rsidR="00724045">
        <w:rPr>
          <w:lang w:val="en-US" w:eastAsia="ko-KR"/>
        </w:rPr>
        <w:t>PDCCH monitoring window</w:t>
      </w:r>
      <w:r>
        <w:rPr>
          <w:lang w:val="en-US" w:eastAsia="ko-KR"/>
        </w:rPr>
        <w:t xml:space="preserve"> concept</w:t>
      </w:r>
      <w:r w:rsidR="00724045">
        <w:rPr>
          <w:lang w:val="en-US" w:eastAsia="ko-KR"/>
        </w:rPr>
        <w:t xml:space="preserve"> vs. wake-up signal (WUS)</w:t>
      </w:r>
      <w:r w:rsidR="00CA3A6D">
        <w:t xml:space="preserve"> </w:t>
      </w:r>
    </w:p>
    <w:p w14:paraId="61BC2DAD" w14:textId="31802AAC" w:rsidR="00327510" w:rsidRPr="00327510" w:rsidRDefault="0083017B" w:rsidP="00327510">
      <w:pPr>
        <w:pStyle w:val="Heading1"/>
        <w:keepNext w:val="0"/>
        <w:widowControl w:val="0"/>
        <w:spacing w:before="480" w:after="120"/>
        <w:ind w:left="518" w:hanging="518"/>
        <w:rPr>
          <w:sz w:val="28"/>
        </w:rPr>
      </w:pPr>
      <w:r>
        <w:rPr>
          <w:sz w:val="28"/>
        </w:rPr>
        <w:t>Discovery reference signal</w:t>
      </w:r>
    </w:p>
    <w:p w14:paraId="5FFBCF53" w14:textId="79B42FE0" w:rsidR="006E5173" w:rsidRDefault="006E5173" w:rsidP="00FF4737">
      <w:pPr>
        <w:rPr>
          <w:lang w:eastAsia="zh-CN"/>
        </w:rPr>
      </w:pPr>
      <w:r>
        <w:rPr>
          <w:lang w:eastAsia="zh-CN"/>
        </w:rPr>
        <w:t xml:space="preserve">In unlicensed spectrum, there is no transmission if no data. However, </w:t>
      </w:r>
      <w:r w:rsidR="00AE7F71">
        <w:rPr>
          <w:lang w:eastAsia="zh-CN"/>
        </w:rPr>
        <w:t>certain signals need to be reliably and periodically transmitted for RRM.</w:t>
      </w:r>
      <w:r w:rsidR="00932E13">
        <w:rPr>
          <w:lang w:eastAsia="zh-CN"/>
        </w:rPr>
        <w:t xml:space="preserve"> This </w:t>
      </w:r>
      <w:r w:rsidR="00FF4737">
        <w:rPr>
          <w:lang w:eastAsia="zh-CN"/>
        </w:rPr>
        <w:t>had been</w:t>
      </w:r>
      <w:r w:rsidR="00932E13">
        <w:rPr>
          <w:lang w:eastAsia="zh-CN"/>
        </w:rPr>
        <w:t xml:space="preserve"> the motivation behind the introduction of discovery reference signal (DRS)</w:t>
      </w:r>
      <w:r w:rsidR="00FF4737">
        <w:rPr>
          <w:lang w:eastAsia="zh-CN"/>
        </w:rPr>
        <w:t xml:space="preserve"> for LTE LAA</w:t>
      </w:r>
      <w:r w:rsidR="00932E13">
        <w:rPr>
          <w:lang w:eastAsia="zh-CN"/>
        </w:rPr>
        <w:t xml:space="preserve"> in Rel-13. </w:t>
      </w:r>
    </w:p>
    <w:p w14:paraId="2F6A1DCD" w14:textId="109D8A5B" w:rsidR="00876BC8" w:rsidRDefault="00876BC8" w:rsidP="006E5173">
      <w:pPr>
        <w:pStyle w:val="ListParagraph"/>
        <w:numPr>
          <w:ilvl w:val="0"/>
          <w:numId w:val="31"/>
        </w:numPr>
        <w:rPr>
          <w:lang w:eastAsia="zh-CN"/>
        </w:rPr>
      </w:pPr>
      <w:r>
        <w:rPr>
          <w:lang w:eastAsia="zh-CN"/>
        </w:rPr>
        <w:t>The following lists attributes of Rel-13 LTE DRS for LAA</w:t>
      </w:r>
      <w:r w:rsidR="00FF4737">
        <w:rPr>
          <w:lang w:eastAsia="zh-CN"/>
        </w:rPr>
        <w:t>:</w:t>
      </w:r>
    </w:p>
    <w:p w14:paraId="210C17F8" w14:textId="3323B511" w:rsidR="00876BC8" w:rsidRPr="00876BC8" w:rsidRDefault="00876BC8" w:rsidP="00876BC8">
      <w:pPr>
        <w:pStyle w:val="ListParagraph"/>
        <w:numPr>
          <w:ilvl w:val="1"/>
          <w:numId w:val="31"/>
        </w:numPr>
        <w:rPr>
          <w:lang w:val="en-US" w:eastAsia="zh-CN"/>
        </w:rPr>
      </w:pPr>
      <w:r w:rsidRPr="00876BC8">
        <w:rPr>
          <w:lang w:val="en-US" w:eastAsia="zh-CN"/>
        </w:rPr>
        <w:t>LAA DRS is based on Rel-12 DRS</w:t>
      </w:r>
      <w:r>
        <w:rPr>
          <w:lang w:val="en-US" w:eastAsia="zh-CN"/>
        </w:rPr>
        <w:t xml:space="preserve"> for frame structure (FS) type 1</w:t>
      </w:r>
      <w:r w:rsidRPr="00876BC8">
        <w:rPr>
          <w:lang w:val="en-US" w:eastAsia="zh-CN"/>
        </w:rPr>
        <w:t>.</w:t>
      </w:r>
      <w:r>
        <w:rPr>
          <w:lang w:val="en-US" w:eastAsia="zh-CN"/>
        </w:rPr>
        <w:t xml:space="preserve"> The DRS spans </w:t>
      </w:r>
      <w:r w:rsidRPr="00876BC8">
        <w:rPr>
          <w:lang w:val="en-US" w:eastAsia="zh-CN"/>
        </w:rPr>
        <w:t>symbols 0-11</w:t>
      </w:r>
      <w:r>
        <w:rPr>
          <w:lang w:val="en-US" w:eastAsia="zh-CN"/>
        </w:rPr>
        <w:t xml:space="preserve"> in a </w:t>
      </w:r>
      <w:proofErr w:type="spellStart"/>
      <w:r>
        <w:rPr>
          <w:lang w:val="en-US" w:eastAsia="zh-CN"/>
        </w:rPr>
        <w:t>subframe</w:t>
      </w:r>
      <w:proofErr w:type="spellEnd"/>
      <w:r>
        <w:rPr>
          <w:lang w:val="en-US" w:eastAsia="zh-CN"/>
        </w:rPr>
        <w:t xml:space="preserve"> and contains</w:t>
      </w:r>
      <w:r w:rsidRPr="00876BC8">
        <w:rPr>
          <w:lang w:val="en-US" w:eastAsia="zh-CN"/>
        </w:rPr>
        <w:t xml:space="preserve"> PSS/SSS, CRS, and NZP-CSI-RS in symbols 9&amp;10, if configured.</w:t>
      </w:r>
    </w:p>
    <w:p w14:paraId="68005065" w14:textId="7077678F" w:rsidR="00876BC8" w:rsidRPr="00876BC8" w:rsidRDefault="00876BC8" w:rsidP="00876BC8">
      <w:pPr>
        <w:pStyle w:val="ListParagraph"/>
        <w:numPr>
          <w:ilvl w:val="1"/>
          <w:numId w:val="31"/>
        </w:numPr>
        <w:rPr>
          <w:lang w:val="en-US" w:eastAsia="zh-CN"/>
        </w:rPr>
      </w:pPr>
      <w:r w:rsidRPr="00876BC8">
        <w:rPr>
          <w:lang w:val="en-US" w:eastAsia="zh-CN"/>
        </w:rPr>
        <w:t xml:space="preserve">DRS </w:t>
      </w:r>
      <w:r>
        <w:rPr>
          <w:lang w:val="en-US" w:eastAsia="zh-CN"/>
        </w:rPr>
        <w:t>without</w:t>
      </w:r>
      <w:r w:rsidRPr="00876BC8">
        <w:rPr>
          <w:lang w:val="en-US" w:eastAsia="zh-CN"/>
        </w:rPr>
        <w:t xml:space="preserve"> PDSCH may be transmitted in one of different time positions within DMTC.</w:t>
      </w:r>
    </w:p>
    <w:p w14:paraId="6F192195" w14:textId="77777777" w:rsidR="00876BC8" w:rsidRPr="00876BC8" w:rsidRDefault="00876BC8" w:rsidP="00876BC8">
      <w:pPr>
        <w:pStyle w:val="ListParagraph"/>
        <w:numPr>
          <w:ilvl w:val="1"/>
          <w:numId w:val="31"/>
        </w:numPr>
        <w:rPr>
          <w:lang w:val="en-US" w:eastAsia="zh-CN"/>
        </w:rPr>
      </w:pPr>
      <w:r w:rsidRPr="00876BC8">
        <w:rPr>
          <w:lang w:eastAsia="zh-CN"/>
        </w:rPr>
        <w:t>DRS can be multiplexed with (E</w:t>
      </w:r>
      <w:proofErr w:type="gramStart"/>
      <w:r w:rsidRPr="00876BC8">
        <w:rPr>
          <w:lang w:eastAsia="zh-CN"/>
        </w:rPr>
        <w:t>)PDCCH</w:t>
      </w:r>
      <w:proofErr w:type="gramEnd"/>
      <w:r w:rsidRPr="00876BC8">
        <w:rPr>
          <w:lang w:eastAsia="zh-CN"/>
        </w:rPr>
        <w:t xml:space="preserve">/PDSCH in </w:t>
      </w:r>
      <w:proofErr w:type="spellStart"/>
      <w:r w:rsidRPr="00876BC8">
        <w:rPr>
          <w:lang w:eastAsia="zh-CN"/>
        </w:rPr>
        <w:t>subframes</w:t>
      </w:r>
      <w:proofErr w:type="spellEnd"/>
      <w:r w:rsidRPr="00876BC8">
        <w:rPr>
          <w:lang w:eastAsia="zh-CN"/>
        </w:rPr>
        <w:t xml:space="preserve"> 0&amp;5.</w:t>
      </w:r>
    </w:p>
    <w:p w14:paraId="322A4ABD" w14:textId="37986AAC" w:rsidR="00876BC8" w:rsidRPr="00876BC8" w:rsidRDefault="00876BC8" w:rsidP="00876BC8">
      <w:pPr>
        <w:pStyle w:val="ListParagraph"/>
        <w:numPr>
          <w:ilvl w:val="1"/>
          <w:numId w:val="31"/>
        </w:numPr>
        <w:rPr>
          <w:lang w:val="en-US" w:eastAsia="zh-CN"/>
        </w:rPr>
      </w:pPr>
      <w:r w:rsidRPr="00876BC8">
        <w:rPr>
          <w:lang w:eastAsia="zh-CN"/>
        </w:rPr>
        <w:t xml:space="preserve">Due to floating DRS transmission positions, new SSS/CRS generation method </w:t>
      </w:r>
      <w:r>
        <w:rPr>
          <w:lang w:eastAsia="zh-CN"/>
        </w:rPr>
        <w:t xml:space="preserve">was adopted </w:t>
      </w:r>
      <w:r w:rsidRPr="00876BC8">
        <w:rPr>
          <w:lang w:eastAsia="zh-CN"/>
        </w:rPr>
        <w:t xml:space="preserve">to enable PSS/SSS transmission in </w:t>
      </w:r>
      <w:proofErr w:type="spellStart"/>
      <w:r w:rsidRPr="00876BC8">
        <w:rPr>
          <w:lang w:eastAsia="zh-CN"/>
        </w:rPr>
        <w:t>subframes</w:t>
      </w:r>
      <w:proofErr w:type="spellEnd"/>
      <w:r w:rsidRPr="00876BC8">
        <w:rPr>
          <w:lang w:eastAsia="zh-CN"/>
        </w:rPr>
        <w:t xml:space="preserve"> other than 0&amp;5:</w:t>
      </w:r>
    </w:p>
    <w:p w14:paraId="1B820702" w14:textId="77777777" w:rsidR="00876BC8" w:rsidRPr="00876BC8" w:rsidRDefault="00876BC8" w:rsidP="00876BC8">
      <w:pPr>
        <w:pStyle w:val="ListParagraph"/>
        <w:numPr>
          <w:ilvl w:val="2"/>
          <w:numId w:val="31"/>
        </w:numPr>
        <w:rPr>
          <w:lang w:val="en-US" w:eastAsia="zh-CN"/>
        </w:rPr>
      </w:pPr>
      <w:r w:rsidRPr="00876BC8">
        <w:rPr>
          <w:lang w:eastAsia="zh-CN"/>
        </w:rPr>
        <w:t xml:space="preserve">SSS transmitted in </w:t>
      </w:r>
      <w:proofErr w:type="spellStart"/>
      <w:r w:rsidRPr="00876BC8">
        <w:rPr>
          <w:lang w:eastAsia="zh-CN"/>
        </w:rPr>
        <w:t>subframes</w:t>
      </w:r>
      <w:proofErr w:type="spellEnd"/>
      <w:r w:rsidRPr="00876BC8">
        <w:rPr>
          <w:lang w:eastAsia="zh-CN"/>
        </w:rPr>
        <w:t xml:space="preserve"> 0-4 reuses Rel-12 SSS generated for </w:t>
      </w:r>
      <w:proofErr w:type="spellStart"/>
      <w:r w:rsidRPr="00876BC8">
        <w:rPr>
          <w:lang w:eastAsia="zh-CN"/>
        </w:rPr>
        <w:t>subframe</w:t>
      </w:r>
      <w:proofErr w:type="spellEnd"/>
      <w:r w:rsidRPr="00876BC8">
        <w:rPr>
          <w:lang w:eastAsia="zh-CN"/>
        </w:rPr>
        <w:t xml:space="preserve"> 0, while SSS transmitted in </w:t>
      </w:r>
      <w:proofErr w:type="spellStart"/>
      <w:r w:rsidRPr="00876BC8">
        <w:rPr>
          <w:lang w:eastAsia="zh-CN"/>
        </w:rPr>
        <w:t>subframe</w:t>
      </w:r>
      <w:proofErr w:type="spellEnd"/>
      <w:r w:rsidRPr="00876BC8">
        <w:rPr>
          <w:lang w:eastAsia="zh-CN"/>
        </w:rPr>
        <w:t xml:space="preserve"> 5-9 reuses Rel-12 SSS generated for </w:t>
      </w:r>
      <w:proofErr w:type="spellStart"/>
      <w:r w:rsidRPr="00876BC8">
        <w:rPr>
          <w:lang w:eastAsia="zh-CN"/>
        </w:rPr>
        <w:t>subframe</w:t>
      </w:r>
      <w:proofErr w:type="spellEnd"/>
      <w:r w:rsidRPr="00876BC8">
        <w:rPr>
          <w:lang w:eastAsia="zh-CN"/>
        </w:rPr>
        <w:t xml:space="preserve"> 5.</w:t>
      </w:r>
    </w:p>
    <w:p w14:paraId="2B485AEA" w14:textId="71E429B5" w:rsidR="00876BC8" w:rsidRPr="00876BC8" w:rsidRDefault="00876BC8" w:rsidP="00876BC8">
      <w:pPr>
        <w:pStyle w:val="ListParagraph"/>
        <w:numPr>
          <w:ilvl w:val="2"/>
          <w:numId w:val="31"/>
        </w:numPr>
        <w:rPr>
          <w:lang w:val="en-US" w:eastAsia="zh-CN"/>
        </w:rPr>
      </w:pPr>
      <w:proofErr w:type="spellStart"/>
      <w:r w:rsidRPr="00876BC8">
        <w:rPr>
          <w:lang w:eastAsia="zh-CN"/>
        </w:rPr>
        <w:lastRenderedPageBreak/>
        <w:t>Subframe</w:t>
      </w:r>
      <w:proofErr w:type="spellEnd"/>
      <w:r w:rsidRPr="00876BC8">
        <w:rPr>
          <w:lang w:eastAsia="zh-CN"/>
        </w:rPr>
        <w:t xml:space="preserve"> index for generating CRS follows SSS generation, to reduce complexity at UE for CRS detection.</w:t>
      </w:r>
    </w:p>
    <w:p w14:paraId="3618080E" w14:textId="77777777" w:rsidR="00AE7F71" w:rsidRDefault="00AE7F71" w:rsidP="00932E13">
      <w:pPr>
        <w:rPr>
          <w:lang w:eastAsia="zh-CN"/>
        </w:rPr>
      </w:pPr>
    </w:p>
    <w:p w14:paraId="70E84947" w14:textId="33630E2F" w:rsidR="00932E13" w:rsidRDefault="00932E13" w:rsidP="00932E13">
      <w:pPr>
        <w:jc w:val="center"/>
        <w:rPr>
          <w:lang w:eastAsia="zh-CN"/>
        </w:rPr>
      </w:pPr>
      <w:r w:rsidRPr="00932E13">
        <w:rPr>
          <w:noProof/>
          <w:lang w:val="en-US" w:eastAsia="ko-KR"/>
        </w:rPr>
        <w:drawing>
          <wp:inline distT="0" distB="0" distL="0" distR="0" wp14:anchorId="7A23FBA9" wp14:editId="11B0CCF2">
            <wp:extent cx="2062959" cy="2758568"/>
            <wp:effectExtent l="0" t="0" r="0" b="381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2"/>
                    <a:stretch>
                      <a:fillRect/>
                    </a:stretch>
                  </pic:blipFill>
                  <pic:spPr>
                    <a:xfrm>
                      <a:off x="0" y="0"/>
                      <a:ext cx="2068749" cy="2766311"/>
                    </a:xfrm>
                    <a:prstGeom prst="rect">
                      <a:avLst/>
                    </a:prstGeom>
                  </pic:spPr>
                </pic:pic>
              </a:graphicData>
            </a:graphic>
          </wp:inline>
        </w:drawing>
      </w:r>
    </w:p>
    <w:p w14:paraId="169C831A" w14:textId="5DC80B9C" w:rsidR="00932E13" w:rsidRPr="001E611B" w:rsidRDefault="00932E13" w:rsidP="003D5A63">
      <w:pPr>
        <w:spacing w:before="240"/>
        <w:jc w:val="center"/>
        <w:rPr>
          <w:b/>
          <w:lang w:val="en-US" w:eastAsia="zh-CN"/>
        </w:rPr>
      </w:pPr>
      <w:r w:rsidRPr="001E611B">
        <w:rPr>
          <w:b/>
          <w:lang w:eastAsia="zh-CN"/>
        </w:rPr>
        <w:t>Fig</w:t>
      </w:r>
      <w:r>
        <w:rPr>
          <w:b/>
          <w:lang w:eastAsia="zh-CN"/>
        </w:rPr>
        <w:t>ure</w:t>
      </w:r>
      <w:r w:rsidRPr="001E611B">
        <w:rPr>
          <w:b/>
          <w:lang w:eastAsia="zh-CN"/>
        </w:rPr>
        <w:t>. 1</w:t>
      </w:r>
      <w:r>
        <w:rPr>
          <w:b/>
          <w:lang w:eastAsia="zh-CN"/>
        </w:rPr>
        <w:t xml:space="preserve"> LTE Rel-13 discovery reference signal for LAA </w:t>
      </w:r>
    </w:p>
    <w:p w14:paraId="12B0C0C2" w14:textId="77777777" w:rsidR="00932E13" w:rsidRPr="00932E13" w:rsidRDefault="00932E13" w:rsidP="00932E13">
      <w:pPr>
        <w:rPr>
          <w:lang w:val="en-US" w:eastAsia="zh-CN"/>
        </w:rPr>
      </w:pPr>
    </w:p>
    <w:p w14:paraId="62EA93F0" w14:textId="77777777" w:rsidR="001726CE" w:rsidRDefault="00876BC8" w:rsidP="001726CE">
      <w:pPr>
        <w:rPr>
          <w:lang w:val="en-US" w:eastAsia="zh-CN"/>
        </w:rPr>
      </w:pPr>
      <w:r>
        <w:rPr>
          <w:lang w:eastAsia="zh-CN"/>
        </w:rPr>
        <w:t xml:space="preserve">With the same motivation of the LTE DRS for LAA, it can be considered to introduce DRS for NR-unlicensed. </w:t>
      </w:r>
      <w:r w:rsidRPr="001726CE">
        <w:rPr>
          <w:lang w:val="en-US" w:eastAsia="zh-CN"/>
        </w:rPr>
        <w:t xml:space="preserve">Similar to LTE DRS, the DRS for NR-unlicensed can include </w:t>
      </w:r>
      <w:r w:rsidR="007E08E6" w:rsidRPr="001726CE">
        <w:rPr>
          <w:lang w:val="en-US" w:eastAsia="zh-CN"/>
        </w:rPr>
        <w:t>at least SSB (PSS/SSS/PBCH) and CSI-RS and other reference signals (e.g., TRS may be part of CSI-RS), if configured.</w:t>
      </w:r>
    </w:p>
    <w:p w14:paraId="1DAA73D4" w14:textId="43D9EFCE" w:rsidR="00876BC8" w:rsidRDefault="00770510" w:rsidP="001726CE">
      <w:pPr>
        <w:rPr>
          <w:lang w:eastAsia="zh-CN"/>
        </w:rPr>
      </w:pPr>
      <w:r>
        <w:rPr>
          <w:lang w:eastAsia="zh-CN"/>
        </w:rPr>
        <w:t xml:space="preserve">On the other hand, it can be considered to introduce a concept similar to DMTC window to allow shifted DRS transmission within the window. The motivation is to increase the chance of DRS transmission as it will/should be subject to LBT before transmission. If the possible DRS transmission occasion is limited to a single chance, then the DRS transmission has to be delayed to the next occasion, if LBT fails. </w:t>
      </w:r>
    </w:p>
    <w:p w14:paraId="1B248E5C" w14:textId="385B1074" w:rsidR="00770510" w:rsidRDefault="00770510" w:rsidP="003D5A63">
      <w:pPr>
        <w:jc w:val="center"/>
        <w:rPr>
          <w:lang w:eastAsia="zh-CN"/>
        </w:rPr>
      </w:pPr>
      <w:r w:rsidRPr="00770510">
        <w:rPr>
          <w:noProof/>
          <w:lang w:val="en-US" w:eastAsia="ko-KR"/>
        </w:rPr>
        <w:drawing>
          <wp:inline distT="0" distB="0" distL="0" distR="0" wp14:anchorId="18930A42" wp14:editId="3D90B67D">
            <wp:extent cx="4189663" cy="1124182"/>
            <wp:effectExtent l="0" t="0" r="190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212964" cy="1130434"/>
                    </a:xfrm>
                    <a:prstGeom prst="rect">
                      <a:avLst/>
                    </a:prstGeom>
                  </pic:spPr>
                </pic:pic>
              </a:graphicData>
            </a:graphic>
          </wp:inline>
        </w:drawing>
      </w:r>
    </w:p>
    <w:p w14:paraId="715E07C4" w14:textId="2892CB66" w:rsidR="00770510" w:rsidRPr="001E611B" w:rsidRDefault="00770510" w:rsidP="003D5A63">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2 Illustration of the DRS window concept</w:t>
      </w:r>
    </w:p>
    <w:p w14:paraId="73B5B75E" w14:textId="01B7C1EB" w:rsidR="00770510" w:rsidRPr="003D5A63" w:rsidRDefault="00770510" w:rsidP="003D5A63">
      <w:pPr>
        <w:spacing w:before="240" w:after="240"/>
        <w:rPr>
          <w:b/>
          <w:szCs w:val="20"/>
          <w:lang w:val="en-US"/>
        </w:rPr>
      </w:pPr>
      <w:r>
        <w:rPr>
          <w:b/>
          <w:szCs w:val="20"/>
          <w:lang w:val="en-US"/>
        </w:rPr>
        <w:t>Proposal</w:t>
      </w:r>
      <w:r w:rsidR="00F76FE0">
        <w:rPr>
          <w:b/>
          <w:szCs w:val="20"/>
          <w:lang w:val="en-US"/>
        </w:rPr>
        <w:t xml:space="preserve"> 1</w:t>
      </w:r>
      <w:r w:rsidRPr="00BF4801">
        <w:rPr>
          <w:b/>
          <w:szCs w:val="20"/>
          <w:lang w:val="en-US"/>
        </w:rPr>
        <w:t xml:space="preserve">: </w:t>
      </w:r>
      <w:r w:rsidR="008502CA">
        <w:rPr>
          <w:b/>
          <w:szCs w:val="20"/>
          <w:lang w:val="en-US"/>
        </w:rPr>
        <w:t xml:space="preserve">It is proposed to study possible introduction of discovery reference signal (DRS) for NR-unlicensed and mechanism to enhance the reliability of the DRS transmission. </w:t>
      </w:r>
    </w:p>
    <w:p w14:paraId="03567918" w14:textId="3C22856F" w:rsidR="00283B09" w:rsidRDefault="0083017B" w:rsidP="00283B09">
      <w:pPr>
        <w:pStyle w:val="Heading1"/>
        <w:keepNext w:val="0"/>
        <w:widowControl w:val="0"/>
        <w:spacing w:before="480" w:after="120"/>
        <w:ind w:left="518" w:hanging="518"/>
        <w:rPr>
          <w:sz w:val="28"/>
        </w:rPr>
      </w:pPr>
      <w:r>
        <w:rPr>
          <w:sz w:val="28"/>
        </w:rPr>
        <w:t xml:space="preserve">Mechanism for UE power saving </w:t>
      </w:r>
    </w:p>
    <w:p w14:paraId="279833F9" w14:textId="25861518" w:rsidR="00C5544C" w:rsidRDefault="008502CA" w:rsidP="00BF6DEC">
      <w:r>
        <w:t xml:space="preserve">In NR-unlicensed, it is </w:t>
      </w:r>
      <w:r w:rsidR="003D5A63">
        <w:t xml:space="preserve">preferable to have </w:t>
      </w:r>
      <w:r w:rsidR="007F5235">
        <w:t>shorter</w:t>
      </w:r>
      <w:r w:rsidR="003D5A63">
        <w:t xml:space="preserve"> TTI</w:t>
      </w:r>
      <w:r w:rsidR="00BF6DEC">
        <w:t xml:space="preserve"> for many reasons; to better coexist with Wi-Fi with finer granularity in time in accessing the medium and fast turnaround, etc. </w:t>
      </w:r>
      <w:r w:rsidR="00C5544C">
        <w:t>There are two ways to shorten the TTI:</w:t>
      </w:r>
      <w:r w:rsidR="00BF6DEC">
        <w:t xml:space="preserve"> 1) i</w:t>
      </w:r>
      <w:r w:rsidR="00C5544C">
        <w:t>ncrease the sub-</w:t>
      </w:r>
      <w:r w:rsidR="00BF6DEC">
        <w:t>carrier spacing, and 2) u</w:t>
      </w:r>
      <w:r w:rsidR="00C5544C">
        <w:t xml:space="preserve">tilize non-slot based scheduling. </w:t>
      </w:r>
    </w:p>
    <w:p w14:paraId="40ADF643" w14:textId="690C1E9E" w:rsidR="0083017B" w:rsidRPr="0083017B" w:rsidRDefault="00C5544C" w:rsidP="00BF6DEC">
      <w:r>
        <w:t xml:space="preserve">The increased transmission granularity in time implies in reverse the increased PDCCH monitoring overhead. That is a UE is required to monitor the PDCCH more often than longer TTI case. In this section, we discuss possible options to reduce the UE PDCCH monitoring overhead and, thereby, reducing UE power consumption, while allowing shorter TTI operation of NR-unlicensed. </w:t>
      </w:r>
    </w:p>
    <w:p w14:paraId="12CA65DD" w14:textId="561A164C" w:rsidR="00283B09" w:rsidRDefault="00C5544C" w:rsidP="0094666E">
      <w:pPr>
        <w:pStyle w:val="Heading2"/>
      </w:pPr>
      <w:r>
        <w:lastRenderedPageBreak/>
        <w:t xml:space="preserve">PDCCH monitoring window concept </w:t>
      </w:r>
    </w:p>
    <w:p w14:paraId="5BF1E561" w14:textId="3B17DE2F" w:rsidR="00C5544C" w:rsidRDefault="00CF7912" w:rsidP="00C5544C">
      <w:r>
        <w:t xml:space="preserve">The PDCCH monitoring window concept is depicted in Figure 3 below, in which a UE is configured with PDCCH monitoring window in addition to PDCCH monitoring periodicity and occasion, which had been already defined for Rel-15 NR. </w:t>
      </w:r>
    </w:p>
    <w:p w14:paraId="69F9A323" w14:textId="07A1F8B2" w:rsidR="00C5544C" w:rsidRDefault="00C5544C" w:rsidP="00C5544C">
      <w:pPr>
        <w:jc w:val="center"/>
      </w:pPr>
      <w:r>
        <w:object w:dxaOrig="4236" w:dyaOrig="2508" w14:anchorId="28F45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47.1pt" o:ole="">
            <v:imagedata r:id="rId14" o:title=""/>
          </v:shape>
          <o:OLEObject Type="Embed" ProgID="Visio.Drawing.15" ShapeID="_x0000_i1025" DrawAspect="Content" ObjectID="_1584546156" r:id="rId15"/>
        </w:object>
      </w:r>
    </w:p>
    <w:p w14:paraId="4F319D3E" w14:textId="77777777" w:rsidR="00C5544C" w:rsidRDefault="00C5544C" w:rsidP="00C5544C"/>
    <w:p w14:paraId="24570E00" w14:textId="325A8AA2" w:rsidR="00C5544C" w:rsidRPr="001E611B" w:rsidRDefault="00C5544C" w:rsidP="00C5544C">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3 Illustration of PDCCH monitoring window</w:t>
      </w:r>
      <w:r w:rsidR="00086258">
        <w:rPr>
          <w:b/>
          <w:lang w:eastAsia="zh-CN"/>
        </w:rPr>
        <w:t xml:space="preserve"> concept</w:t>
      </w:r>
    </w:p>
    <w:p w14:paraId="3D6A4497" w14:textId="77777777" w:rsidR="00C5544C" w:rsidRDefault="00C5544C" w:rsidP="00C5544C">
      <w:pPr>
        <w:rPr>
          <w:lang w:val="en-US"/>
        </w:rPr>
      </w:pPr>
    </w:p>
    <w:p w14:paraId="1DB382E6" w14:textId="3A6F8EC5" w:rsidR="00CF7912" w:rsidRPr="00C5544C" w:rsidRDefault="00CF7912" w:rsidP="00C5544C">
      <w:pPr>
        <w:rPr>
          <w:lang w:val="en-US"/>
        </w:rPr>
      </w:pPr>
      <w:r>
        <w:rPr>
          <w:lang w:val="en-US"/>
        </w:rPr>
        <w:t xml:space="preserve">The motivation of defining the window for PDCCH monitoring is to increase the chance to transmit PDCCH. With a single occasion, the PDCCH transmission cannot be performed if the channel has been sensed to be busy </w:t>
      </w:r>
      <w:r w:rsidR="00B63B40">
        <w:rPr>
          <w:lang w:val="en-US"/>
        </w:rPr>
        <w:t xml:space="preserve">at that occasion. Increasing the window duration will increase UE power consumption for PDCCH monitoring but have </w:t>
      </w:r>
      <w:r w:rsidR="00086258">
        <w:rPr>
          <w:lang w:val="en-US"/>
        </w:rPr>
        <w:t>better</w:t>
      </w:r>
      <w:r w:rsidR="00B63B40">
        <w:rPr>
          <w:lang w:val="en-US"/>
        </w:rPr>
        <w:t xml:space="preserve"> chance to transmit PDCCH. Therefore, </w:t>
      </w:r>
      <w:r w:rsidR="00086258">
        <w:rPr>
          <w:lang w:val="en-US"/>
        </w:rPr>
        <w:t>there</w:t>
      </w:r>
      <w:r w:rsidR="00B63B40">
        <w:rPr>
          <w:lang w:val="en-US"/>
        </w:rPr>
        <w:t xml:space="preserve"> is a tradeoff. </w:t>
      </w:r>
    </w:p>
    <w:p w14:paraId="68E705A3" w14:textId="62072BFE" w:rsidR="00C5544C" w:rsidRDefault="00C5544C" w:rsidP="00C5544C">
      <w:pPr>
        <w:pStyle w:val="Heading2"/>
      </w:pPr>
      <w:r>
        <w:t xml:space="preserve">Introduction of wake-up signal for NR-unlicensed </w:t>
      </w:r>
    </w:p>
    <w:p w14:paraId="038FF1B9" w14:textId="274AAD7D" w:rsidR="00C5544C" w:rsidRDefault="00B63B40" w:rsidP="00C5544C">
      <w:r>
        <w:t xml:space="preserve">In Rel-15 LTE </w:t>
      </w:r>
      <w:proofErr w:type="spellStart"/>
      <w:r>
        <w:t>efeMTC</w:t>
      </w:r>
      <w:proofErr w:type="spellEnd"/>
      <w:r>
        <w:t xml:space="preserve"> WI, the design of wake-up signal (WUS) is being conducted. The motivation of WUS is to </w:t>
      </w:r>
      <w:r w:rsidR="00E02A05">
        <w:t>enable a UE to detect a signal, e.g., SSS, before going into actual demodulation of PDCCH. The detection of a particular sequence can be performed with simple correlator block which is separated from baseband. With WUS</w:t>
      </w:r>
      <w:r w:rsidR="000C6B4D">
        <w:t xml:space="preserve"> mechanism</w:t>
      </w:r>
      <w:r w:rsidR="00E02A05">
        <w:t xml:space="preserve">, if WUS is not detected, or detected but indicating IDLE mode, then the UE can go back to sleep while not being bothered </w:t>
      </w:r>
      <w:r w:rsidR="000C6B4D">
        <w:t>with</w:t>
      </w:r>
      <w:r w:rsidR="00E02A05">
        <w:t xml:space="preserve"> decod</w:t>
      </w:r>
      <w:r w:rsidR="000C6B4D">
        <w:t>ing</w:t>
      </w:r>
      <w:r w:rsidR="00E02A05">
        <w:t xml:space="preserve"> PDCCH. Otherwise, the UE will wake-up and will perform PDCCH decoding. The concept of WUS is illustrated in the figure below. </w:t>
      </w:r>
    </w:p>
    <w:p w14:paraId="4438F2A4" w14:textId="6B533784" w:rsidR="00C5544C" w:rsidRDefault="00CA386B" w:rsidP="00CA386B">
      <w:pPr>
        <w:jc w:val="center"/>
      </w:pPr>
      <w:r>
        <w:object w:dxaOrig="16692" w:dyaOrig="8304" w14:anchorId="57C14C67">
          <v:shape id="_x0000_i1026" type="#_x0000_t75" style="width:359.6pt;height:180.2pt" o:ole="">
            <v:imagedata r:id="rId16" o:title=""/>
          </v:shape>
          <o:OLEObject Type="Embed" ProgID="Visio.Drawing.15" ShapeID="_x0000_i1026" DrawAspect="Content" ObjectID="_1584546157" r:id="rId17"/>
        </w:object>
      </w:r>
    </w:p>
    <w:p w14:paraId="29766505" w14:textId="44292DE3" w:rsidR="00C5544C" w:rsidRPr="001E611B" w:rsidRDefault="00C5544C" w:rsidP="00C5544C">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 xml:space="preserve">4 Illustration of wake-up signal operation </w:t>
      </w:r>
      <w:r w:rsidR="00CA386B">
        <w:rPr>
          <w:b/>
          <w:lang w:eastAsia="zh-CN"/>
        </w:rPr>
        <w:t>[2]</w:t>
      </w:r>
    </w:p>
    <w:p w14:paraId="6BDD0EE2" w14:textId="5F7C71DE" w:rsidR="00C5544C" w:rsidRDefault="00C5544C" w:rsidP="00C5544C">
      <w:pPr>
        <w:rPr>
          <w:lang w:val="en-US"/>
        </w:rPr>
      </w:pPr>
    </w:p>
    <w:p w14:paraId="51E08A24" w14:textId="5D84BE28" w:rsidR="00E02A05" w:rsidRDefault="00D35703" w:rsidP="00C5544C">
      <w:pPr>
        <w:rPr>
          <w:lang w:val="en-US"/>
        </w:rPr>
      </w:pPr>
      <w:r>
        <w:rPr>
          <w:lang w:val="en-US"/>
        </w:rPr>
        <w:t xml:space="preserve">In the unlicensed operation, there is no guarantee that </w:t>
      </w:r>
      <w:r w:rsidR="000C6B4D">
        <w:rPr>
          <w:lang w:val="en-US"/>
        </w:rPr>
        <w:t>a</w:t>
      </w:r>
      <w:r>
        <w:rPr>
          <w:lang w:val="en-US"/>
        </w:rPr>
        <w:t xml:space="preserve"> </w:t>
      </w:r>
      <w:proofErr w:type="spellStart"/>
      <w:r>
        <w:rPr>
          <w:lang w:val="en-US"/>
        </w:rPr>
        <w:t>gNB</w:t>
      </w:r>
      <w:proofErr w:type="spellEnd"/>
      <w:r>
        <w:rPr>
          <w:lang w:val="en-US"/>
        </w:rPr>
        <w:t xml:space="preserve"> can send PDCCH in the configured PDCCH monitoring occasion to the</w:t>
      </w:r>
      <w:r w:rsidR="000C6B4D">
        <w:rPr>
          <w:lang w:val="en-US"/>
        </w:rPr>
        <w:t xml:space="preserve"> corresponding</w:t>
      </w:r>
      <w:r>
        <w:rPr>
          <w:lang w:val="en-US"/>
        </w:rPr>
        <w:t xml:space="preserve"> UE due to the LBT. </w:t>
      </w:r>
      <w:r w:rsidR="00E069AF">
        <w:rPr>
          <w:lang w:val="en-US"/>
        </w:rPr>
        <w:t>If one considers to increase the PDCCH monitoring occasions by reducing the periodicity, it will results in more frequent attempt to d</w:t>
      </w:r>
      <w:r w:rsidR="00F76FE0">
        <w:rPr>
          <w:lang w:val="en-US"/>
        </w:rPr>
        <w:t xml:space="preserve">ecode PDCCH and increased power consumption. Therefore, with similar motivation for MTC, the augmentation of WUS can be studied for NR-unlicensed. </w:t>
      </w:r>
    </w:p>
    <w:p w14:paraId="1A90EBB1" w14:textId="4A2E2EB5" w:rsidR="00C5544C" w:rsidRPr="00F76FE0" w:rsidRDefault="00F76FE0" w:rsidP="00F76FE0">
      <w:pPr>
        <w:spacing w:before="240" w:after="240"/>
        <w:rPr>
          <w:b/>
          <w:szCs w:val="20"/>
          <w:lang w:val="en-US"/>
        </w:rPr>
      </w:pPr>
      <w:r>
        <w:rPr>
          <w:b/>
          <w:szCs w:val="20"/>
          <w:lang w:val="en-US"/>
        </w:rPr>
        <w:lastRenderedPageBreak/>
        <w:t xml:space="preserve">Proposal </w:t>
      </w:r>
      <w:r>
        <w:rPr>
          <w:b/>
          <w:szCs w:val="20"/>
          <w:lang w:val="en-US"/>
        </w:rPr>
        <w:t>2</w:t>
      </w:r>
      <w:r w:rsidRPr="00BF4801">
        <w:rPr>
          <w:b/>
          <w:szCs w:val="20"/>
          <w:lang w:val="en-US"/>
        </w:rPr>
        <w:t xml:space="preserve">: </w:t>
      </w:r>
      <w:r>
        <w:rPr>
          <w:b/>
          <w:szCs w:val="20"/>
          <w:lang w:val="en-US"/>
        </w:rPr>
        <w:t>It is proposed to study</w:t>
      </w:r>
      <w:r>
        <w:rPr>
          <w:b/>
          <w:szCs w:val="20"/>
          <w:lang w:val="en-US"/>
        </w:rPr>
        <w:t xml:space="preserve"> a mechanism to increase PDCCH transmission opportunities for NR-unlicensed while minimizing UE power consumption.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3C20C44E" w14:textId="061BC10F" w:rsidR="00BF6DEC" w:rsidRPr="00BF6DEC" w:rsidRDefault="00BF6DEC" w:rsidP="00BF6DEC">
      <w:pPr>
        <w:rPr>
          <w:lang w:val="en-US" w:eastAsia="ko-KR"/>
        </w:rPr>
      </w:pPr>
      <w:r>
        <w:rPr>
          <w:lang w:val="en-US"/>
        </w:rPr>
        <w:t>In this contribution, we discuss necessary enhancements to Rel-15 NR design, which was mainly designed for the use in licensed spectrum, such that the NR can operate in unlicensed spectrum. To be specific,</w:t>
      </w:r>
      <w:r>
        <w:rPr>
          <w:lang w:val="en-US"/>
        </w:rPr>
        <w:t xml:space="preserve"> we discussed 1) </w:t>
      </w:r>
      <w:r>
        <w:rPr>
          <w:lang w:val="en-US" w:eastAsia="ko-KR"/>
        </w:rPr>
        <w:t>d</w:t>
      </w:r>
      <w:r>
        <w:rPr>
          <w:lang w:val="en-US" w:eastAsia="ko-KR"/>
        </w:rPr>
        <w:t>iscovery reference signal for NR-unlicensed for RRM</w:t>
      </w:r>
      <w:r>
        <w:rPr>
          <w:lang w:val="en-US" w:eastAsia="ko-KR"/>
        </w:rPr>
        <w:t>, and 2) m</w:t>
      </w:r>
      <w:r>
        <w:rPr>
          <w:lang w:val="en-US" w:eastAsia="ko-KR"/>
        </w:rPr>
        <w:t>ethod to increase PDCCH transmission opportunities while not increasing UE power consumption: PDCCH monitoring window concept vs. wake-up signal (WUS)</w:t>
      </w:r>
      <w:r>
        <w:rPr>
          <w:lang w:val="en-US" w:eastAsia="ko-KR"/>
        </w:rPr>
        <w:t>. After that, the following proposals were made:</w:t>
      </w:r>
    </w:p>
    <w:p w14:paraId="02431B72" w14:textId="3BC4C08D" w:rsidR="00BF6DEC" w:rsidRPr="00BF6DEC" w:rsidRDefault="00BF6DEC" w:rsidP="00BF6DEC">
      <w:pPr>
        <w:spacing w:before="240" w:after="240"/>
        <w:rPr>
          <w:b/>
          <w:szCs w:val="20"/>
          <w:lang w:val="en-US"/>
        </w:rPr>
      </w:pPr>
      <w:r>
        <w:rPr>
          <w:b/>
          <w:szCs w:val="20"/>
          <w:lang w:val="en-US"/>
        </w:rPr>
        <w:t>Proposal 1</w:t>
      </w:r>
      <w:r w:rsidRPr="00BF4801">
        <w:rPr>
          <w:b/>
          <w:szCs w:val="20"/>
          <w:lang w:val="en-US"/>
        </w:rPr>
        <w:t xml:space="preserve">: </w:t>
      </w:r>
      <w:r>
        <w:rPr>
          <w:b/>
          <w:szCs w:val="20"/>
          <w:lang w:val="en-US"/>
        </w:rPr>
        <w:t xml:space="preserve">It is proposed to study possible introduction of discovery reference signal (DRS) for NR-unlicensed and mechanism to enhance the reliability of the DRS transmission. </w:t>
      </w:r>
      <w:r>
        <w:t xml:space="preserve"> </w:t>
      </w:r>
    </w:p>
    <w:p w14:paraId="551FFC3F" w14:textId="77777777" w:rsidR="00BF6DEC" w:rsidRPr="00F76FE0" w:rsidRDefault="00BF6DEC" w:rsidP="00BF6DEC">
      <w:pPr>
        <w:spacing w:before="240" w:after="240"/>
        <w:rPr>
          <w:b/>
          <w:szCs w:val="20"/>
          <w:lang w:val="en-US"/>
        </w:rPr>
      </w:pPr>
      <w:r>
        <w:rPr>
          <w:b/>
          <w:szCs w:val="20"/>
          <w:lang w:val="en-US"/>
        </w:rPr>
        <w:t>Proposal 2</w:t>
      </w:r>
      <w:r w:rsidRPr="00BF4801">
        <w:rPr>
          <w:b/>
          <w:szCs w:val="20"/>
          <w:lang w:val="en-US"/>
        </w:rPr>
        <w:t xml:space="preserve">: </w:t>
      </w:r>
      <w:r>
        <w:rPr>
          <w:b/>
          <w:szCs w:val="20"/>
          <w:lang w:val="en-US"/>
        </w:rPr>
        <w:t xml:space="preserve">It is proposed to study a mechanism to increase PDCCH transmission opportunities for NR-unlicensed while minimizing UE power consumption. </w:t>
      </w:r>
    </w:p>
    <w:p w14:paraId="238F967D" w14:textId="77777777" w:rsidR="00706604" w:rsidRPr="0045551F" w:rsidRDefault="00706604" w:rsidP="005D09C1">
      <w:pPr>
        <w:rPr>
          <w:kern w:val="2"/>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E866F88" w14:textId="0DEC91D4" w:rsidR="00CA386B" w:rsidRDefault="00F651F0" w:rsidP="00CA386B">
      <w:pPr>
        <w:rPr>
          <w:lang w:eastAsia="zh-CN"/>
        </w:rPr>
      </w:pPr>
      <w:r w:rsidRPr="00F651F0">
        <w:rPr>
          <w:rFonts w:ascii="Times New Roman" w:hAnsi="Times New Roman"/>
          <w:lang w:val="en-US"/>
        </w:rPr>
        <w:t xml:space="preserve">[1] </w:t>
      </w:r>
      <w:bookmarkStart w:id="1" w:name="_Ref506562006"/>
      <w:r w:rsidR="00CA386B" w:rsidRPr="00706C1E">
        <w:rPr>
          <w:lang w:eastAsia="zh-CN"/>
        </w:rPr>
        <w:t>RP-172021, “New SID on NR-based Access to Unlicensed Spectrum</w:t>
      </w:r>
      <w:r w:rsidR="00CA386B">
        <w:rPr>
          <w:lang w:eastAsia="zh-CN"/>
        </w:rPr>
        <w:t>,”</w:t>
      </w:r>
      <w:r w:rsidR="00CA386B" w:rsidRPr="00706C1E">
        <w:rPr>
          <w:lang w:eastAsia="zh-CN"/>
        </w:rPr>
        <w:t xml:space="preserve"> Qualcomm Inc., 3GPP TSG RAN Meeting #77, September, 2017.</w:t>
      </w:r>
      <w:bookmarkEnd w:id="1"/>
    </w:p>
    <w:p w14:paraId="7285C39A" w14:textId="7E424B52" w:rsidR="00CA386B" w:rsidRPr="00586740" w:rsidRDefault="00CA386B" w:rsidP="00CA386B">
      <w:pPr>
        <w:rPr>
          <w:rFonts w:ascii="Times New Roman" w:hAnsi="Times New Roman"/>
        </w:rPr>
      </w:pPr>
      <w:r>
        <w:rPr>
          <w:lang w:eastAsia="zh-CN"/>
        </w:rPr>
        <w:t xml:space="preserve">[2] R1-1704693, “DL power consumption reduction for </w:t>
      </w:r>
      <w:proofErr w:type="spellStart"/>
      <w:r>
        <w:rPr>
          <w:lang w:eastAsia="zh-CN"/>
        </w:rPr>
        <w:t>efeMTC</w:t>
      </w:r>
      <w:proofErr w:type="spellEnd"/>
      <w:r>
        <w:rPr>
          <w:lang w:eastAsia="zh-CN"/>
        </w:rPr>
        <w:t xml:space="preserve">,” Intel Corporation, </w:t>
      </w:r>
      <w:r w:rsidRPr="00706C1E">
        <w:rPr>
          <w:lang w:eastAsia="zh-CN"/>
        </w:rPr>
        <w:t>3GPP TSG RAN</w:t>
      </w:r>
      <w:r>
        <w:rPr>
          <w:lang w:eastAsia="zh-CN"/>
        </w:rPr>
        <w:t>1</w:t>
      </w:r>
      <w:r w:rsidRPr="00706C1E">
        <w:rPr>
          <w:lang w:eastAsia="zh-CN"/>
        </w:rPr>
        <w:t xml:space="preserve"> Meeting #</w:t>
      </w:r>
      <w:r>
        <w:rPr>
          <w:lang w:eastAsia="zh-CN"/>
        </w:rPr>
        <w:t>88bis, April, 2017</w:t>
      </w:r>
      <w:bookmarkStart w:id="2" w:name="_GoBack"/>
      <w:bookmarkEnd w:id="2"/>
    </w:p>
    <w:p w14:paraId="2718EA6E" w14:textId="7E3B665C" w:rsidR="0050700A" w:rsidRPr="00586740" w:rsidRDefault="0050700A" w:rsidP="00BB5AC3">
      <w:pPr>
        <w:pStyle w:val="BodyText"/>
        <w:overflowPunct w:val="0"/>
        <w:ind w:left="420" w:hanging="240"/>
        <w:textAlignment w:val="baseline"/>
        <w:rPr>
          <w:rFonts w:ascii="Times New Roman" w:hAnsi="Times New Roman"/>
        </w:rPr>
      </w:pPr>
    </w:p>
    <w:sectPr w:rsidR="0050700A" w:rsidRPr="00586740" w:rsidSect="0012020F">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EF659" w14:textId="77777777" w:rsidR="004D0463" w:rsidRDefault="004D0463"/>
  </w:endnote>
  <w:endnote w:type="continuationSeparator" w:id="0">
    <w:p w14:paraId="7882D54F" w14:textId="77777777" w:rsidR="004D0463" w:rsidRDefault="004D0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B6F9F" w14:textId="77777777" w:rsidR="004D0463" w:rsidRDefault="004D0463"/>
  </w:footnote>
  <w:footnote w:type="continuationSeparator" w:id="0">
    <w:p w14:paraId="38B54C45" w14:textId="77777777" w:rsidR="004D0463" w:rsidRDefault="004D04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33492"/>
    <w:multiLevelType w:val="hybridMultilevel"/>
    <w:tmpl w:val="5B6A8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2B4966"/>
    <w:multiLevelType w:val="hybridMultilevel"/>
    <w:tmpl w:val="09347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4C7750"/>
    <w:multiLevelType w:val="hybridMultilevel"/>
    <w:tmpl w:val="F42E3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40D4F"/>
    <w:multiLevelType w:val="hybridMultilevel"/>
    <w:tmpl w:val="8CCE20A6"/>
    <w:lvl w:ilvl="0" w:tplc="ED883DFE">
      <w:start w:val="1"/>
      <w:numFmt w:val="bullet"/>
      <w:lvlText w:val=""/>
      <w:lvlJc w:val="left"/>
      <w:pPr>
        <w:tabs>
          <w:tab w:val="num" w:pos="720"/>
        </w:tabs>
        <w:ind w:left="720" w:hanging="360"/>
      </w:pPr>
      <w:rPr>
        <w:rFonts w:ascii="Wingdings" w:hAnsi="Wingdings" w:hint="default"/>
      </w:rPr>
    </w:lvl>
    <w:lvl w:ilvl="1" w:tplc="C07835DA">
      <w:start w:val="1"/>
      <w:numFmt w:val="bullet"/>
      <w:lvlText w:val=""/>
      <w:lvlJc w:val="left"/>
      <w:pPr>
        <w:tabs>
          <w:tab w:val="num" w:pos="1440"/>
        </w:tabs>
        <w:ind w:left="1440" w:hanging="360"/>
      </w:pPr>
      <w:rPr>
        <w:rFonts w:ascii="Wingdings" w:hAnsi="Wingdings" w:hint="default"/>
      </w:rPr>
    </w:lvl>
    <w:lvl w:ilvl="2" w:tplc="3558B86C" w:tentative="1">
      <w:start w:val="1"/>
      <w:numFmt w:val="bullet"/>
      <w:lvlText w:val=""/>
      <w:lvlJc w:val="left"/>
      <w:pPr>
        <w:tabs>
          <w:tab w:val="num" w:pos="2160"/>
        </w:tabs>
        <w:ind w:left="2160" w:hanging="360"/>
      </w:pPr>
      <w:rPr>
        <w:rFonts w:ascii="Wingdings" w:hAnsi="Wingdings" w:hint="default"/>
      </w:rPr>
    </w:lvl>
    <w:lvl w:ilvl="3" w:tplc="89BC6758" w:tentative="1">
      <w:start w:val="1"/>
      <w:numFmt w:val="bullet"/>
      <w:lvlText w:val=""/>
      <w:lvlJc w:val="left"/>
      <w:pPr>
        <w:tabs>
          <w:tab w:val="num" w:pos="2880"/>
        </w:tabs>
        <w:ind w:left="2880" w:hanging="360"/>
      </w:pPr>
      <w:rPr>
        <w:rFonts w:ascii="Wingdings" w:hAnsi="Wingdings" w:hint="default"/>
      </w:rPr>
    </w:lvl>
    <w:lvl w:ilvl="4" w:tplc="2A88FC4E" w:tentative="1">
      <w:start w:val="1"/>
      <w:numFmt w:val="bullet"/>
      <w:lvlText w:val=""/>
      <w:lvlJc w:val="left"/>
      <w:pPr>
        <w:tabs>
          <w:tab w:val="num" w:pos="3600"/>
        </w:tabs>
        <w:ind w:left="3600" w:hanging="360"/>
      </w:pPr>
      <w:rPr>
        <w:rFonts w:ascii="Wingdings" w:hAnsi="Wingdings" w:hint="default"/>
      </w:rPr>
    </w:lvl>
    <w:lvl w:ilvl="5" w:tplc="F56E4944" w:tentative="1">
      <w:start w:val="1"/>
      <w:numFmt w:val="bullet"/>
      <w:lvlText w:val=""/>
      <w:lvlJc w:val="left"/>
      <w:pPr>
        <w:tabs>
          <w:tab w:val="num" w:pos="4320"/>
        </w:tabs>
        <w:ind w:left="4320" w:hanging="360"/>
      </w:pPr>
      <w:rPr>
        <w:rFonts w:ascii="Wingdings" w:hAnsi="Wingdings" w:hint="default"/>
      </w:rPr>
    </w:lvl>
    <w:lvl w:ilvl="6" w:tplc="0FEC1EFA" w:tentative="1">
      <w:start w:val="1"/>
      <w:numFmt w:val="bullet"/>
      <w:lvlText w:val=""/>
      <w:lvlJc w:val="left"/>
      <w:pPr>
        <w:tabs>
          <w:tab w:val="num" w:pos="5040"/>
        </w:tabs>
        <w:ind w:left="5040" w:hanging="360"/>
      </w:pPr>
      <w:rPr>
        <w:rFonts w:ascii="Wingdings" w:hAnsi="Wingdings" w:hint="default"/>
      </w:rPr>
    </w:lvl>
    <w:lvl w:ilvl="7" w:tplc="CFC8D824" w:tentative="1">
      <w:start w:val="1"/>
      <w:numFmt w:val="bullet"/>
      <w:lvlText w:val=""/>
      <w:lvlJc w:val="left"/>
      <w:pPr>
        <w:tabs>
          <w:tab w:val="num" w:pos="5760"/>
        </w:tabs>
        <w:ind w:left="5760" w:hanging="360"/>
      </w:pPr>
      <w:rPr>
        <w:rFonts w:ascii="Wingdings" w:hAnsi="Wingdings" w:hint="default"/>
      </w:rPr>
    </w:lvl>
    <w:lvl w:ilvl="8" w:tplc="6EF2B65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206176"/>
    <w:multiLevelType w:val="hybridMultilevel"/>
    <w:tmpl w:val="8E189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3"/>
  </w:num>
  <w:num w:numId="4">
    <w:abstractNumId w:val="0"/>
  </w:num>
  <w:num w:numId="5">
    <w:abstractNumId w:val="23"/>
  </w:num>
  <w:num w:numId="6">
    <w:abstractNumId w:val="5"/>
  </w:num>
  <w:num w:numId="7">
    <w:abstractNumId w:val="10"/>
  </w:num>
  <w:num w:numId="8">
    <w:abstractNumId w:val="18"/>
  </w:num>
  <w:num w:numId="9">
    <w:abstractNumId w:val="14"/>
  </w:num>
  <w:num w:numId="10">
    <w:abstractNumId w:val="8"/>
  </w:num>
  <w:num w:numId="11">
    <w:abstractNumId w:val="27"/>
  </w:num>
  <w:num w:numId="12">
    <w:abstractNumId w:val="1"/>
  </w:num>
  <w:num w:numId="13">
    <w:abstractNumId w:val="16"/>
  </w:num>
  <w:num w:numId="14">
    <w:abstractNumId w:val="9"/>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num>
  <w:num w:numId="19">
    <w:abstractNumId w:val="29"/>
  </w:num>
  <w:num w:numId="20">
    <w:abstractNumId w:val="28"/>
  </w:num>
  <w:num w:numId="21">
    <w:abstractNumId w:val="22"/>
  </w:num>
  <w:num w:numId="22">
    <w:abstractNumId w:val="20"/>
  </w:num>
  <w:num w:numId="23">
    <w:abstractNumId w:val="30"/>
  </w:num>
  <w:num w:numId="24">
    <w:abstractNumId w:val="6"/>
  </w:num>
  <w:num w:numId="25">
    <w:abstractNumId w:val="7"/>
  </w:num>
  <w:num w:numId="26">
    <w:abstractNumId w:val="32"/>
  </w:num>
  <w:num w:numId="27">
    <w:abstractNumId w:val="26"/>
  </w:num>
  <w:num w:numId="28">
    <w:abstractNumId w:val="21"/>
  </w:num>
  <w:num w:numId="29">
    <w:abstractNumId w:val="11"/>
  </w:num>
  <w:num w:numId="30">
    <w:abstractNumId w:val="24"/>
  </w:num>
  <w:num w:numId="31">
    <w:abstractNumId w:val="12"/>
  </w:num>
  <w:num w:numId="32">
    <w:abstractNumId w:val="25"/>
  </w:num>
  <w:num w:numId="33">
    <w:abstractNumId w:val="17"/>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6B72"/>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258"/>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B4D"/>
    <w:rsid w:val="000C75BA"/>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6CE"/>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0D"/>
    <w:rsid w:val="002D28E1"/>
    <w:rsid w:val="002D3085"/>
    <w:rsid w:val="002D3343"/>
    <w:rsid w:val="002D35FE"/>
    <w:rsid w:val="002D39BE"/>
    <w:rsid w:val="002D3B4C"/>
    <w:rsid w:val="002D453F"/>
    <w:rsid w:val="002D47E9"/>
    <w:rsid w:val="002D534B"/>
    <w:rsid w:val="002D5589"/>
    <w:rsid w:val="002D5842"/>
    <w:rsid w:val="002D673C"/>
    <w:rsid w:val="002D67CE"/>
    <w:rsid w:val="002D6817"/>
    <w:rsid w:val="002D6D45"/>
    <w:rsid w:val="002D71FF"/>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5A63"/>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6E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32D"/>
    <w:rsid w:val="004C1CED"/>
    <w:rsid w:val="004C203B"/>
    <w:rsid w:val="004C2DF1"/>
    <w:rsid w:val="004C56BA"/>
    <w:rsid w:val="004C5B5A"/>
    <w:rsid w:val="004C5CBD"/>
    <w:rsid w:val="004C691F"/>
    <w:rsid w:val="004C6F57"/>
    <w:rsid w:val="004C7102"/>
    <w:rsid w:val="004C73E7"/>
    <w:rsid w:val="004D0263"/>
    <w:rsid w:val="004D04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AD"/>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173"/>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1225"/>
    <w:rsid w:val="00721607"/>
    <w:rsid w:val="007219F1"/>
    <w:rsid w:val="00721ACA"/>
    <w:rsid w:val="00722ECC"/>
    <w:rsid w:val="00722F5C"/>
    <w:rsid w:val="00723022"/>
    <w:rsid w:val="0072325C"/>
    <w:rsid w:val="00723B08"/>
    <w:rsid w:val="00723E3E"/>
    <w:rsid w:val="00724045"/>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10"/>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273"/>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8E6"/>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235"/>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17B"/>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2CA"/>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6C4"/>
    <w:rsid w:val="00866708"/>
    <w:rsid w:val="00867237"/>
    <w:rsid w:val="0086746F"/>
    <w:rsid w:val="00870409"/>
    <w:rsid w:val="00870552"/>
    <w:rsid w:val="00871874"/>
    <w:rsid w:val="00871F28"/>
    <w:rsid w:val="0087218F"/>
    <w:rsid w:val="00873AD3"/>
    <w:rsid w:val="00873B74"/>
    <w:rsid w:val="00873BD1"/>
    <w:rsid w:val="00875578"/>
    <w:rsid w:val="008769F9"/>
    <w:rsid w:val="00876BC8"/>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2E13"/>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294B"/>
    <w:rsid w:val="00AA29C4"/>
    <w:rsid w:val="00AA2CF5"/>
    <w:rsid w:val="00AA313E"/>
    <w:rsid w:val="00AA3293"/>
    <w:rsid w:val="00AA334E"/>
    <w:rsid w:val="00AA3537"/>
    <w:rsid w:val="00AA356B"/>
    <w:rsid w:val="00AA3EAC"/>
    <w:rsid w:val="00AA4C6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E7F71"/>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FC"/>
    <w:rsid w:val="00B0272A"/>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3DE2"/>
    <w:rsid w:val="00B54DD8"/>
    <w:rsid w:val="00B559EC"/>
    <w:rsid w:val="00B56218"/>
    <w:rsid w:val="00B56569"/>
    <w:rsid w:val="00B5696E"/>
    <w:rsid w:val="00B56DEC"/>
    <w:rsid w:val="00B56F44"/>
    <w:rsid w:val="00B56F94"/>
    <w:rsid w:val="00B5766B"/>
    <w:rsid w:val="00B609B5"/>
    <w:rsid w:val="00B612D1"/>
    <w:rsid w:val="00B619D4"/>
    <w:rsid w:val="00B6247E"/>
    <w:rsid w:val="00B629DD"/>
    <w:rsid w:val="00B62E20"/>
    <w:rsid w:val="00B630F2"/>
    <w:rsid w:val="00B63B40"/>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091"/>
    <w:rsid w:val="00BF319E"/>
    <w:rsid w:val="00BF3375"/>
    <w:rsid w:val="00BF35D1"/>
    <w:rsid w:val="00BF3B9A"/>
    <w:rsid w:val="00BF3DD0"/>
    <w:rsid w:val="00BF4171"/>
    <w:rsid w:val="00BF4801"/>
    <w:rsid w:val="00BF48AB"/>
    <w:rsid w:val="00BF4C44"/>
    <w:rsid w:val="00BF5100"/>
    <w:rsid w:val="00BF574E"/>
    <w:rsid w:val="00BF57BD"/>
    <w:rsid w:val="00BF6DEC"/>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44C"/>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86B"/>
    <w:rsid w:val="00CA3A6D"/>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CF7912"/>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5703"/>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31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A05"/>
    <w:rsid w:val="00E02D3B"/>
    <w:rsid w:val="00E0405D"/>
    <w:rsid w:val="00E040F7"/>
    <w:rsid w:val="00E047A5"/>
    <w:rsid w:val="00E04D87"/>
    <w:rsid w:val="00E04E42"/>
    <w:rsid w:val="00E053FE"/>
    <w:rsid w:val="00E05512"/>
    <w:rsid w:val="00E05CF6"/>
    <w:rsid w:val="00E066D3"/>
    <w:rsid w:val="00E069AF"/>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D6"/>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3DA"/>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27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BA9"/>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3B9B"/>
    <w:rsid w:val="00F74677"/>
    <w:rsid w:val="00F75656"/>
    <w:rsid w:val="00F7579E"/>
    <w:rsid w:val="00F762E3"/>
    <w:rsid w:val="00F76C56"/>
    <w:rsid w:val="00F76FE0"/>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A4"/>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737"/>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C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2812689">
      <w:bodyDiv w:val="1"/>
      <w:marLeft w:val="0"/>
      <w:marRight w:val="0"/>
      <w:marTop w:val="0"/>
      <w:marBottom w:val="0"/>
      <w:divBdr>
        <w:top w:val="none" w:sz="0" w:space="0" w:color="auto"/>
        <w:left w:val="none" w:sz="0" w:space="0" w:color="auto"/>
        <w:bottom w:val="none" w:sz="0" w:space="0" w:color="auto"/>
        <w:right w:val="none" w:sz="0" w:space="0" w:color="auto"/>
      </w:divBdr>
      <w:divsChild>
        <w:div w:id="1715931822">
          <w:marLeft w:val="475"/>
          <w:marRight w:val="0"/>
          <w:marTop w:val="3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2650413">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5C118-DBD9-475B-A65F-46BD51C4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932</TotalTime>
  <Pages>4</Pages>
  <Words>1245</Words>
  <Characters>6782</Characters>
  <Application>Microsoft Office Word</Application>
  <DocSecurity>0</DocSecurity>
  <Lines>115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8077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85</cp:revision>
  <cp:lastPrinted>2017-10-24T05:18:00Z</cp:lastPrinted>
  <dcterms:created xsi:type="dcterms:W3CDTF">2018-02-16T19:20:00Z</dcterms:created>
  <dcterms:modified xsi:type="dcterms:W3CDTF">2018-04-07T01:56:00Z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70629cf4-df2a-4ca6-a3ae-c4f5420b890f</vt:lpwstr>
  </property>
  <property fmtid="{D5CDD505-2E9C-101B-9397-08002B2CF9AE}" pid="3" name="CTP_TimeStamp">
    <vt:lpwstr>2018-04-07 01:56:30Z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