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14CE3" w14:textId="55F73CD6" w:rsidR="00896E48" w:rsidRPr="0006709D" w:rsidRDefault="00896E48" w:rsidP="00896E48">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w:t>
      </w:r>
      <w:r w:rsidR="008A4D70" w:rsidRPr="00490C84">
        <w:rPr>
          <w:rFonts w:ascii="Arial" w:hAnsi="Arial" w:cs="Arial"/>
          <w:b/>
          <w:bCs/>
          <w:sz w:val="24"/>
          <w:szCs w:val="24"/>
        </w:rPr>
        <w:t>18</w:t>
      </w:r>
      <w:r w:rsidR="008A4D70">
        <w:rPr>
          <w:rFonts w:ascii="Arial" w:hAnsi="Arial" w:cs="Arial"/>
          <w:b/>
          <w:bCs/>
          <w:sz w:val="24"/>
          <w:szCs w:val="24"/>
        </w:rPr>
        <w:t>04795</w:t>
      </w:r>
    </w:p>
    <w:p w14:paraId="032F6388" w14:textId="77777777" w:rsidR="00896E48" w:rsidRPr="0006709D" w:rsidRDefault="00896E48" w:rsidP="00896E48">
      <w:pPr>
        <w:spacing w:after="0"/>
        <w:jc w:val="both"/>
        <w:rPr>
          <w:rFonts w:ascii="Arial" w:hAnsi="Arial" w:cs="Arial"/>
          <w:b/>
          <w:bCs/>
          <w:sz w:val="24"/>
          <w:szCs w:val="24"/>
        </w:rPr>
      </w:pPr>
      <w:r>
        <w:rPr>
          <w:rFonts w:ascii="Arial" w:hAnsi="Arial" w:cs="Arial"/>
          <w:b/>
          <w:bCs/>
          <w:sz w:val="24"/>
          <w:szCs w:val="24"/>
        </w:rPr>
        <w:t>Sanya, China, 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bookmarkEnd w:id="0"/>
    <w:p w14:paraId="46F1330C" w14:textId="77777777" w:rsidR="0068226B" w:rsidRPr="000A64D8" w:rsidRDefault="0068226B" w:rsidP="00265CB0">
      <w:pPr>
        <w:pStyle w:val="Footer"/>
        <w:jc w:val="both"/>
        <w:rPr>
          <w:noProof w:val="0"/>
        </w:rPr>
      </w:pPr>
    </w:p>
    <w:p w14:paraId="46F1330D" w14:textId="6B3A60B0"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0040A">
        <w:rPr>
          <w:rFonts w:ascii="Arial" w:hAnsi="Arial"/>
          <w:sz w:val="24"/>
        </w:rPr>
        <w:t>7</w:t>
      </w:r>
      <w:r w:rsidR="008A4D70">
        <w:rPr>
          <w:rFonts w:ascii="Arial" w:hAnsi="Arial"/>
          <w:sz w:val="24"/>
        </w:rPr>
        <w:t>.1</w:t>
      </w:r>
      <w:r w:rsidR="0000652B">
        <w:rPr>
          <w:rFonts w:ascii="Arial" w:hAnsi="Arial"/>
          <w:sz w:val="24"/>
        </w:rPr>
        <w:t>.2.</w:t>
      </w:r>
      <w:r w:rsidR="00D93EC0">
        <w:rPr>
          <w:rFonts w:ascii="Arial" w:hAnsi="Arial"/>
          <w:sz w:val="24"/>
        </w:rPr>
        <w:t>3</w:t>
      </w:r>
      <w:r w:rsidR="0000652B">
        <w:rPr>
          <w:rFonts w:ascii="Arial" w:hAnsi="Arial"/>
          <w:sz w:val="24"/>
        </w:rPr>
        <w:t>.</w:t>
      </w:r>
      <w:r w:rsidR="00A333FD">
        <w:rPr>
          <w:rFonts w:ascii="Arial" w:hAnsi="Arial"/>
          <w:sz w:val="24"/>
        </w:rPr>
        <w:t>6</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21DE2BD"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93EC0">
        <w:rPr>
          <w:rFonts w:ascii="Arial" w:hAnsi="Arial"/>
          <w:sz w:val="22"/>
        </w:rPr>
        <w:t>Remaining issues on TRS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1F2CB8">
      <w:pPr>
        <w:pStyle w:val="Heading1"/>
      </w:pPr>
      <w:r w:rsidRPr="00183CB7">
        <w:t>Introduction</w:t>
      </w:r>
    </w:p>
    <w:p w14:paraId="49DE5B0A" w14:textId="2000DB78" w:rsidR="00DA2420" w:rsidRDefault="00DA2420" w:rsidP="00DA2420">
      <w:pPr>
        <w:tabs>
          <w:tab w:val="left" w:pos="1440"/>
        </w:tabs>
        <w:overflowPunct/>
        <w:autoSpaceDE/>
        <w:autoSpaceDN/>
        <w:adjustRightInd/>
        <w:spacing w:after="0"/>
        <w:textAlignment w:val="auto"/>
      </w:pPr>
      <w:r>
        <w:t xml:space="preserve">In this contribution, we </w:t>
      </w:r>
      <w:r w:rsidR="000A622D">
        <w:t>discuss some of remaining open issues</w:t>
      </w:r>
      <w:r w:rsidR="00E41017">
        <w:t xml:space="preserve"> on TRS.</w:t>
      </w:r>
      <w:r w:rsidR="00CE45DD">
        <w:t xml:space="preserve"> </w:t>
      </w:r>
    </w:p>
    <w:p w14:paraId="2553D7D3" w14:textId="7F739DA2" w:rsidR="00E41017" w:rsidRDefault="00E41017" w:rsidP="001F2CB8">
      <w:pPr>
        <w:pStyle w:val="Heading1"/>
      </w:pPr>
      <w:r>
        <w:t>DCI triggering TRS</w:t>
      </w:r>
      <w:r w:rsidR="00A174B7">
        <w:t>: A-TRS</w:t>
      </w:r>
    </w:p>
    <w:p w14:paraId="1C8B7F6A" w14:textId="373390B9" w:rsidR="00E41017" w:rsidRPr="00FB7009" w:rsidRDefault="00E41017" w:rsidP="00E41017">
      <w:pPr>
        <w:jc w:val="both"/>
      </w:pPr>
      <w:r>
        <w:rPr>
          <w:lang w:val="en-GB"/>
        </w:rPr>
        <w:t>Multiple use cases for aperiodic TRS (CSI-RS for tracking) have been identified and discussed in RAN1#91 [1]. This contribution provides details on how to signal aperiodic TRS triggering via DCI. Periodic TRS has been already agreed and introduced for robust data reception performance in NR to replace one of CRS functionality in LTE, which includes time and frequency tracking, Doppler and Delay spread estimation and power delay profile estimation. In contiguous operation in connected mode, periodic TRS can provide reference for good demodulation performance at UE. Unfortunately, there are many events in NR which may need more than periodic TRS. A</w:t>
      </w:r>
      <w:r w:rsidRPr="00FB7009">
        <w:t xml:space="preserve">periodic TRS is essential given we have many aperiodic events as well as some periodic events which may not be aligned with periodic TRS. </w:t>
      </w:r>
      <w:r>
        <w:t>Use cases for aperiodic TRS are summarized below.</w:t>
      </w:r>
    </w:p>
    <w:p w14:paraId="2EA3BD1B" w14:textId="77777777" w:rsidR="00E41017" w:rsidRPr="00E41017" w:rsidRDefault="00E41017" w:rsidP="00293237">
      <w:pPr>
        <w:numPr>
          <w:ilvl w:val="0"/>
          <w:numId w:val="8"/>
        </w:numPr>
        <w:spacing w:after="0"/>
        <w:jc w:val="both"/>
        <w:rPr>
          <w:b/>
        </w:rPr>
      </w:pPr>
      <w:r w:rsidRPr="00E41017">
        <w:rPr>
          <w:b/>
        </w:rPr>
        <w:t>Aperiodic events</w:t>
      </w:r>
    </w:p>
    <w:p w14:paraId="5A9A861B" w14:textId="77777777" w:rsidR="00E41017" w:rsidRPr="00FB7009" w:rsidRDefault="00E41017" w:rsidP="00293237">
      <w:pPr>
        <w:numPr>
          <w:ilvl w:val="1"/>
          <w:numId w:val="8"/>
        </w:numPr>
        <w:spacing w:after="0"/>
        <w:jc w:val="both"/>
      </w:pPr>
      <w:r w:rsidRPr="00FB7009">
        <w:t xml:space="preserve">SCell activation </w:t>
      </w:r>
    </w:p>
    <w:p w14:paraId="751796B7" w14:textId="77777777" w:rsidR="00E41017" w:rsidRDefault="00E41017" w:rsidP="00293237">
      <w:pPr>
        <w:numPr>
          <w:ilvl w:val="2"/>
          <w:numId w:val="8"/>
        </w:numPr>
        <w:spacing w:after="0"/>
        <w:jc w:val="both"/>
      </w:pPr>
      <w:r w:rsidRPr="00FB7009">
        <w:t xml:space="preserve">Without aperiodic TRS, SCell activation can be delayed further up to TRS periodicity (max 80 ms on top of </w:t>
      </w:r>
      <w:r>
        <w:t xml:space="preserve">SCell </w:t>
      </w:r>
      <w:r w:rsidRPr="00FB7009">
        <w:t>activation</w:t>
      </w:r>
      <w:r>
        <w:t xml:space="preserve"> procedure</w:t>
      </w:r>
      <w:r w:rsidRPr="00FB7009">
        <w:t xml:space="preserve"> delay).</w:t>
      </w:r>
    </w:p>
    <w:p w14:paraId="24FDF3AD" w14:textId="77777777" w:rsidR="00E41017" w:rsidRPr="00FB7009" w:rsidRDefault="00E41017" w:rsidP="00293237">
      <w:pPr>
        <w:numPr>
          <w:ilvl w:val="2"/>
          <w:numId w:val="8"/>
        </w:numPr>
        <w:spacing w:after="0"/>
        <w:jc w:val="both"/>
      </w:pPr>
      <w:r>
        <w:t>For SCell activation, network can activate SCell followed by aperiodic TRS, aperiodic CSI-RS. After SCell activation, UE can perform tracking based on TRS and CSI estimation and reporting based on CSI-RS. Network would be able to start data transmission based on reported CSI.</w:t>
      </w:r>
    </w:p>
    <w:p w14:paraId="3D79FDCD" w14:textId="77777777" w:rsidR="00E41017" w:rsidRDefault="00E41017" w:rsidP="00293237">
      <w:pPr>
        <w:numPr>
          <w:ilvl w:val="1"/>
          <w:numId w:val="8"/>
        </w:numPr>
        <w:spacing w:after="0"/>
        <w:jc w:val="both"/>
      </w:pPr>
      <w:r>
        <w:t>BWP switching</w:t>
      </w:r>
    </w:p>
    <w:p w14:paraId="0C0A8608" w14:textId="77777777" w:rsidR="00E41017" w:rsidRDefault="00E41017" w:rsidP="00293237">
      <w:pPr>
        <w:numPr>
          <w:ilvl w:val="2"/>
          <w:numId w:val="8"/>
        </w:numPr>
        <w:spacing w:after="0"/>
        <w:jc w:val="both"/>
      </w:pPr>
      <w:r>
        <w:t>Upon BWP switching especially including RF retuning, a new reference signals for tracking is desirable before starting proper data reception.</w:t>
      </w:r>
    </w:p>
    <w:p w14:paraId="0AC48B3F" w14:textId="77777777" w:rsidR="00E41017" w:rsidRDefault="00E41017" w:rsidP="00293237">
      <w:pPr>
        <w:numPr>
          <w:ilvl w:val="2"/>
          <w:numId w:val="8"/>
        </w:numPr>
        <w:spacing w:after="0"/>
        <w:jc w:val="both"/>
      </w:pPr>
      <w:r>
        <w:t>Similar to SCell activation, BWP switching can exploit aperiodic TRS and aperiodic CSI-RS for faster link adaptation.</w:t>
      </w:r>
    </w:p>
    <w:p w14:paraId="311E950D" w14:textId="77777777" w:rsidR="00E41017" w:rsidRPr="00FB7009" w:rsidRDefault="00E41017" w:rsidP="00293237">
      <w:pPr>
        <w:numPr>
          <w:ilvl w:val="1"/>
          <w:numId w:val="8"/>
        </w:numPr>
        <w:spacing w:after="0"/>
        <w:jc w:val="both"/>
      </w:pPr>
      <w:r w:rsidRPr="00FB7009">
        <w:t xml:space="preserve">Multi-beam change </w:t>
      </w:r>
    </w:p>
    <w:p w14:paraId="7D48F128" w14:textId="77777777" w:rsidR="00E41017" w:rsidRPr="00FB7009" w:rsidRDefault="00E41017" w:rsidP="00293237">
      <w:pPr>
        <w:numPr>
          <w:ilvl w:val="2"/>
          <w:numId w:val="8"/>
        </w:numPr>
        <w:spacing w:after="0"/>
        <w:jc w:val="both"/>
      </w:pPr>
      <w:r w:rsidRPr="00FB7009">
        <w:t>Without aperiodic TRS, data reception can be delayed up to TRS periodicity</w:t>
      </w:r>
      <w:r>
        <w:t xml:space="preserve"> in addition to other delays involved with beam change</w:t>
      </w:r>
      <w:r w:rsidRPr="00FB7009">
        <w:t>.</w:t>
      </w:r>
    </w:p>
    <w:p w14:paraId="725878C6" w14:textId="77777777" w:rsidR="00E41017" w:rsidRDefault="00E41017" w:rsidP="00293237">
      <w:pPr>
        <w:numPr>
          <w:ilvl w:val="3"/>
          <w:numId w:val="8"/>
        </w:numPr>
        <w:spacing w:after="0"/>
        <w:jc w:val="both"/>
      </w:pPr>
      <w:r>
        <w:t>Practically i</w:t>
      </w:r>
      <w:r w:rsidRPr="00FB7009">
        <w:t>t is assumed that UE is not tracking TRS from multiple beams simultaneously</w:t>
      </w:r>
    </w:p>
    <w:p w14:paraId="471E3DD7" w14:textId="77777777" w:rsidR="00E41017" w:rsidRPr="00FB7009" w:rsidRDefault="00E41017" w:rsidP="00293237">
      <w:pPr>
        <w:numPr>
          <w:ilvl w:val="2"/>
          <w:numId w:val="8"/>
        </w:numPr>
        <w:spacing w:after="0"/>
        <w:jc w:val="both"/>
      </w:pPr>
      <w:r>
        <w:t xml:space="preserve">With PDSCH beam change, proper data transmission can start after tracking and CSI reporting based on aperiodic TRS and aperiodic CSI-RS. </w:t>
      </w:r>
    </w:p>
    <w:p w14:paraId="6E3728F6" w14:textId="77777777" w:rsidR="00E41017" w:rsidRPr="00E41017" w:rsidRDefault="00E41017" w:rsidP="00293237">
      <w:pPr>
        <w:numPr>
          <w:ilvl w:val="0"/>
          <w:numId w:val="8"/>
        </w:numPr>
        <w:spacing w:after="0"/>
        <w:jc w:val="both"/>
        <w:rPr>
          <w:b/>
        </w:rPr>
      </w:pPr>
      <w:r w:rsidRPr="00E41017">
        <w:rPr>
          <w:b/>
        </w:rPr>
        <w:t>Periodic events</w:t>
      </w:r>
    </w:p>
    <w:p w14:paraId="552B46A0" w14:textId="77777777" w:rsidR="00E41017" w:rsidRPr="00FB7009" w:rsidRDefault="00E41017" w:rsidP="00293237">
      <w:pPr>
        <w:numPr>
          <w:ilvl w:val="1"/>
          <w:numId w:val="8"/>
        </w:numPr>
        <w:spacing w:after="0"/>
        <w:jc w:val="both"/>
      </w:pPr>
      <w:r w:rsidRPr="00FB7009">
        <w:t xml:space="preserve">Connected mode DRX </w:t>
      </w:r>
    </w:p>
    <w:p w14:paraId="78413945" w14:textId="77777777" w:rsidR="00E41017" w:rsidRPr="00FB7009" w:rsidRDefault="00E41017" w:rsidP="00293237">
      <w:pPr>
        <w:numPr>
          <w:ilvl w:val="2"/>
          <w:numId w:val="8"/>
        </w:numPr>
        <w:spacing w:after="0"/>
        <w:jc w:val="both"/>
      </w:pPr>
      <w:r w:rsidRPr="00FB7009">
        <w:t>Without aperiodic TRS, it requires UE to wake up in the middle of CDRX off when periodic TRS is not aligned with CDRX on-duration, not desirable for CDRX feature</w:t>
      </w:r>
      <w:r>
        <w:t xml:space="preserve"> from UE power saving perspective.</w:t>
      </w:r>
    </w:p>
    <w:p w14:paraId="793F0167" w14:textId="77777777" w:rsidR="00E41017" w:rsidRPr="00FB7009" w:rsidRDefault="00E41017" w:rsidP="00293237">
      <w:pPr>
        <w:numPr>
          <w:ilvl w:val="1"/>
          <w:numId w:val="8"/>
        </w:numPr>
        <w:spacing w:after="0"/>
        <w:jc w:val="both"/>
      </w:pPr>
      <w:r w:rsidRPr="00FB7009">
        <w:t xml:space="preserve">Idle mode DRX </w:t>
      </w:r>
    </w:p>
    <w:p w14:paraId="0125B7A5" w14:textId="77777777" w:rsidR="00E41017" w:rsidRPr="00FB7009" w:rsidRDefault="00E41017" w:rsidP="00293237">
      <w:pPr>
        <w:numPr>
          <w:ilvl w:val="2"/>
          <w:numId w:val="8"/>
        </w:numPr>
        <w:spacing w:after="0"/>
        <w:jc w:val="both"/>
      </w:pPr>
      <w:r w:rsidRPr="00FB7009">
        <w:t>Without aperiodic TRS, it requires UE to wake up before paging occasion when SSB is not aligned with paging occasion, affecting standby time reduction roughly to 1/2.</w:t>
      </w:r>
    </w:p>
    <w:p w14:paraId="7381BFD6" w14:textId="77777777" w:rsidR="00E41017" w:rsidRDefault="00E41017" w:rsidP="00E41017">
      <w:pPr>
        <w:jc w:val="both"/>
        <w:rPr>
          <w:lang w:val="en-GB"/>
        </w:rPr>
      </w:pPr>
    </w:p>
    <w:p w14:paraId="1F02E5B9" w14:textId="6885E3D1" w:rsidR="00E41017" w:rsidRPr="00C36503" w:rsidRDefault="00E41017" w:rsidP="00E41017">
      <w:pPr>
        <w:jc w:val="both"/>
      </w:pPr>
      <w:r>
        <w:rPr>
          <w:lang w:val="en-GB"/>
        </w:rPr>
        <w:t xml:space="preserve">Aperiodic TRS can be triggered via different options. For example, it can be triggered by DCI, MAC-CE or DRX reception event. In NR, SCell activation is done via MAC-CE, BWP switching is done via DCI, and beam change is done via MAC-CE (for PDCCH) and DCI (for PDSCH). Aperiodic TRS triggering can be tied to the existing triggers for SCell activation, BWP switching or beam switch. However, to have a unified framework for different use cases, it is proposed to consider aperiodic TRS triggering via DCI. It should be noted that this is also aligned with aperiodic CSI-RS triggering, </w:t>
      </w:r>
      <w:r>
        <w:rPr>
          <w:lang w:val="en-GB"/>
        </w:rPr>
        <w:lastRenderedPageBreak/>
        <w:t>which is already agreed for NR. In fact, TRS is also configured as CSI-RS resource set. Thus, it is natural to allow TRS triggering via DCI.</w:t>
      </w:r>
    </w:p>
    <w:p w14:paraId="5B2E70B8" w14:textId="77777777" w:rsidR="00463B2F" w:rsidRPr="00461DA8" w:rsidRDefault="00E41017" w:rsidP="00461DA8">
      <w:pPr>
        <w:jc w:val="both"/>
      </w:pPr>
      <w:r w:rsidRPr="00461DA8">
        <w:rPr>
          <w:b/>
          <w:i/>
        </w:rPr>
        <w:t>Proposal 1</w:t>
      </w:r>
      <w:r w:rsidRPr="00461DA8">
        <w:rPr>
          <w:i/>
        </w:rPr>
        <w:t>:</w:t>
      </w:r>
      <w:r w:rsidR="00461DA8">
        <w:t xml:space="preserve"> </w:t>
      </w:r>
      <w:r w:rsidR="00A174B7" w:rsidRPr="00461DA8">
        <w:rPr>
          <w:i/>
        </w:rPr>
        <w:t>NR Rel-15 supports at least UL DCI-based triggering of a CSI-RS resource set containing CSI-RS resources with TRS-INFO set to “ON”.</w:t>
      </w:r>
    </w:p>
    <w:p w14:paraId="04ABCD31" w14:textId="3E5386E3" w:rsidR="008B47CA" w:rsidRDefault="0057146F" w:rsidP="008B47CA">
      <w:pPr>
        <w:jc w:val="both"/>
        <w:rPr>
          <w:i/>
        </w:rPr>
      </w:pPr>
      <w:r w:rsidRPr="00461DA8">
        <w:rPr>
          <w:b/>
          <w:i/>
        </w:rPr>
        <w:t xml:space="preserve">Proposal </w:t>
      </w:r>
      <w:r>
        <w:rPr>
          <w:b/>
          <w:i/>
        </w:rPr>
        <w:t>2</w:t>
      </w:r>
      <w:r w:rsidRPr="00461DA8">
        <w:rPr>
          <w:i/>
        </w:rPr>
        <w:t>:</w:t>
      </w:r>
      <w:r>
        <w:t xml:space="preserve"> </w:t>
      </w:r>
      <w:r w:rsidR="00A174B7" w:rsidRPr="0057146F">
        <w:rPr>
          <w:i/>
          <w:lang w:val="en-GB"/>
        </w:rPr>
        <w:t xml:space="preserve">A CSI-RS resource set for tracking can be associated with a reporting setting </w:t>
      </w:r>
      <w:r w:rsidR="00A174B7" w:rsidRPr="0057146F">
        <w:rPr>
          <w:i/>
        </w:rPr>
        <w:t xml:space="preserve">ReportConfig </w:t>
      </w:r>
      <w:r w:rsidR="00A174B7" w:rsidRPr="0057146F">
        <w:rPr>
          <w:i/>
          <w:lang w:val="en-GB"/>
        </w:rPr>
        <w:t xml:space="preserve">with the higher layer parameter </w:t>
      </w:r>
      <w:r w:rsidR="00A174B7" w:rsidRPr="0057146F">
        <w:rPr>
          <w:i/>
        </w:rPr>
        <w:t>ReportQuantity set to 'No Report’.</w:t>
      </w:r>
    </w:p>
    <w:p w14:paraId="31A9710C" w14:textId="0AE0F4E8" w:rsidR="008B47CA" w:rsidRPr="0057146F" w:rsidRDefault="008B47CA" w:rsidP="000C57D5">
      <w:pPr>
        <w:jc w:val="both"/>
        <w:rPr>
          <w:i/>
        </w:rPr>
      </w:pPr>
      <w:commentRangeStart w:id="3"/>
      <w:r w:rsidRPr="008B47CA">
        <w:rPr>
          <w:b/>
          <w:i/>
        </w:rPr>
        <w:t>Proposal 3:</w:t>
      </w:r>
      <w:r>
        <w:rPr>
          <w:i/>
        </w:rPr>
        <w:t xml:space="preserve"> </w:t>
      </w:r>
      <w:r w:rsidR="00A174B7" w:rsidRPr="008B47CA">
        <w:rPr>
          <w:i/>
        </w:rPr>
        <w:t xml:space="preserve">A UE in RRC connected mode is expected to receive </w:t>
      </w:r>
      <w:r>
        <w:rPr>
          <w:i/>
        </w:rPr>
        <w:t>a periodic TRS.</w:t>
      </w:r>
      <w:commentRangeEnd w:id="3"/>
      <w:r w:rsidR="008A4D70">
        <w:rPr>
          <w:rStyle w:val="CommentReference"/>
          <w:lang w:eastAsia="x-none"/>
        </w:rPr>
        <w:commentReference w:id="3"/>
      </w:r>
    </w:p>
    <w:p w14:paraId="7AB0A920" w14:textId="665525E3" w:rsidR="00600046" w:rsidRPr="00A74557" w:rsidRDefault="00600046" w:rsidP="00600046">
      <w:pPr>
        <w:pStyle w:val="Heading1"/>
      </w:pPr>
      <w:r w:rsidRPr="00A74557">
        <w:t>QCL relations of A-TRS</w:t>
      </w:r>
    </w:p>
    <w:p w14:paraId="7CD275D4" w14:textId="33962A7A" w:rsidR="00463B2F" w:rsidRPr="000C516F" w:rsidRDefault="000C516F" w:rsidP="000C516F">
      <w:pPr>
        <w:spacing w:after="0"/>
        <w:rPr>
          <w:i/>
        </w:rPr>
      </w:pPr>
      <w:r w:rsidRPr="000C516F">
        <w:rPr>
          <w:b/>
          <w:i/>
        </w:rPr>
        <w:t xml:space="preserve">Proposal </w:t>
      </w:r>
      <w:r w:rsidR="008B47CA">
        <w:rPr>
          <w:b/>
          <w:i/>
        </w:rPr>
        <w:t>4</w:t>
      </w:r>
      <w:r w:rsidRPr="000C516F">
        <w:rPr>
          <w:b/>
          <w:i/>
        </w:rPr>
        <w:t xml:space="preserve">: </w:t>
      </w:r>
      <w:r w:rsidR="00A174B7" w:rsidRPr="000C516F">
        <w:rPr>
          <w:i/>
        </w:rPr>
        <w:t>A UE is only expected to be configured with an aperiodic CSI-RS resource set for tracking when it has been configured with a periodic CSI-RS resource set for tracking on a BWP such that:</w:t>
      </w:r>
    </w:p>
    <w:p w14:paraId="30FF3150" w14:textId="0CDE62CD" w:rsidR="00463B2F" w:rsidRPr="000C516F" w:rsidRDefault="00A174B7" w:rsidP="000C516F">
      <w:pPr>
        <w:numPr>
          <w:ilvl w:val="0"/>
          <w:numId w:val="14"/>
        </w:numPr>
        <w:spacing w:after="0"/>
        <w:rPr>
          <w:i/>
        </w:rPr>
      </w:pPr>
      <w:r w:rsidRPr="000C516F">
        <w:rPr>
          <w:i/>
        </w:rPr>
        <w:t>The aperiodic CSI-RS resource set for tracking is QCLed with the same source SSB as the associated periodic CSI-RS resource set for tracking with respect to QCL type C, or C + D (</w:t>
      </w:r>
      <w:r w:rsidR="00A74557">
        <w:rPr>
          <w:i/>
        </w:rPr>
        <w:t>if</w:t>
      </w:r>
      <w:r w:rsidRPr="000C516F">
        <w:rPr>
          <w:i/>
        </w:rPr>
        <w:t xml:space="preserve"> applicable)</w:t>
      </w:r>
    </w:p>
    <w:p w14:paraId="4913A819" w14:textId="1E738E37" w:rsidR="00463B2F" w:rsidRDefault="00A174B7" w:rsidP="000C516F">
      <w:pPr>
        <w:numPr>
          <w:ilvl w:val="0"/>
          <w:numId w:val="14"/>
        </w:numPr>
        <w:spacing w:after="0"/>
        <w:rPr>
          <w:i/>
        </w:rPr>
      </w:pPr>
      <w:r w:rsidRPr="000C516F">
        <w:rPr>
          <w:i/>
        </w:rPr>
        <w:t>The aperiodic CSI-RS resource set for tracking has a QCL Type A , or A + D (</w:t>
      </w:r>
      <w:r w:rsidR="00A74557">
        <w:rPr>
          <w:i/>
        </w:rPr>
        <w:t>if</w:t>
      </w:r>
      <w:r w:rsidRPr="000C516F">
        <w:rPr>
          <w:i/>
        </w:rPr>
        <w:t xml:space="preserve"> applicable) association with the periodic CSI-RS resource set for tracking.</w:t>
      </w:r>
    </w:p>
    <w:p w14:paraId="743E98BC" w14:textId="185AC394" w:rsidR="00463B2F" w:rsidRPr="000C516F" w:rsidRDefault="00A174B7" w:rsidP="000C516F">
      <w:pPr>
        <w:numPr>
          <w:ilvl w:val="0"/>
          <w:numId w:val="14"/>
        </w:numPr>
        <w:spacing w:after="0"/>
        <w:rPr>
          <w:i/>
        </w:rPr>
      </w:pPr>
      <w:r w:rsidRPr="000C516F">
        <w:rPr>
          <w:i/>
        </w:rPr>
        <w:t>Note: The UE does not expect to be configured with a TCI-State with aperiodic CSI-RS resource for tracking as the source RS for QCL association</w:t>
      </w:r>
      <w:r w:rsidR="000C516F">
        <w:rPr>
          <w:i/>
        </w:rPr>
        <w:t xml:space="preserve"> (similar to any there aperiodic CSI-RS resource)</w:t>
      </w:r>
      <w:r w:rsidRPr="000C516F">
        <w:rPr>
          <w:i/>
        </w:rPr>
        <w:t>.</w:t>
      </w:r>
    </w:p>
    <w:p w14:paraId="29DF2BD7" w14:textId="77777777" w:rsidR="000C516F" w:rsidRPr="000C516F" w:rsidRDefault="000C516F" w:rsidP="000C516F">
      <w:pPr>
        <w:spacing w:after="0"/>
        <w:ind w:left="720"/>
        <w:rPr>
          <w:i/>
        </w:rPr>
      </w:pPr>
    </w:p>
    <w:p w14:paraId="0C978107" w14:textId="5654BDC7" w:rsidR="000C516F" w:rsidRPr="007817F3" w:rsidRDefault="000C516F" w:rsidP="007817F3">
      <w:pPr>
        <w:pStyle w:val="Heading1"/>
      </w:pPr>
      <w:r>
        <w:t>Pattern of A-TRS</w:t>
      </w:r>
    </w:p>
    <w:p w14:paraId="6FC3C059" w14:textId="34C21F26" w:rsidR="000C516F" w:rsidRPr="007817F3" w:rsidRDefault="000C516F" w:rsidP="007817F3">
      <w:pPr>
        <w:spacing w:after="0"/>
        <w:rPr>
          <w:i/>
        </w:rPr>
      </w:pPr>
      <w:r w:rsidRPr="000C516F">
        <w:rPr>
          <w:b/>
          <w:i/>
        </w:rPr>
        <w:t xml:space="preserve">Proposal </w:t>
      </w:r>
      <w:r w:rsidR="008B47CA">
        <w:rPr>
          <w:b/>
          <w:i/>
        </w:rPr>
        <w:t>5</w:t>
      </w:r>
      <w:r w:rsidRPr="000C516F">
        <w:rPr>
          <w:b/>
          <w:i/>
        </w:rPr>
        <w:t xml:space="preserve">: </w:t>
      </w:r>
      <w:r w:rsidRPr="000C516F">
        <w:rPr>
          <w:i/>
        </w:rPr>
        <w:t>The periodic and the associated aperiodic CSI-RS resource sets for tracking contain CSI-RS resources configured with the same time domain locations, burst length, bandwidth, comb-offset, Pc and Pc_SS values.</w:t>
      </w:r>
    </w:p>
    <w:p w14:paraId="1689FF43" w14:textId="13A69966" w:rsidR="00F228B8" w:rsidRDefault="00F228B8" w:rsidP="00F228B8">
      <w:pPr>
        <w:pStyle w:val="Heading1"/>
      </w:pPr>
      <w:r>
        <w:t xml:space="preserve">Number of </w:t>
      </w:r>
      <w:r w:rsidR="00E127FB">
        <w:t>tracking</w:t>
      </w:r>
      <w:r>
        <w:t xml:space="preserve"> TRS </w:t>
      </w:r>
      <w:r w:rsidR="00E127FB">
        <w:t>&amp; relation to PDCCH and PDSCH</w:t>
      </w:r>
    </w:p>
    <w:p w14:paraId="74AB4AAE" w14:textId="77777777" w:rsidR="00815377" w:rsidRDefault="00815377" w:rsidP="00815377">
      <w:pPr>
        <w:overflowPunct/>
        <w:autoSpaceDE/>
        <w:autoSpaceDN/>
        <w:adjustRightInd/>
        <w:spacing w:after="0"/>
        <w:textAlignment w:val="auto"/>
        <w:rPr>
          <w:rFonts w:eastAsia="Times New Roman"/>
        </w:rPr>
      </w:pPr>
      <w:r>
        <w:rPr>
          <w:rFonts w:eastAsia="Times New Roman"/>
        </w:rPr>
        <w:t xml:space="preserve">It was agreed in UE features (R1-1803478) that </w:t>
      </w:r>
    </w:p>
    <w:p w14:paraId="6A5CE8C0"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the “Max # of TRS resource sets (per CC) UE is able to track simultaneously” has candidate vales from the set {1 to 8}</w:t>
      </w:r>
    </w:p>
    <w:p w14:paraId="0959EB30" w14:textId="65A4E203"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 xml:space="preserve">It was also agreed that the “number of active TCI states per CC” has a candidate value set: {1, 2, 4, 8}. </w:t>
      </w:r>
    </w:p>
    <w:p w14:paraId="0317D0E7" w14:textId="2E74AE2F"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 xml:space="preserve">It was also agreed the basic capability is a “Single TCI state for a CORESET configuration”, and that </w:t>
      </w:r>
      <w:r w:rsidRPr="00815377">
        <w:rPr>
          <w:rFonts w:eastAsia="Times New Roman"/>
        </w:rPr>
        <w:t>a UE can monitor up to 3 coresets ( 2 CSS+1 UESS or 1 CSS+2 UESS )</w:t>
      </w:r>
      <w:r>
        <w:rPr>
          <w:rFonts w:eastAsia="Times New Roman"/>
        </w:rPr>
        <w:t>, with the basic UE capability being 1 CSS + 1 UESS.</w:t>
      </w:r>
    </w:p>
    <w:p w14:paraId="4D4B1A50" w14:textId="77777777" w:rsidR="00973316" w:rsidRPr="00973316" w:rsidRDefault="00973316" w:rsidP="00973316">
      <w:pPr>
        <w:overflowPunct/>
        <w:autoSpaceDE/>
        <w:autoSpaceDN/>
        <w:adjustRightInd/>
        <w:spacing w:after="0"/>
        <w:ind w:left="360"/>
        <w:textAlignment w:val="auto"/>
        <w:rPr>
          <w:rFonts w:eastAsia="Times New Roman"/>
        </w:rPr>
      </w:pPr>
    </w:p>
    <w:p w14:paraId="0A420678" w14:textId="43B5F03B" w:rsidR="00815377" w:rsidRDefault="00815377" w:rsidP="00815377">
      <w:pPr>
        <w:overflowPunct/>
        <w:autoSpaceDE/>
        <w:autoSpaceDN/>
        <w:adjustRightInd/>
        <w:spacing w:after="0"/>
        <w:textAlignment w:val="auto"/>
        <w:rPr>
          <w:rFonts w:eastAsia="Times New Roman"/>
        </w:rPr>
      </w:pPr>
      <w:r>
        <w:rPr>
          <w:rFonts w:eastAsia="Times New Roman"/>
        </w:rPr>
        <w:t xml:space="preserve">It remains unclear what is the relation of a UE supporting: </w:t>
      </w:r>
    </w:p>
    <w:p w14:paraId="21FED547"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X = {</w:t>
      </w:r>
      <m:oMath>
        <m:r>
          <w:rPr>
            <w:rFonts w:ascii="Cambria Math" w:eastAsia="Times New Roman" w:hAnsi="Cambria Math"/>
          </w:rPr>
          <m:t>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S</m:t>
                </m:r>
              </m:e>
              <m:sub>
                <m:r>
                  <w:rPr>
                    <w:rFonts w:ascii="Cambria Math" w:eastAsia="Times New Roman" w:hAnsi="Cambria Math"/>
                  </w:rPr>
                  <m:t>1</m:t>
                </m:r>
              </m:sub>
            </m:sSub>
          </m:sub>
        </m:sSub>
        <m:r>
          <w:rPr>
            <w:rFonts w:ascii="Cambria Math" w:eastAsia="Times New Roman" w:hAnsi="Cambria Math"/>
          </w:rPr>
          <m:t>, …,TC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S</m:t>
                </m:r>
              </m:e>
              <m:sub>
                <m:r>
                  <w:rPr>
                    <w:rFonts w:ascii="Cambria Math" w:eastAsia="Times New Roman" w:hAnsi="Cambria Math"/>
                  </w:rPr>
                  <m:t>n</m:t>
                </m:r>
              </m:sub>
            </m:sSub>
          </m:sub>
        </m:sSub>
      </m:oMath>
      <w:r>
        <w:rPr>
          <w:rFonts w:eastAsia="Times New Roman"/>
        </w:rPr>
        <w:t>} active TCI states for PDSCH</w:t>
      </w:r>
    </w:p>
    <w:p w14:paraId="4848DAA9"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Y TRS resources to be tracked in a BWP</w:t>
      </w:r>
    </w:p>
    <w:p w14:paraId="2DF96561"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Z = {</w:t>
      </w:r>
      <m:oMath>
        <m:r>
          <w:rPr>
            <w:rFonts w:ascii="Cambria Math" w:eastAsia="Times New Roman" w:hAnsi="Cambria Math"/>
          </w:rPr>
          <m:t>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C</m:t>
                </m:r>
              </m:e>
              <m:sub>
                <m:r>
                  <w:rPr>
                    <w:rFonts w:ascii="Cambria Math" w:eastAsia="Times New Roman" w:hAnsi="Cambria Math"/>
                  </w:rPr>
                  <m:t>1</m:t>
                </m:r>
              </m:sub>
            </m:sSub>
          </m:sub>
        </m:sSub>
        <m:r>
          <w:rPr>
            <w:rFonts w:ascii="Cambria Math" w:eastAsia="Times New Roman" w:hAnsi="Cambria Math"/>
          </w:rPr>
          <m:t>, …,TC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C</m:t>
                </m:r>
              </m:e>
              <m:sub>
                <m:r>
                  <w:rPr>
                    <w:rFonts w:ascii="Cambria Math" w:eastAsia="Times New Roman" w:hAnsi="Cambria Math"/>
                  </w:rPr>
                  <m:t>m</m:t>
                </m:r>
              </m:sub>
            </m:sSub>
          </m:sub>
        </m:sSub>
      </m:oMath>
      <w:r>
        <w:rPr>
          <w:rFonts w:eastAsia="Times New Roman"/>
        </w:rPr>
        <w:t>} activated TCI states across all CORESETs</w:t>
      </w:r>
    </w:p>
    <w:p w14:paraId="0293A38B" w14:textId="77777777" w:rsidR="00815377" w:rsidRDefault="00815377" w:rsidP="00815377">
      <w:pPr>
        <w:spacing w:after="0"/>
      </w:pPr>
    </w:p>
    <w:p w14:paraId="4D25AF8E" w14:textId="45239EE5" w:rsidR="00815377" w:rsidRDefault="00815377" w:rsidP="00815377">
      <w:pPr>
        <w:spacing w:after="0"/>
        <w:rPr>
          <w:bCs/>
          <w:i/>
        </w:rPr>
      </w:pPr>
      <w:commentRangeStart w:id="4"/>
      <w:r w:rsidRPr="00815377">
        <w:rPr>
          <w:b/>
          <w:bCs/>
          <w:i/>
        </w:rPr>
        <w:t>Proposal 6:</w:t>
      </w:r>
      <w:r>
        <w:rPr>
          <w:b/>
          <w:bCs/>
        </w:rPr>
        <w:t xml:space="preserve"> </w:t>
      </w:r>
      <w:r w:rsidRPr="00815377">
        <w:rPr>
          <w:bCs/>
          <w:i/>
        </w:rPr>
        <w:t xml:space="preserve">A UE only expects that the distinct TCI states across the </w:t>
      </w:r>
    </w:p>
    <w:p w14:paraId="5FE79E79" w14:textId="77777777" w:rsidR="00815377" w:rsidRPr="00815377" w:rsidRDefault="00815377" w:rsidP="00815377">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active TCI states for PDSCH, and</w:t>
      </w:r>
    </w:p>
    <w:p w14:paraId="73C8FD3C" w14:textId="54999A2E" w:rsidR="00815377" w:rsidRPr="00815377" w:rsidRDefault="00815377" w:rsidP="00815377">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 xml:space="preserve">activated TCI states across configured CORESETs </w:t>
      </w:r>
    </w:p>
    <w:p w14:paraId="00A7E6B4" w14:textId="340834E1" w:rsidR="00815377" w:rsidRPr="00815377" w:rsidRDefault="00815377" w:rsidP="00815377">
      <w:pPr>
        <w:spacing w:after="0"/>
        <w:rPr>
          <w:bCs/>
          <w:i/>
        </w:rPr>
      </w:pPr>
      <w:r>
        <w:rPr>
          <w:bCs/>
          <w:i/>
        </w:rPr>
        <w:t>are</w:t>
      </w:r>
      <w:r w:rsidRPr="00815377">
        <w:rPr>
          <w:bCs/>
          <w:i/>
        </w:rPr>
        <w:t xml:space="preserve"> not more than the number of TRS resources the UE is capable of tracking in a BWP. </w:t>
      </w:r>
    </w:p>
    <w:p w14:paraId="444A3D44" w14:textId="77777777" w:rsidR="00815377" w:rsidRPr="00815377" w:rsidRDefault="00815377" w:rsidP="00815377">
      <w:pPr>
        <w:pStyle w:val="ListParagraph"/>
        <w:numPr>
          <w:ilvl w:val="0"/>
          <w:numId w:val="21"/>
        </w:numPr>
        <w:rPr>
          <w:rFonts w:ascii="Times New Roman" w:eastAsia="SimSun" w:hAnsi="Times New Roman"/>
          <w:bCs/>
          <w:i/>
          <w:sz w:val="20"/>
          <w:szCs w:val="20"/>
        </w:rPr>
      </w:pPr>
      <w:r w:rsidRPr="00815377">
        <w:rPr>
          <w:rFonts w:ascii="Times New Roman" w:eastAsia="SimSun" w:hAnsi="Times New Roman"/>
          <w:bCs/>
          <w:i/>
          <w:sz w:val="20"/>
          <w:szCs w:val="20"/>
        </w:rPr>
        <w:t>Note: If a UE reports it can track only Y=1 TRS resource in a BWP, then the same TCI state is used for PDSCH and all configured CORESETs.</w:t>
      </w:r>
      <w:commentRangeEnd w:id="4"/>
      <w:r w:rsidR="00EA1BF5">
        <w:rPr>
          <w:rStyle w:val="CommentReference"/>
          <w:rFonts w:ascii="Times New Roman" w:eastAsia="SimSun" w:hAnsi="Times New Roman"/>
          <w:lang w:eastAsia="x-none"/>
        </w:rPr>
        <w:commentReference w:id="4"/>
      </w:r>
    </w:p>
    <w:p w14:paraId="13113047" w14:textId="35BB27F6" w:rsidR="004E775B" w:rsidRDefault="004E775B" w:rsidP="001F2CB8">
      <w:pPr>
        <w:pStyle w:val="Heading1"/>
      </w:pPr>
      <w:r>
        <w:t xml:space="preserve">Correction on </w:t>
      </w:r>
      <w:r w:rsidR="00DA27CD">
        <w:t>38.</w:t>
      </w:r>
      <w:bookmarkStart w:id="5" w:name="_GoBack"/>
      <w:bookmarkEnd w:id="5"/>
      <w:r>
        <w:t>214</w:t>
      </w:r>
    </w:p>
    <w:p w14:paraId="5BBB2903" w14:textId="27EDB269" w:rsidR="004E775B" w:rsidRDefault="004E775B" w:rsidP="004E775B">
      <w:pPr>
        <w:rPr>
          <w:lang w:val="en-GB"/>
        </w:rPr>
      </w:pPr>
      <w:r>
        <w:rPr>
          <w:lang w:val="en-GB"/>
        </w:rPr>
        <w:t>In section 5.1.6.1.2 (CSI-RS for L1-RSRP computation), the following sentence was added:</w:t>
      </w:r>
    </w:p>
    <w:p w14:paraId="4D7F5C2C" w14:textId="344D005B" w:rsidR="004E775B" w:rsidRDefault="004E775B" w:rsidP="004E775B">
      <w:pPr>
        <w:rPr>
          <w:i/>
          <w:lang w:eastAsia="ko-KR"/>
        </w:rPr>
      </w:pPr>
      <w:r>
        <w:rPr>
          <w:i/>
          <w:lang w:eastAsia="ko-KR"/>
        </w:rPr>
        <w:t>“</w:t>
      </w:r>
      <w:r w:rsidRPr="004E775B">
        <w:rPr>
          <w:rFonts w:hint="eastAsia"/>
          <w:i/>
          <w:lang w:eastAsia="ko-KR"/>
        </w:rPr>
        <w:t xml:space="preserve">A UE </w:t>
      </w:r>
      <w:r w:rsidRPr="004E775B">
        <w:rPr>
          <w:i/>
          <w:lang w:eastAsia="ko-KR"/>
        </w:rPr>
        <w:t xml:space="preserve">does not expect to be configured with a Reporting Setting, which is linked to a CSI-RS resource set for tracking, where the higher layer parameter </w:t>
      </w:r>
      <w:r w:rsidRPr="004E775B">
        <w:rPr>
          <w:i/>
          <w:color w:val="000000"/>
        </w:rPr>
        <w:t>MeasRestrictionConfig-time-channel</w:t>
      </w:r>
      <w:r w:rsidRPr="004E775B">
        <w:rPr>
          <w:i/>
          <w:lang w:eastAsia="ko-KR"/>
        </w:rPr>
        <w:t xml:space="preserve"> for the Reporting Setting set to ‘ON’.</w:t>
      </w:r>
      <w:r>
        <w:rPr>
          <w:i/>
          <w:lang w:eastAsia="ko-KR"/>
        </w:rPr>
        <w:t>”</w:t>
      </w:r>
    </w:p>
    <w:p w14:paraId="0913855E" w14:textId="35B3116F" w:rsidR="004E775B" w:rsidRDefault="004E775B" w:rsidP="004E775B">
      <w:pPr>
        <w:rPr>
          <w:rFonts w:eastAsia="MS Mincho"/>
          <w:color w:val="000000"/>
        </w:rPr>
      </w:pPr>
      <w:r>
        <w:rPr>
          <w:rFonts w:eastAsia="MS Mincho"/>
          <w:color w:val="000000"/>
        </w:rPr>
        <w:t>However, this sentence should appear in Section 5.1.6.1.1 (CSI-RS for tracking).</w:t>
      </w:r>
    </w:p>
    <w:p w14:paraId="31B08F64" w14:textId="364B6660" w:rsidR="004E775B" w:rsidRPr="00CA136E" w:rsidRDefault="00002783" w:rsidP="00CA136E">
      <w:pPr>
        <w:spacing w:after="0"/>
        <w:rPr>
          <w:rFonts w:eastAsia="MS Mincho"/>
          <w:i/>
          <w:color w:val="000000"/>
        </w:rPr>
      </w:pPr>
      <w:r>
        <w:rPr>
          <w:rFonts w:eastAsia="MS Mincho"/>
          <w:b/>
          <w:i/>
          <w:color w:val="000000"/>
        </w:rPr>
        <w:t xml:space="preserve">Text </w:t>
      </w:r>
      <w:r w:rsidR="004E775B" w:rsidRPr="00CA136E">
        <w:rPr>
          <w:rFonts w:eastAsia="MS Mincho"/>
          <w:b/>
          <w:i/>
          <w:color w:val="000000"/>
        </w:rPr>
        <w:t>Proposal</w:t>
      </w:r>
      <w:r w:rsidR="00CA136E" w:rsidRPr="00CA136E">
        <w:rPr>
          <w:rFonts w:eastAsia="MS Mincho"/>
          <w:b/>
          <w:i/>
          <w:color w:val="000000"/>
        </w:rPr>
        <w:t xml:space="preserve"> </w:t>
      </w:r>
      <w:r>
        <w:rPr>
          <w:rFonts w:eastAsia="MS Mincho"/>
          <w:b/>
          <w:i/>
          <w:color w:val="000000"/>
        </w:rPr>
        <w:t>1</w:t>
      </w:r>
      <w:r w:rsidR="004E775B" w:rsidRPr="00CA136E">
        <w:rPr>
          <w:rFonts w:eastAsia="MS Mincho"/>
          <w:b/>
          <w:i/>
          <w:color w:val="000000"/>
        </w:rPr>
        <w:t xml:space="preserve">: </w:t>
      </w:r>
      <w:r w:rsidR="00CA136E" w:rsidRPr="00CA136E">
        <w:rPr>
          <w:rFonts w:eastAsia="MS Mincho"/>
          <w:i/>
          <w:color w:val="000000"/>
        </w:rPr>
        <w:t>Move the following sentence from Section 5.1.6.1.2 to 5.1.6.1.1:</w:t>
      </w:r>
    </w:p>
    <w:p w14:paraId="21838483" w14:textId="2C41C1D3" w:rsidR="004E775B" w:rsidRPr="00CA136E" w:rsidRDefault="00CA136E" w:rsidP="004E775B">
      <w:pPr>
        <w:pStyle w:val="ListParagraph"/>
        <w:numPr>
          <w:ilvl w:val="0"/>
          <w:numId w:val="21"/>
        </w:numPr>
        <w:rPr>
          <w:rFonts w:ascii="Times New Roman" w:eastAsia="MS Mincho" w:hAnsi="Times New Roman"/>
          <w:i/>
          <w:color w:val="000000"/>
          <w:sz w:val="20"/>
          <w:szCs w:val="20"/>
        </w:rPr>
      </w:pPr>
      <w:r w:rsidRPr="00CA136E">
        <w:rPr>
          <w:rFonts w:ascii="Times New Roman" w:eastAsia="MS Mincho" w:hAnsi="Times New Roman"/>
          <w:i/>
          <w:color w:val="000000"/>
          <w:sz w:val="20"/>
          <w:szCs w:val="20"/>
        </w:rPr>
        <w:t>“</w:t>
      </w:r>
      <w:r w:rsidRPr="00CA136E">
        <w:rPr>
          <w:rFonts w:ascii="Times New Roman" w:eastAsia="MS Mincho" w:hAnsi="Times New Roman" w:hint="eastAsia"/>
          <w:i/>
          <w:color w:val="000000"/>
          <w:sz w:val="20"/>
          <w:szCs w:val="20"/>
        </w:rPr>
        <w:t xml:space="preserve">A UE </w:t>
      </w:r>
      <w:r w:rsidRPr="00CA136E">
        <w:rPr>
          <w:rFonts w:ascii="Times New Roman" w:eastAsia="MS Mincho" w:hAnsi="Times New Roman"/>
          <w:i/>
          <w:color w:val="000000"/>
          <w:sz w:val="20"/>
          <w:szCs w:val="20"/>
        </w:rPr>
        <w:t>does not expect to be configured with a Reporting Setting, which is linked to a CSI-RS resource set for tracking, where the higher layer parameter MeasRestrictionConfig-time-channel for the Reporting Setting set to ‘ON’.”</w:t>
      </w:r>
    </w:p>
    <w:p w14:paraId="46F13347" w14:textId="33D87BC6" w:rsidR="00E3066B" w:rsidRPr="001F2CB8" w:rsidRDefault="00E3066B" w:rsidP="001F2CB8">
      <w:pPr>
        <w:pStyle w:val="Heading1"/>
      </w:pPr>
      <w:r w:rsidRPr="001F2CB8">
        <w:t xml:space="preserve">Conclusions </w:t>
      </w:r>
    </w:p>
    <w:p w14:paraId="3D8BC1AA" w14:textId="694CDA28" w:rsidR="00E031CC" w:rsidRDefault="00E031CC" w:rsidP="005034F3">
      <w:r>
        <w:t>This contribution has discussed some open issues</w:t>
      </w:r>
      <w:r w:rsidR="00F44CB0">
        <w:t xml:space="preserve"> in TRS.</w:t>
      </w:r>
      <w:r>
        <w:t xml:space="preserve"> The following observation and proposals have been made:</w:t>
      </w:r>
    </w:p>
    <w:p w14:paraId="652B6FB3" w14:textId="77777777" w:rsidR="007817F3" w:rsidRPr="00461DA8" w:rsidRDefault="007817F3" w:rsidP="007817F3">
      <w:pPr>
        <w:jc w:val="both"/>
      </w:pPr>
      <w:r w:rsidRPr="00461DA8">
        <w:rPr>
          <w:b/>
          <w:i/>
        </w:rPr>
        <w:t>Proposal 1</w:t>
      </w:r>
      <w:r w:rsidRPr="00461DA8">
        <w:rPr>
          <w:i/>
        </w:rPr>
        <w:t>:</w:t>
      </w:r>
      <w:r>
        <w:t xml:space="preserve"> </w:t>
      </w:r>
      <w:r w:rsidRPr="00461DA8">
        <w:rPr>
          <w:i/>
        </w:rPr>
        <w:t>NR Rel-15 supports at least UL DCI-based triggering of a CSI-RS resource set containing CSI-RS resources with TRS-INFO set to “ON”.</w:t>
      </w:r>
    </w:p>
    <w:p w14:paraId="4E690C9B" w14:textId="77777777" w:rsidR="007817F3" w:rsidRDefault="007817F3" w:rsidP="007817F3">
      <w:pPr>
        <w:jc w:val="both"/>
        <w:rPr>
          <w:i/>
        </w:rPr>
      </w:pPr>
      <w:r w:rsidRPr="00461DA8">
        <w:rPr>
          <w:b/>
          <w:i/>
        </w:rPr>
        <w:t xml:space="preserve">Proposal </w:t>
      </w:r>
      <w:r>
        <w:rPr>
          <w:b/>
          <w:i/>
        </w:rPr>
        <w:t>2</w:t>
      </w:r>
      <w:r w:rsidRPr="00461DA8">
        <w:rPr>
          <w:i/>
        </w:rPr>
        <w:t>:</w:t>
      </w:r>
      <w:r>
        <w:t xml:space="preserve"> </w:t>
      </w:r>
      <w:r w:rsidRPr="0057146F">
        <w:rPr>
          <w:i/>
          <w:lang w:val="en-GB"/>
        </w:rPr>
        <w:t xml:space="preserve">A CSI-RS resource set for tracking can be associated with a reporting setting </w:t>
      </w:r>
      <w:r w:rsidRPr="0057146F">
        <w:rPr>
          <w:i/>
        </w:rPr>
        <w:t xml:space="preserve">ReportConfig </w:t>
      </w:r>
      <w:r w:rsidRPr="0057146F">
        <w:rPr>
          <w:i/>
          <w:lang w:val="en-GB"/>
        </w:rPr>
        <w:t xml:space="preserve">with the higher layer parameter </w:t>
      </w:r>
      <w:r w:rsidRPr="0057146F">
        <w:rPr>
          <w:i/>
        </w:rPr>
        <w:t>ReportQuantity set to 'No Report’.</w:t>
      </w:r>
    </w:p>
    <w:p w14:paraId="2F156356" w14:textId="77777777" w:rsidR="007817F3" w:rsidRPr="0057146F" w:rsidRDefault="007817F3" w:rsidP="007817F3">
      <w:pPr>
        <w:jc w:val="both"/>
        <w:rPr>
          <w:i/>
        </w:rPr>
      </w:pPr>
      <w:r w:rsidRPr="008B47CA">
        <w:rPr>
          <w:b/>
          <w:i/>
        </w:rPr>
        <w:t>Proposal 3:</w:t>
      </w:r>
      <w:r>
        <w:rPr>
          <w:i/>
        </w:rPr>
        <w:t xml:space="preserve"> </w:t>
      </w:r>
      <w:r w:rsidRPr="008B47CA">
        <w:rPr>
          <w:i/>
        </w:rPr>
        <w:t xml:space="preserve">A UE in RRC connected mode is expected to receive </w:t>
      </w:r>
      <w:r>
        <w:rPr>
          <w:i/>
        </w:rPr>
        <w:t>a periodic TRS.</w:t>
      </w:r>
    </w:p>
    <w:p w14:paraId="3615FF2F" w14:textId="77777777" w:rsidR="007817F3" w:rsidRPr="000C516F" w:rsidRDefault="007817F3" w:rsidP="007817F3">
      <w:pPr>
        <w:spacing w:after="0"/>
        <w:rPr>
          <w:i/>
        </w:rPr>
      </w:pPr>
      <w:r w:rsidRPr="000C516F">
        <w:rPr>
          <w:b/>
          <w:i/>
        </w:rPr>
        <w:t xml:space="preserve">Proposal </w:t>
      </w:r>
      <w:r>
        <w:rPr>
          <w:b/>
          <w:i/>
        </w:rPr>
        <w:t>4</w:t>
      </w:r>
      <w:r w:rsidRPr="000C516F">
        <w:rPr>
          <w:b/>
          <w:i/>
        </w:rPr>
        <w:t xml:space="preserve">: </w:t>
      </w:r>
      <w:r w:rsidRPr="000C516F">
        <w:rPr>
          <w:i/>
        </w:rPr>
        <w:t>A UE is only expected to be configured with an aperiodic CSI-RS resource set for tracking when it has been configured with a periodic CSI-RS resource set for tracking on a BWP such that:</w:t>
      </w:r>
    </w:p>
    <w:p w14:paraId="04EB81A0" w14:textId="77777777" w:rsidR="007817F3" w:rsidRPr="000C516F" w:rsidRDefault="007817F3" w:rsidP="007817F3">
      <w:pPr>
        <w:numPr>
          <w:ilvl w:val="0"/>
          <w:numId w:val="14"/>
        </w:numPr>
        <w:spacing w:after="0"/>
        <w:rPr>
          <w:i/>
        </w:rPr>
      </w:pPr>
      <w:r w:rsidRPr="000C516F">
        <w:rPr>
          <w:i/>
        </w:rPr>
        <w:t>The aperiodic CSI-RS resource set for tracking is QCLed with the same source SSB as the associated periodic CSI-RS resource set for tracking with respect to QCL type C, or C + D (</w:t>
      </w:r>
      <w:r>
        <w:rPr>
          <w:i/>
        </w:rPr>
        <w:t>if</w:t>
      </w:r>
      <w:r w:rsidRPr="000C516F">
        <w:rPr>
          <w:i/>
        </w:rPr>
        <w:t xml:space="preserve"> applicable)</w:t>
      </w:r>
    </w:p>
    <w:p w14:paraId="59D8788B" w14:textId="77777777" w:rsidR="007817F3" w:rsidRDefault="007817F3" w:rsidP="007817F3">
      <w:pPr>
        <w:numPr>
          <w:ilvl w:val="0"/>
          <w:numId w:val="14"/>
        </w:numPr>
        <w:spacing w:after="0"/>
        <w:rPr>
          <w:i/>
        </w:rPr>
      </w:pPr>
      <w:r w:rsidRPr="000C516F">
        <w:rPr>
          <w:i/>
        </w:rPr>
        <w:t>The aperiodic CSI-RS resource set for tracking has a QCL Type A , or A + D (</w:t>
      </w:r>
      <w:r>
        <w:rPr>
          <w:i/>
        </w:rPr>
        <w:t>if</w:t>
      </w:r>
      <w:r w:rsidRPr="000C516F">
        <w:rPr>
          <w:i/>
        </w:rPr>
        <w:t xml:space="preserve"> applicable) association with the periodic CSI-RS resource set for tracking.</w:t>
      </w:r>
    </w:p>
    <w:p w14:paraId="445A1C21" w14:textId="1C3D7C58" w:rsidR="000C57D5" w:rsidRDefault="007817F3" w:rsidP="005034F3">
      <w:pPr>
        <w:numPr>
          <w:ilvl w:val="0"/>
          <w:numId w:val="14"/>
        </w:numPr>
        <w:spacing w:after="0"/>
        <w:rPr>
          <w:i/>
        </w:rPr>
      </w:pPr>
      <w:r w:rsidRPr="000C516F">
        <w:rPr>
          <w:i/>
        </w:rPr>
        <w:t>Note: The UE does not expect to be configured with a TCI-State with aperiodic CSI-RS resource for tracking as the source RS for QCL association</w:t>
      </w:r>
      <w:r>
        <w:rPr>
          <w:i/>
        </w:rPr>
        <w:t xml:space="preserve"> (similar to any there aperiodic CSI-RS resource)</w:t>
      </w:r>
      <w:r w:rsidRPr="000C516F">
        <w:rPr>
          <w:i/>
        </w:rPr>
        <w:t>.</w:t>
      </w:r>
    </w:p>
    <w:p w14:paraId="7DD8047F" w14:textId="77777777" w:rsidR="007817F3" w:rsidRPr="007817F3" w:rsidRDefault="007817F3" w:rsidP="007817F3">
      <w:pPr>
        <w:spacing w:after="0"/>
        <w:ind w:left="720"/>
        <w:rPr>
          <w:i/>
        </w:rPr>
      </w:pPr>
    </w:p>
    <w:p w14:paraId="657FFB9E" w14:textId="4B08797F" w:rsidR="007817F3" w:rsidRDefault="007817F3" w:rsidP="007817F3">
      <w:pPr>
        <w:spacing w:after="0"/>
        <w:rPr>
          <w:i/>
        </w:rPr>
      </w:pPr>
      <w:r w:rsidRPr="000C516F">
        <w:rPr>
          <w:b/>
          <w:i/>
        </w:rPr>
        <w:t xml:space="preserve">Proposal </w:t>
      </w:r>
      <w:r>
        <w:rPr>
          <w:b/>
          <w:i/>
        </w:rPr>
        <w:t>5</w:t>
      </w:r>
      <w:r w:rsidRPr="000C516F">
        <w:rPr>
          <w:b/>
          <w:i/>
        </w:rPr>
        <w:t xml:space="preserve">: </w:t>
      </w:r>
      <w:r w:rsidRPr="000C516F">
        <w:rPr>
          <w:i/>
        </w:rPr>
        <w:t>The periodic and the associated aperiodic CSI-RS resource sets for tracking contain CSI-RS resources configured with the same time domain locations, burst length, bandwidth, comb-offset, Pc and Pc_SS values.</w:t>
      </w:r>
    </w:p>
    <w:p w14:paraId="1F29DA33" w14:textId="77777777" w:rsidR="007817F3" w:rsidRPr="007817F3" w:rsidRDefault="007817F3" w:rsidP="007817F3">
      <w:pPr>
        <w:spacing w:after="0"/>
        <w:rPr>
          <w:i/>
        </w:rPr>
      </w:pPr>
    </w:p>
    <w:p w14:paraId="5C391ACF" w14:textId="77777777" w:rsidR="007817F3" w:rsidRDefault="007817F3" w:rsidP="007817F3">
      <w:pPr>
        <w:spacing w:after="0"/>
        <w:rPr>
          <w:bCs/>
          <w:i/>
        </w:rPr>
      </w:pPr>
      <w:r w:rsidRPr="00815377">
        <w:rPr>
          <w:b/>
          <w:bCs/>
          <w:i/>
        </w:rPr>
        <w:t>Proposal 6:</w:t>
      </w:r>
      <w:r>
        <w:rPr>
          <w:b/>
          <w:bCs/>
        </w:rPr>
        <w:t xml:space="preserve"> </w:t>
      </w:r>
      <w:r w:rsidRPr="00815377">
        <w:rPr>
          <w:bCs/>
          <w:i/>
        </w:rPr>
        <w:t xml:space="preserve">A UE only expects that the distinct TCI states across the </w:t>
      </w:r>
    </w:p>
    <w:p w14:paraId="15C6619A" w14:textId="77777777" w:rsidR="007817F3" w:rsidRPr="00815377" w:rsidRDefault="007817F3" w:rsidP="007817F3">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active TCI states for PDSCH, and</w:t>
      </w:r>
    </w:p>
    <w:p w14:paraId="769B01B8" w14:textId="77777777" w:rsidR="007817F3" w:rsidRPr="00815377" w:rsidRDefault="007817F3" w:rsidP="007817F3">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 xml:space="preserve">activated TCI states across configured CORESETs </w:t>
      </w:r>
    </w:p>
    <w:p w14:paraId="339DF990" w14:textId="77777777" w:rsidR="007817F3" w:rsidRPr="00815377" w:rsidRDefault="007817F3" w:rsidP="007817F3">
      <w:pPr>
        <w:spacing w:after="0"/>
        <w:rPr>
          <w:bCs/>
          <w:i/>
        </w:rPr>
      </w:pPr>
      <w:r>
        <w:rPr>
          <w:bCs/>
          <w:i/>
        </w:rPr>
        <w:t>are</w:t>
      </w:r>
      <w:r w:rsidRPr="00815377">
        <w:rPr>
          <w:bCs/>
          <w:i/>
        </w:rPr>
        <w:t xml:space="preserve"> not more than the number of TRS resources the UE is capable of tracking in a BWP. </w:t>
      </w:r>
    </w:p>
    <w:p w14:paraId="4E7BDDC2" w14:textId="71564F08" w:rsidR="007817F3" w:rsidRDefault="007817F3" w:rsidP="007817F3">
      <w:pPr>
        <w:pStyle w:val="ListParagraph"/>
        <w:numPr>
          <w:ilvl w:val="0"/>
          <w:numId w:val="21"/>
        </w:numPr>
        <w:rPr>
          <w:rFonts w:ascii="Times New Roman" w:eastAsia="SimSun" w:hAnsi="Times New Roman"/>
          <w:bCs/>
          <w:i/>
          <w:sz w:val="20"/>
          <w:szCs w:val="20"/>
        </w:rPr>
      </w:pPr>
      <w:r w:rsidRPr="00815377">
        <w:rPr>
          <w:rFonts w:ascii="Times New Roman" w:eastAsia="SimSun" w:hAnsi="Times New Roman"/>
          <w:bCs/>
          <w:i/>
          <w:sz w:val="20"/>
          <w:szCs w:val="20"/>
        </w:rPr>
        <w:t>Note: If a UE reports it can track only Y=1 TRS resource in a BWP, then the same TCI state is used for PDSCH and all configured CORESETs.</w:t>
      </w:r>
    </w:p>
    <w:p w14:paraId="1722CA17" w14:textId="77777777" w:rsidR="007817F3" w:rsidRPr="00815377" w:rsidRDefault="007817F3" w:rsidP="007817F3">
      <w:pPr>
        <w:pStyle w:val="ListParagraph"/>
        <w:ind w:left="360"/>
        <w:rPr>
          <w:rFonts w:ascii="Times New Roman" w:eastAsia="SimSun" w:hAnsi="Times New Roman"/>
          <w:bCs/>
          <w:i/>
          <w:sz w:val="20"/>
          <w:szCs w:val="20"/>
        </w:rPr>
      </w:pPr>
    </w:p>
    <w:p w14:paraId="47BD94C4" w14:textId="172FE876" w:rsidR="007817F3" w:rsidRPr="00CA136E" w:rsidRDefault="00633E96" w:rsidP="007817F3">
      <w:pPr>
        <w:spacing w:after="0"/>
        <w:rPr>
          <w:rFonts w:eastAsia="MS Mincho"/>
          <w:i/>
          <w:color w:val="000000"/>
        </w:rPr>
      </w:pPr>
      <w:r>
        <w:rPr>
          <w:rFonts w:eastAsia="MS Mincho"/>
          <w:b/>
          <w:i/>
          <w:color w:val="000000"/>
        </w:rPr>
        <w:t xml:space="preserve">Text </w:t>
      </w:r>
      <w:r w:rsidR="007817F3" w:rsidRPr="00CA136E">
        <w:rPr>
          <w:rFonts w:eastAsia="MS Mincho"/>
          <w:b/>
          <w:i/>
          <w:color w:val="000000"/>
        </w:rPr>
        <w:t xml:space="preserve">Proposal </w:t>
      </w:r>
      <w:r w:rsidR="00002783">
        <w:rPr>
          <w:rFonts w:eastAsia="MS Mincho"/>
          <w:b/>
          <w:i/>
          <w:color w:val="000000"/>
        </w:rPr>
        <w:t>1</w:t>
      </w:r>
      <w:r w:rsidR="007817F3" w:rsidRPr="00CA136E">
        <w:rPr>
          <w:rFonts w:eastAsia="MS Mincho"/>
          <w:b/>
          <w:i/>
          <w:color w:val="000000"/>
        </w:rPr>
        <w:t xml:space="preserve">: </w:t>
      </w:r>
      <w:r w:rsidR="007817F3" w:rsidRPr="00CA136E">
        <w:rPr>
          <w:rFonts w:eastAsia="MS Mincho"/>
          <w:i/>
          <w:color w:val="000000"/>
        </w:rPr>
        <w:t>Move the following sentence from Section 5.1.6.1.2 to 5.1.6.1.1:</w:t>
      </w:r>
    </w:p>
    <w:p w14:paraId="6978D966" w14:textId="79A583FF" w:rsidR="007817F3" w:rsidRPr="00BF4702" w:rsidRDefault="007817F3" w:rsidP="005034F3">
      <w:pPr>
        <w:pStyle w:val="ListParagraph"/>
        <w:numPr>
          <w:ilvl w:val="0"/>
          <w:numId w:val="21"/>
        </w:numPr>
        <w:rPr>
          <w:rFonts w:ascii="Times New Roman" w:eastAsia="MS Mincho" w:hAnsi="Times New Roman"/>
          <w:i/>
          <w:color w:val="000000"/>
          <w:sz w:val="20"/>
          <w:szCs w:val="20"/>
        </w:rPr>
      </w:pPr>
      <w:r w:rsidRPr="00CA136E">
        <w:rPr>
          <w:rFonts w:ascii="Times New Roman" w:eastAsia="MS Mincho" w:hAnsi="Times New Roman"/>
          <w:i/>
          <w:color w:val="000000"/>
          <w:sz w:val="20"/>
          <w:szCs w:val="20"/>
        </w:rPr>
        <w:t>“</w:t>
      </w:r>
      <w:r w:rsidRPr="00CA136E">
        <w:rPr>
          <w:rFonts w:ascii="Times New Roman" w:eastAsia="MS Mincho" w:hAnsi="Times New Roman" w:hint="eastAsia"/>
          <w:i/>
          <w:color w:val="000000"/>
          <w:sz w:val="20"/>
          <w:szCs w:val="20"/>
        </w:rPr>
        <w:t xml:space="preserve">A UE </w:t>
      </w:r>
      <w:r w:rsidRPr="00CA136E">
        <w:rPr>
          <w:rFonts w:ascii="Times New Roman" w:eastAsia="MS Mincho" w:hAnsi="Times New Roman"/>
          <w:i/>
          <w:color w:val="000000"/>
          <w:sz w:val="20"/>
          <w:szCs w:val="20"/>
        </w:rPr>
        <w:t>does not expect to be configured with a Reporting Setting, which is linked to a CSI-RS resource set for tracking, where the higher layer parameter MeasRestrictionConfig-time-channel for the Reporting Setting set to ‘ON’.”</w:t>
      </w:r>
    </w:p>
    <w:p w14:paraId="46F1334D" w14:textId="24D89BAE" w:rsidR="00E3066B" w:rsidRPr="001109A6" w:rsidRDefault="00E3066B" w:rsidP="001F2CB8">
      <w:pPr>
        <w:pStyle w:val="Heading1"/>
      </w:pPr>
      <w:r w:rsidRPr="001109A6">
        <w:t>References</w:t>
      </w:r>
    </w:p>
    <w:p w14:paraId="30316A52" w14:textId="77777777" w:rsidR="00DB4497" w:rsidRPr="00F66DAA" w:rsidRDefault="00DB4497" w:rsidP="00DB4497">
      <w:pPr>
        <w:pStyle w:val="ListParagraph"/>
        <w:numPr>
          <w:ilvl w:val="0"/>
          <w:numId w:val="4"/>
        </w:numPr>
        <w:rPr>
          <w:rFonts w:ascii="Times New Roman" w:eastAsia="SimSun" w:hAnsi="Times New Roman"/>
          <w:sz w:val="20"/>
          <w:szCs w:val="20"/>
          <w:lang w:val="en-GB" w:eastAsia="zh-CN"/>
        </w:rPr>
      </w:pPr>
      <w:bookmarkStart w:id="6" w:name="_Ref503281159"/>
      <w:r>
        <w:rPr>
          <w:rFonts w:ascii="Times New Roman" w:eastAsia="SimSun" w:hAnsi="Times New Roman"/>
          <w:sz w:val="20"/>
          <w:szCs w:val="20"/>
          <w:lang w:val="en-GB" w:eastAsia="zh-CN"/>
        </w:rPr>
        <w:t>R1-1803552, “</w:t>
      </w:r>
      <w:r w:rsidRPr="00F66DAA">
        <w:rPr>
          <w:i/>
          <w:noProof/>
        </w:rPr>
        <w:t>CR to 38.211 capturing the Jan18 ad-hoc and RAN1#92 meeting agreements</w:t>
      </w:r>
      <w:bookmarkEnd w:id="6"/>
      <w:r>
        <w:rPr>
          <w:noProof/>
        </w:rPr>
        <w:t>”</w:t>
      </w:r>
      <w:r>
        <w:rPr>
          <w:rFonts w:ascii="Times New Roman" w:eastAsia="SimSun" w:hAnsi="Times New Roman"/>
          <w:sz w:val="20"/>
          <w:szCs w:val="20"/>
          <w:lang w:val="en-GB" w:eastAsia="zh-CN"/>
        </w:rPr>
        <w:t xml:space="preserve">, </w:t>
      </w:r>
      <w:r>
        <w:rPr>
          <w:noProof/>
        </w:rPr>
        <w:t>Ericsson</w:t>
      </w:r>
    </w:p>
    <w:p w14:paraId="72C8A0AE" w14:textId="77777777" w:rsidR="00DB4497" w:rsidRPr="00FB01C2" w:rsidRDefault="00DB4497" w:rsidP="00DB4497">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R1-1803554,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15C92BB3" w14:textId="77777777" w:rsidR="00DB4497" w:rsidRPr="00A2265B" w:rsidRDefault="00DB4497" w:rsidP="00DB4497">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R1-1803555,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p w14:paraId="6BEDC530" w14:textId="58C1EFE9" w:rsidR="00B93351" w:rsidRPr="00DB4497" w:rsidRDefault="00DB4497" w:rsidP="00DB4497">
      <w:pPr>
        <w:pStyle w:val="ListParagraph"/>
        <w:numPr>
          <w:ilvl w:val="0"/>
          <w:numId w:val="4"/>
        </w:numPr>
        <w:rPr>
          <w:rFonts w:ascii="Times New Roman" w:eastAsia="SimSun" w:hAnsi="Times New Roman"/>
          <w:sz w:val="20"/>
          <w:szCs w:val="20"/>
          <w:lang w:val="en-GB" w:eastAsia="zh-CN"/>
        </w:rPr>
      </w:pPr>
      <w:bookmarkStart w:id="7" w:name="_Hlk510614774"/>
      <w:r>
        <w:rPr>
          <w:rFonts w:ascii="Times New Roman" w:eastAsia="SimSun" w:hAnsi="Times New Roman"/>
          <w:sz w:val="20"/>
          <w:szCs w:val="20"/>
          <w:lang w:val="en-GB" w:eastAsia="zh-CN"/>
        </w:rPr>
        <w:t>R1-1803478, “</w:t>
      </w:r>
      <w:r>
        <w:rPr>
          <w:i/>
          <w:noProof/>
          <w:lang w:eastAsia="zh-CN"/>
        </w:rPr>
        <w:t>Rel-15 NR UE feature List</w:t>
      </w:r>
      <w:r>
        <w:rPr>
          <w:noProof/>
        </w:rPr>
        <w:t>”</w:t>
      </w:r>
      <w:r>
        <w:rPr>
          <w:rFonts w:ascii="Times New Roman" w:eastAsia="SimSun" w:hAnsi="Times New Roman"/>
          <w:sz w:val="20"/>
          <w:szCs w:val="20"/>
          <w:lang w:val="en-GB" w:eastAsia="zh-CN"/>
        </w:rPr>
        <w:t xml:space="preserve">, </w:t>
      </w:r>
      <w:r w:rsidRPr="00AF1A70">
        <w:rPr>
          <w:rFonts w:eastAsia="MS Mincho"/>
          <w:iCs/>
          <w:szCs w:val="20"/>
          <w:lang w:eastAsia="ja-JP"/>
        </w:rPr>
        <w:t>NTT DOCOMO, ATT</w:t>
      </w:r>
      <w:bookmarkEnd w:id="7"/>
    </w:p>
    <w:sectPr w:rsidR="00B93351" w:rsidRPr="00DB4497" w:rsidSect="00F13C72">
      <w:headerReference w:type="even" r:id="rId15"/>
      <w:footerReference w:type="even" r:id="rId16"/>
      <w:footerReference w:type="default" r:id="rId17"/>
      <w:footnotePr>
        <w:numRestart w:val="eachSect"/>
      </w:footnotePr>
      <w:type w:val="continuous"/>
      <w:pgSz w:w="11906" w:h="16838" w:code="9"/>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Qualcomm" w:date="2018-04-06T15:17:00Z" w:initials="QC">
    <w:p w14:paraId="72EF05DA" w14:textId="23DE62A3" w:rsidR="008A4D70" w:rsidRDefault="008A4D70">
      <w:pPr>
        <w:pStyle w:val="CommentText"/>
      </w:pPr>
      <w:r>
        <w:rPr>
          <w:rStyle w:val="CommentReference"/>
        </w:rPr>
        <w:annotationRef/>
      </w:r>
      <w:r>
        <w:t xml:space="preserve">[Heechoon] </w:t>
      </w:r>
      <w:r w:rsidR="00A535B6">
        <w:t xml:space="preserve">Do we need this? Is this one step further after configuration? </w:t>
      </w:r>
      <w:r w:rsidR="00A535B6">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4" w:author="Qualcomm" w:date="2018-04-06T15:53:00Z" w:initials="QC">
    <w:p w14:paraId="1B83D609" w14:textId="0913729E" w:rsidR="00EA1BF5" w:rsidRDefault="00EA1BF5">
      <w:pPr>
        <w:pStyle w:val="CommentText"/>
      </w:pPr>
      <w:r>
        <w:rPr>
          <w:rStyle w:val="CommentReference"/>
        </w:rPr>
        <w:annotationRef/>
      </w:r>
      <w:r>
        <w:t>[Heechoon] We do not address potentially different TCI state between unicast and broadcast?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EF05DA" w15:done="0"/>
  <w15:commentEx w15:paraId="1B83D6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EF05DA" w16cid:durableId="1E720E0A"/>
  <w16cid:commentId w16cid:paraId="1B83D609" w16cid:durableId="1E7216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BEDFF" w14:textId="77777777" w:rsidR="009B2687" w:rsidRDefault="009B2687">
      <w:r>
        <w:separator/>
      </w:r>
    </w:p>
  </w:endnote>
  <w:endnote w:type="continuationSeparator" w:id="0">
    <w:p w14:paraId="2FB9F091" w14:textId="77777777" w:rsidR="009B2687" w:rsidRDefault="009B2687">
      <w:r>
        <w:continuationSeparator/>
      </w:r>
    </w:p>
  </w:endnote>
  <w:endnote w:type="continuationNotice" w:id="1">
    <w:p w14:paraId="6488B3A5" w14:textId="77777777" w:rsidR="009B2687" w:rsidRDefault="009B2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286745" w:rsidRDefault="002867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286745" w:rsidRDefault="002867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65EF9CAF" w:rsidR="00286745" w:rsidRDefault="002867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719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719E">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F3D76" w14:textId="77777777" w:rsidR="009B2687" w:rsidRDefault="009B2687">
      <w:r>
        <w:separator/>
      </w:r>
    </w:p>
  </w:footnote>
  <w:footnote w:type="continuationSeparator" w:id="0">
    <w:p w14:paraId="63540FCF" w14:textId="77777777" w:rsidR="009B2687" w:rsidRDefault="009B2687">
      <w:r>
        <w:continuationSeparator/>
      </w:r>
    </w:p>
  </w:footnote>
  <w:footnote w:type="continuationNotice" w:id="1">
    <w:p w14:paraId="3F0D830C" w14:textId="77777777" w:rsidR="009B2687" w:rsidRDefault="009B2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286745" w:rsidRDefault="002867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D212C1"/>
    <w:multiLevelType w:val="hybridMultilevel"/>
    <w:tmpl w:val="DBA29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AE50D1AC"/>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10930F31"/>
    <w:multiLevelType w:val="hybridMultilevel"/>
    <w:tmpl w:val="FB08F044"/>
    <w:lvl w:ilvl="0" w:tplc="2A50867C">
      <w:start w:val="1"/>
      <w:numFmt w:val="bullet"/>
      <w:lvlText w:val="•"/>
      <w:lvlJc w:val="left"/>
      <w:pPr>
        <w:tabs>
          <w:tab w:val="num" w:pos="720"/>
        </w:tabs>
        <w:ind w:left="720" w:hanging="360"/>
      </w:pPr>
      <w:rPr>
        <w:rFonts w:ascii="Arial" w:hAnsi="Arial" w:hint="default"/>
      </w:rPr>
    </w:lvl>
    <w:lvl w:ilvl="1" w:tplc="AF4C9546" w:tentative="1">
      <w:start w:val="1"/>
      <w:numFmt w:val="bullet"/>
      <w:lvlText w:val="•"/>
      <w:lvlJc w:val="left"/>
      <w:pPr>
        <w:tabs>
          <w:tab w:val="num" w:pos="1440"/>
        </w:tabs>
        <w:ind w:left="1440" w:hanging="360"/>
      </w:pPr>
      <w:rPr>
        <w:rFonts w:ascii="Arial" w:hAnsi="Arial" w:hint="default"/>
      </w:rPr>
    </w:lvl>
    <w:lvl w:ilvl="2" w:tplc="4888E852" w:tentative="1">
      <w:start w:val="1"/>
      <w:numFmt w:val="bullet"/>
      <w:lvlText w:val="•"/>
      <w:lvlJc w:val="left"/>
      <w:pPr>
        <w:tabs>
          <w:tab w:val="num" w:pos="2160"/>
        </w:tabs>
        <w:ind w:left="2160" w:hanging="360"/>
      </w:pPr>
      <w:rPr>
        <w:rFonts w:ascii="Arial" w:hAnsi="Arial" w:hint="default"/>
      </w:rPr>
    </w:lvl>
    <w:lvl w:ilvl="3" w:tplc="13F02B80" w:tentative="1">
      <w:start w:val="1"/>
      <w:numFmt w:val="bullet"/>
      <w:lvlText w:val="•"/>
      <w:lvlJc w:val="left"/>
      <w:pPr>
        <w:tabs>
          <w:tab w:val="num" w:pos="2880"/>
        </w:tabs>
        <w:ind w:left="2880" w:hanging="360"/>
      </w:pPr>
      <w:rPr>
        <w:rFonts w:ascii="Arial" w:hAnsi="Arial" w:hint="default"/>
      </w:rPr>
    </w:lvl>
    <w:lvl w:ilvl="4" w:tplc="46F21B18" w:tentative="1">
      <w:start w:val="1"/>
      <w:numFmt w:val="bullet"/>
      <w:lvlText w:val="•"/>
      <w:lvlJc w:val="left"/>
      <w:pPr>
        <w:tabs>
          <w:tab w:val="num" w:pos="3600"/>
        </w:tabs>
        <w:ind w:left="3600" w:hanging="360"/>
      </w:pPr>
      <w:rPr>
        <w:rFonts w:ascii="Arial" w:hAnsi="Arial" w:hint="default"/>
      </w:rPr>
    </w:lvl>
    <w:lvl w:ilvl="5" w:tplc="C4E068F0" w:tentative="1">
      <w:start w:val="1"/>
      <w:numFmt w:val="bullet"/>
      <w:lvlText w:val="•"/>
      <w:lvlJc w:val="left"/>
      <w:pPr>
        <w:tabs>
          <w:tab w:val="num" w:pos="4320"/>
        </w:tabs>
        <w:ind w:left="4320" w:hanging="360"/>
      </w:pPr>
      <w:rPr>
        <w:rFonts w:ascii="Arial" w:hAnsi="Arial" w:hint="default"/>
      </w:rPr>
    </w:lvl>
    <w:lvl w:ilvl="6" w:tplc="30BCEDA4" w:tentative="1">
      <w:start w:val="1"/>
      <w:numFmt w:val="bullet"/>
      <w:lvlText w:val="•"/>
      <w:lvlJc w:val="left"/>
      <w:pPr>
        <w:tabs>
          <w:tab w:val="num" w:pos="5040"/>
        </w:tabs>
        <w:ind w:left="5040" w:hanging="360"/>
      </w:pPr>
      <w:rPr>
        <w:rFonts w:ascii="Arial" w:hAnsi="Arial" w:hint="default"/>
      </w:rPr>
    </w:lvl>
    <w:lvl w:ilvl="7" w:tplc="57CA7136" w:tentative="1">
      <w:start w:val="1"/>
      <w:numFmt w:val="bullet"/>
      <w:lvlText w:val="•"/>
      <w:lvlJc w:val="left"/>
      <w:pPr>
        <w:tabs>
          <w:tab w:val="num" w:pos="5760"/>
        </w:tabs>
        <w:ind w:left="5760" w:hanging="360"/>
      </w:pPr>
      <w:rPr>
        <w:rFonts w:ascii="Arial" w:hAnsi="Arial" w:hint="default"/>
      </w:rPr>
    </w:lvl>
    <w:lvl w:ilvl="8" w:tplc="BCB0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862DA9"/>
    <w:multiLevelType w:val="hybridMultilevel"/>
    <w:tmpl w:val="B616E538"/>
    <w:lvl w:ilvl="0" w:tplc="50E007C8">
      <w:start w:val="1"/>
      <w:numFmt w:val="bullet"/>
      <w:lvlText w:val=""/>
      <w:lvlJc w:val="left"/>
      <w:pPr>
        <w:tabs>
          <w:tab w:val="num" w:pos="360"/>
        </w:tabs>
        <w:ind w:left="360" w:hanging="360"/>
      </w:pPr>
      <w:rPr>
        <w:rFonts w:ascii="Symbol" w:hAnsi="Symbol" w:hint="default"/>
      </w:rPr>
    </w:lvl>
    <w:lvl w:ilvl="1" w:tplc="06AAF528">
      <w:start w:val="567"/>
      <w:numFmt w:val="bullet"/>
      <w:lvlText w:val="−"/>
      <w:lvlJc w:val="left"/>
      <w:pPr>
        <w:tabs>
          <w:tab w:val="num" w:pos="1080"/>
        </w:tabs>
        <w:ind w:left="1080" w:hanging="360"/>
      </w:pPr>
      <w:rPr>
        <w:rFonts w:ascii="Calibre Regular" w:hAnsi="Calibre Regular" w:hint="default"/>
      </w:rPr>
    </w:lvl>
    <w:lvl w:ilvl="2" w:tplc="96BC5444">
      <w:start w:val="1"/>
      <w:numFmt w:val="bullet"/>
      <w:lvlText w:val=""/>
      <w:lvlJc w:val="left"/>
      <w:pPr>
        <w:tabs>
          <w:tab w:val="num" w:pos="1800"/>
        </w:tabs>
        <w:ind w:left="1800" w:hanging="360"/>
      </w:pPr>
      <w:rPr>
        <w:rFonts w:ascii="Symbol" w:hAnsi="Symbol" w:hint="default"/>
      </w:rPr>
    </w:lvl>
    <w:lvl w:ilvl="3" w:tplc="5082DB4A">
      <w:start w:val="1"/>
      <w:numFmt w:val="bullet"/>
      <w:lvlText w:val=""/>
      <w:lvlJc w:val="left"/>
      <w:pPr>
        <w:tabs>
          <w:tab w:val="num" w:pos="2520"/>
        </w:tabs>
        <w:ind w:left="2520" w:hanging="360"/>
      </w:pPr>
      <w:rPr>
        <w:rFonts w:ascii="Symbol" w:hAnsi="Symbol" w:hint="default"/>
      </w:rPr>
    </w:lvl>
    <w:lvl w:ilvl="4" w:tplc="20C8FB76">
      <w:start w:val="1"/>
      <w:numFmt w:val="bullet"/>
      <w:lvlText w:val=""/>
      <w:lvlJc w:val="left"/>
      <w:pPr>
        <w:tabs>
          <w:tab w:val="num" w:pos="3240"/>
        </w:tabs>
        <w:ind w:left="3240" w:hanging="360"/>
      </w:pPr>
      <w:rPr>
        <w:rFonts w:ascii="Symbol" w:hAnsi="Symbol" w:hint="default"/>
      </w:rPr>
    </w:lvl>
    <w:lvl w:ilvl="5" w:tplc="69BCD70C">
      <w:start w:val="1"/>
      <w:numFmt w:val="bullet"/>
      <w:lvlText w:val=""/>
      <w:lvlJc w:val="left"/>
      <w:pPr>
        <w:tabs>
          <w:tab w:val="num" w:pos="3960"/>
        </w:tabs>
        <w:ind w:left="3960" w:hanging="360"/>
      </w:pPr>
      <w:rPr>
        <w:rFonts w:ascii="Symbol" w:hAnsi="Symbol" w:hint="default"/>
      </w:rPr>
    </w:lvl>
    <w:lvl w:ilvl="6" w:tplc="67E29F26">
      <w:start w:val="1"/>
      <w:numFmt w:val="bullet"/>
      <w:lvlText w:val=""/>
      <w:lvlJc w:val="left"/>
      <w:pPr>
        <w:tabs>
          <w:tab w:val="num" w:pos="4680"/>
        </w:tabs>
        <w:ind w:left="4680" w:hanging="360"/>
      </w:pPr>
      <w:rPr>
        <w:rFonts w:ascii="Symbol" w:hAnsi="Symbol" w:hint="default"/>
      </w:rPr>
    </w:lvl>
    <w:lvl w:ilvl="7" w:tplc="DFB6E540">
      <w:start w:val="1"/>
      <w:numFmt w:val="bullet"/>
      <w:lvlText w:val=""/>
      <w:lvlJc w:val="left"/>
      <w:pPr>
        <w:tabs>
          <w:tab w:val="num" w:pos="5400"/>
        </w:tabs>
        <w:ind w:left="5400" w:hanging="360"/>
      </w:pPr>
      <w:rPr>
        <w:rFonts w:ascii="Symbol" w:hAnsi="Symbol" w:hint="default"/>
      </w:rPr>
    </w:lvl>
    <w:lvl w:ilvl="8" w:tplc="6CD6C744">
      <w:start w:val="1"/>
      <w:numFmt w:val="bullet"/>
      <w:lvlText w:val=""/>
      <w:lvlJc w:val="left"/>
      <w:pPr>
        <w:tabs>
          <w:tab w:val="num" w:pos="6120"/>
        </w:tabs>
        <w:ind w:left="6120" w:hanging="360"/>
      </w:pPr>
      <w:rPr>
        <w:rFonts w:ascii="Symbol" w:hAnsi="Symbo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C95722"/>
    <w:multiLevelType w:val="hybridMultilevel"/>
    <w:tmpl w:val="1A8E31DA"/>
    <w:lvl w:ilvl="0" w:tplc="DE88A308">
      <w:start w:val="1"/>
      <w:numFmt w:val="bullet"/>
      <w:lvlText w:val="−"/>
      <w:lvlJc w:val="left"/>
      <w:pPr>
        <w:tabs>
          <w:tab w:val="num" w:pos="648"/>
        </w:tabs>
        <w:ind w:left="648" w:hanging="360"/>
      </w:pPr>
      <w:rPr>
        <w:rFonts w:ascii="Calibre Regular" w:hAnsi="Calibre Regular" w:hint="default"/>
      </w:rPr>
    </w:lvl>
    <w:lvl w:ilvl="1" w:tplc="E5BACBD0">
      <w:start w:val="1"/>
      <w:numFmt w:val="bullet"/>
      <w:lvlText w:val="−"/>
      <w:lvlJc w:val="left"/>
      <w:pPr>
        <w:tabs>
          <w:tab w:val="num" w:pos="1368"/>
        </w:tabs>
        <w:ind w:left="1368" w:hanging="360"/>
      </w:pPr>
      <w:rPr>
        <w:rFonts w:ascii="Calibre Regular" w:hAnsi="Calibre Regular" w:hint="default"/>
      </w:rPr>
    </w:lvl>
    <w:lvl w:ilvl="2" w:tplc="871E0E5E">
      <w:numFmt w:val="bullet"/>
      <w:lvlText w:val="−"/>
      <w:lvlJc w:val="left"/>
      <w:pPr>
        <w:tabs>
          <w:tab w:val="num" w:pos="2088"/>
        </w:tabs>
        <w:ind w:left="2088" w:hanging="360"/>
      </w:pPr>
      <w:rPr>
        <w:rFonts w:ascii="Calibre Regular" w:hAnsi="Calibre Regular" w:hint="default"/>
      </w:rPr>
    </w:lvl>
    <w:lvl w:ilvl="3" w:tplc="6D8E3EEC" w:tentative="1">
      <w:start w:val="1"/>
      <w:numFmt w:val="bullet"/>
      <w:lvlText w:val="−"/>
      <w:lvlJc w:val="left"/>
      <w:pPr>
        <w:tabs>
          <w:tab w:val="num" w:pos="2808"/>
        </w:tabs>
        <w:ind w:left="2808" w:hanging="360"/>
      </w:pPr>
      <w:rPr>
        <w:rFonts w:ascii="Calibre Regular" w:hAnsi="Calibre Regular" w:hint="default"/>
      </w:rPr>
    </w:lvl>
    <w:lvl w:ilvl="4" w:tplc="62245A6A" w:tentative="1">
      <w:start w:val="1"/>
      <w:numFmt w:val="bullet"/>
      <w:lvlText w:val="−"/>
      <w:lvlJc w:val="left"/>
      <w:pPr>
        <w:tabs>
          <w:tab w:val="num" w:pos="3528"/>
        </w:tabs>
        <w:ind w:left="3528" w:hanging="360"/>
      </w:pPr>
      <w:rPr>
        <w:rFonts w:ascii="Calibre Regular" w:hAnsi="Calibre Regular" w:hint="default"/>
      </w:rPr>
    </w:lvl>
    <w:lvl w:ilvl="5" w:tplc="25CA19FA" w:tentative="1">
      <w:start w:val="1"/>
      <w:numFmt w:val="bullet"/>
      <w:lvlText w:val="−"/>
      <w:lvlJc w:val="left"/>
      <w:pPr>
        <w:tabs>
          <w:tab w:val="num" w:pos="4248"/>
        </w:tabs>
        <w:ind w:left="4248" w:hanging="360"/>
      </w:pPr>
      <w:rPr>
        <w:rFonts w:ascii="Calibre Regular" w:hAnsi="Calibre Regular" w:hint="default"/>
      </w:rPr>
    </w:lvl>
    <w:lvl w:ilvl="6" w:tplc="FB4E99DC" w:tentative="1">
      <w:start w:val="1"/>
      <w:numFmt w:val="bullet"/>
      <w:lvlText w:val="−"/>
      <w:lvlJc w:val="left"/>
      <w:pPr>
        <w:tabs>
          <w:tab w:val="num" w:pos="4968"/>
        </w:tabs>
        <w:ind w:left="4968" w:hanging="360"/>
      </w:pPr>
      <w:rPr>
        <w:rFonts w:ascii="Calibre Regular" w:hAnsi="Calibre Regular" w:hint="default"/>
      </w:rPr>
    </w:lvl>
    <w:lvl w:ilvl="7" w:tplc="1EF4D6EA" w:tentative="1">
      <w:start w:val="1"/>
      <w:numFmt w:val="bullet"/>
      <w:lvlText w:val="−"/>
      <w:lvlJc w:val="left"/>
      <w:pPr>
        <w:tabs>
          <w:tab w:val="num" w:pos="5688"/>
        </w:tabs>
        <w:ind w:left="5688" w:hanging="360"/>
      </w:pPr>
      <w:rPr>
        <w:rFonts w:ascii="Calibre Regular" w:hAnsi="Calibre Regular" w:hint="default"/>
      </w:rPr>
    </w:lvl>
    <w:lvl w:ilvl="8" w:tplc="6EC4ACEE" w:tentative="1">
      <w:start w:val="1"/>
      <w:numFmt w:val="bullet"/>
      <w:lvlText w:val="−"/>
      <w:lvlJc w:val="left"/>
      <w:pPr>
        <w:tabs>
          <w:tab w:val="num" w:pos="6408"/>
        </w:tabs>
        <w:ind w:left="6408" w:hanging="360"/>
      </w:pPr>
      <w:rPr>
        <w:rFonts w:ascii="Calibre Regular" w:hAnsi="Calibre Regular" w:hint="default"/>
      </w:rPr>
    </w:lvl>
  </w:abstractNum>
  <w:abstractNum w:abstractNumId="9" w15:restartNumberingAfterBreak="0">
    <w:nsid w:val="344B5845"/>
    <w:multiLevelType w:val="hybridMultilevel"/>
    <w:tmpl w:val="1FF2E7C2"/>
    <w:lvl w:ilvl="0" w:tplc="8C3C58A0">
      <w:start w:val="1"/>
      <w:numFmt w:val="bullet"/>
      <w:lvlText w:val=""/>
      <w:lvlJc w:val="left"/>
      <w:pPr>
        <w:tabs>
          <w:tab w:val="num" w:pos="360"/>
        </w:tabs>
        <w:ind w:left="360" w:hanging="360"/>
      </w:pPr>
      <w:rPr>
        <w:rFonts w:ascii="Symbol" w:hAnsi="Symbol" w:hint="default"/>
      </w:rPr>
    </w:lvl>
    <w:lvl w:ilvl="1" w:tplc="88A6D6E2">
      <w:start w:val="567"/>
      <w:numFmt w:val="bullet"/>
      <w:lvlText w:val="−"/>
      <w:lvlJc w:val="left"/>
      <w:pPr>
        <w:tabs>
          <w:tab w:val="num" w:pos="1080"/>
        </w:tabs>
        <w:ind w:left="1080" w:hanging="360"/>
      </w:pPr>
      <w:rPr>
        <w:rFonts w:ascii="Calibre Regular" w:hAnsi="Calibre Regular" w:hint="default"/>
      </w:rPr>
    </w:lvl>
    <w:lvl w:ilvl="2" w:tplc="1FF0A74E">
      <w:start w:val="567"/>
      <w:numFmt w:val="bullet"/>
      <w:lvlText w:val="−"/>
      <w:lvlJc w:val="left"/>
      <w:pPr>
        <w:tabs>
          <w:tab w:val="num" w:pos="1800"/>
        </w:tabs>
        <w:ind w:left="1800" w:hanging="360"/>
      </w:pPr>
      <w:rPr>
        <w:rFonts w:ascii="Calibre Regular" w:hAnsi="Calibre Regular" w:hint="default"/>
      </w:rPr>
    </w:lvl>
    <w:lvl w:ilvl="3" w:tplc="E592CF3E">
      <w:start w:val="1"/>
      <w:numFmt w:val="bullet"/>
      <w:lvlText w:val=""/>
      <w:lvlJc w:val="left"/>
      <w:pPr>
        <w:tabs>
          <w:tab w:val="num" w:pos="2520"/>
        </w:tabs>
        <w:ind w:left="2520" w:hanging="360"/>
      </w:pPr>
      <w:rPr>
        <w:rFonts w:ascii="Symbol" w:hAnsi="Symbol" w:hint="default"/>
      </w:rPr>
    </w:lvl>
    <w:lvl w:ilvl="4" w:tplc="2340BB34">
      <w:start w:val="1"/>
      <w:numFmt w:val="bullet"/>
      <w:lvlText w:val=""/>
      <w:lvlJc w:val="left"/>
      <w:pPr>
        <w:tabs>
          <w:tab w:val="num" w:pos="3240"/>
        </w:tabs>
        <w:ind w:left="3240" w:hanging="360"/>
      </w:pPr>
      <w:rPr>
        <w:rFonts w:ascii="Symbol" w:hAnsi="Symbol" w:hint="default"/>
      </w:rPr>
    </w:lvl>
    <w:lvl w:ilvl="5" w:tplc="44FAA31E">
      <w:start w:val="1"/>
      <w:numFmt w:val="bullet"/>
      <w:lvlText w:val=""/>
      <w:lvlJc w:val="left"/>
      <w:pPr>
        <w:tabs>
          <w:tab w:val="num" w:pos="3960"/>
        </w:tabs>
        <w:ind w:left="3960" w:hanging="360"/>
      </w:pPr>
      <w:rPr>
        <w:rFonts w:ascii="Symbol" w:hAnsi="Symbol" w:hint="default"/>
      </w:rPr>
    </w:lvl>
    <w:lvl w:ilvl="6" w:tplc="4BA21A2C">
      <w:start w:val="1"/>
      <w:numFmt w:val="bullet"/>
      <w:lvlText w:val=""/>
      <w:lvlJc w:val="left"/>
      <w:pPr>
        <w:tabs>
          <w:tab w:val="num" w:pos="4680"/>
        </w:tabs>
        <w:ind w:left="4680" w:hanging="360"/>
      </w:pPr>
      <w:rPr>
        <w:rFonts w:ascii="Symbol" w:hAnsi="Symbol" w:hint="default"/>
      </w:rPr>
    </w:lvl>
    <w:lvl w:ilvl="7" w:tplc="801E5EBA">
      <w:start w:val="1"/>
      <w:numFmt w:val="bullet"/>
      <w:lvlText w:val=""/>
      <w:lvlJc w:val="left"/>
      <w:pPr>
        <w:tabs>
          <w:tab w:val="num" w:pos="5400"/>
        </w:tabs>
        <w:ind w:left="5400" w:hanging="360"/>
      </w:pPr>
      <w:rPr>
        <w:rFonts w:ascii="Symbol" w:hAnsi="Symbol" w:hint="default"/>
      </w:rPr>
    </w:lvl>
    <w:lvl w:ilvl="8" w:tplc="5BA08A40">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9CC7BE4"/>
    <w:multiLevelType w:val="hybridMultilevel"/>
    <w:tmpl w:val="3E5A6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E11973"/>
    <w:multiLevelType w:val="hybridMultilevel"/>
    <w:tmpl w:val="A6689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1B4A50"/>
    <w:multiLevelType w:val="hybridMultilevel"/>
    <w:tmpl w:val="4E625E06"/>
    <w:lvl w:ilvl="0" w:tplc="9708A680">
      <w:start w:val="1"/>
      <w:numFmt w:val="bullet"/>
      <w:lvlText w:val="•"/>
      <w:lvlJc w:val="left"/>
      <w:pPr>
        <w:tabs>
          <w:tab w:val="num" w:pos="720"/>
        </w:tabs>
        <w:ind w:left="720" w:hanging="360"/>
      </w:pPr>
      <w:rPr>
        <w:rFonts w:ascii="Arial" w:hAnsi="Arial" w:hint="default"/>
      </w:rPr>
    </w:lvl>
    <w:lvl w:ilvl="1" w:tplc="EFF891E2" w:tentative="1">
      <w:start w:val="1"/>
      <w:numFmt w:val="bullet"/>
      <w:lvlText w:val="•"/>
      <w:lvlJc w:val="left"/>
      <w:pPr>
        <w:tabs>
          <w:tab w:val="num" w:pos="1440"/>
        </w:tabs>
        <w:ind w:left="1440" w:hanging="360"/>
      </w:pPr>
      <w:rPr>
        <w:rFonts w:ascii="Arial" w:hAnsi="Arial" w:hint="default"/>
      </w:rPr>
    </w:lvl>
    <w:lvl w:ilvl="2" w:tplc="375042B2" w:tentative="1">
      <w:start w:val="1"/>
      <w:numFmt w:val="bullet"/>
      <w:lvlText w:val="•"/>
      <w:lvlJc w:val="left"/>
      <w:pPr>
        <w:tabs>
          <w:tab w:val="num" w:pos="2160"/>
        </w:tabs>
        <w:ind w:left="2160" w:hanging="360"/>
      </w:pPr>
      <w:rPr>
        <w:rFonts w:ascii="Arial" w:hAnsi="Arial" w:hint="default"/>
      </w:rPr>
    </w:lvl>
    <w:lvl w:ilvl="3" w:tplc="2D9AF00A" w:tentative="1">
      <w:start w:val="1"/>
      <w:numFmt w:val="bullet"/>
      <w:lvlText w:val="•"/>
      <w:lvlJc w:val="left"/>
      <w:pPr>
        <w:tabs>
          <w:tab w:val="num" w:pos="2880"/>
        </w:tabs>
        <w:ind w:left="2880" w:hanging="360"/>
      </w:pPr>
      <w:rPr>
        <w:rFonts w:ascii="Arial" w:hAnsi="Arial" w:hint="default"/>
      </w:rPr>
    </w:lvl>
    <w:lvl w:ilvl="4" w:tplc="46300632" w:tentative="1">
      <w:start w:val="1"/>
      <w:numFmt w:val="bullet"/>
      <w:lvlText w:val="•"/>
      <w:lvlJc w:val="left"/>
      <w:pPr>
        <w:tabs>
          <w:tab w:val="num" w:pos="3600"/>
        </w:tabs>
        <w:ind w:left="3600" w:hanging="360"/>
      </w:pPr>
      <w:rPr>
        <w:rFonts w:ascii="Arial" w:hAnsi="Arial" w:hint="default"/>
      </w:rPr>
    </w:lvl>
    <w:lvl w:ilvl="5" w:tplc="FF7037FA" w:tentative="1">
      <w:start w:val="1"/>
      <w:numFmt w:val="bullet"/>
      <w:lvlText w:val="•"/>
      <w:lvlJc w:val="left"/>
      <w:pPr>
        <w:tabs>
          <w:tab w:val="num" w:pos="4320"/>
        </w:tabs>
        <w:ind w:left="4320" w:hanging="360"/>
      </w:pPr>
      <w:rPr>
        <w:rFonts w:ascii="Arial" w:hAnsi="Arial" w:hint="default"/>
      </w:rPr>
    </w:lvl>
    <w:lvl w:ilvl="6" w:tplc="CDB8BA44" w:tentative="1">
      <w:start w:val="1"/>
      <w:numFmt w:val="bullet"/>
      <w:lvlText w:val="•"/>
      <w:lvlJc w:val="left"/>
      <w:pPr>
        <w:tabs>
          <w:tab w:val="num" w:pos="5040"/>
        </w:tabs>
        <w:ind w:left="5040" w:hanging="360"/>
      </w:pPr>
      <w:rPr>
        <w:rFonts w:ascii="Arial" w:hAnsi="Arial" w:hint="default"/>
      </w:rPr>
    </w:lvl>
    <w:lvl w:ilvl="7" w:tplc="48A68284" w:tentative="1">
      <w:start w:val="1"/>
      <w:numFmt w:val="bullet"/>
      <w:lvlText w:val="•"/>
      <w:lvlJc w:val="left"/>
      <w:pPr>
        <w:tabs>
          <w:tab w:val="num" w:pos="5760"/>
        </w:tabs>
        <w:ind w:left="5760" w:hanging="360"/>
      </w:pPr>
      <w:rPr>
        <w:rFonts w:ascii="Arial" w:hAnsi="Arial" w:hint="default"/>
      </w:rPr>
    </w:lvl>
    <w:lvl w:ilvl="8" w:tplc="6A92EF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582BB3"/>
    <w:multiLevelType w:val="hybridMultilevel"/>
    <w:tmpl w:val="4DC03D06"/>
    <w:lvl w:ilvl="0" w:tplc="6CE27E66">
      <w:start w:val="1"/>
      <w:numFmt w:val="bullet"/>
      <w:lvlText w:val="−"/>
      <w:lvlJc w:val="left"/>
      <w:pPr>
        <w:tabs>
          <w:tab w:val="num" w:pos="360"/>
        </w:tabs>
        <w:ind w:left="360" w:hanging="360"/>
      </w:pPr>
      <w:rPr>
        <w:rFonts w:ascii="Calibre Regular" w:hAnsi="Calibre Regular" w:hint="default"/>
      </w:rPr>
    </w:lvl>
    <w:lvl w:ilvl="1" w:tplc="A54E2546">
      <w:start w:val="1"/>
      <w:numFmt w:val="bullet"/>
      <w:lvlText w:val="−"/>
      <w:lvlJc w:val="left"/>
      <w:pPr>
        <w:tabs>
          <w:tab w:val="num" w:pos="1080"/>
        </w:tabs>
        <w:ind w:left="1080" w:hanging="360"/>
      </w:pPr>
      <w:rPr>
        <w:rFonts w:ascii="Calibre Regular" w:hAnsi="Calibre Regular" w:hint="default"/>
      </w:rPr>
    </w:lvl>
    <w:lvl w:ilvl="2" w:tplc="4DC4C574">
      <w:numFmt w:val="bullet"/>
      <w:lvlText w:val="−"/>
      <w:lvlJc w:val="left"/>
      <w:pPr>
        <w:tabs>
          <w:tab w:val="num" w:pos="1800"/>
        </w:tabs>
        <w:ind w:left="1800" w:hanging="360"/>
      </w:pPr>
      <w:rPr>
        <w:rFonts w:ascii="Calibre Regular" w:hAnsi="Calibre Regular" w:hint="default"/>
      </w:rPr>
    </w:lvl>
    <w:lvl w:ilvl="3" w:tplc="6810C59E">
      <w:numFmt w:val="bullet"/>
      <w:lvlText w:val="−"/>
      <w:lvlJc w:val="left"/>
      <w:pPr>
        <w:tabs>
          <w:tab w:val="num" w:pos="2520"/>
        </w:tabs>
        <w:ind w:left="2520" w:hanging="360"/>
      </w:pPr>
      <w:rPr>
        <w:rFonts w:ascii="Calibre Regular" w:hAnsi="Calibre Regular" w:hint="default"/>
      </w:rPr>
    </w:lvl>
    <w:lvl w:ilvl="4" w:tplc="F5E26434" w:tentative="1">
      <w:start w:val="1"/>
      <w:numFmt w:val="bullet"/>
      <w:lvlText w:val="−"/>
      <w:lvlJc w:val="left"/>
      <w:pPr>
        <w:tabs>
          <w:tab w:val="num" w:pos="3240"/>
        </w:tabs>
        <w:ind w:left="3240" w:hanging="360"/>
      </w:pPr>
      <w:rPr>
        <w:rFonts w:ascii="Calibre Regular" w:hAnsi="Calibre Regular" w:hint="default"/>
      </w:rPr>
    </w:lvl>
    <w:lvl w:ilvl="5" w:tplc="BEA436FA" w:tentative="1">
      <w:start w:val="1"/>
      <w:numFmt w:val="bullet"/>
      <w:lvlText w:val="−"/>
      <w:lvlJc w:val="left"/>
      <w:pPr>
        <w:tabs>
          <w:tab w:val="num" w:pos="3960"/>
        </w:tabs>
        <w:ind w:left="3960" w:hanging="360"/>
      </w:pPr>
      <w:rPr>
        <w:rFonts w:ascii="Calibre Regular" w:hAnsi="Calibre Regular" w:hint="default"/>
      </w:rPr>
    </w:lvl>
    <w:lvl w:ilvl="6" w:tplc="A37A32E6" w:tentative="1">
      <w:start w:val="1"/>
      <w:numFmt w:val="bullet"/>
      <w:lvlText w:val="−"/>
      <w:lvlJc w:val="left"/>
      <w:pPr>
        <w:tabs>
          <w:tab w:val="num" w:pos="4680"/>
        </w:tabs>
        <w:ind w:left="4680" w:hanging="360"/>
      </w:pPr>
      <w:rPr>
        <w:rFonts w:ascii="Calibre Regular" w:hAnsi="Calibre Regular" w:hint="default"/>
      </w:rPr>
    </w:lvl>
    <w:lvl w:ilvl="7" w:tplc="1B6A215C" w:tentative="1">
      <w:start w:val="1"/>
      <w:numFmt w:val="bullet"/>
      <w:lvlText w:val="−"/>
      <w:lvlJc w:val="left"/>
      <w:pPr>
        <w:tabs>
          <w:tab w:val="num" w:pos="5400"/>
        </w:tabs>
        <w:ind w:left="5400" w:hanging="360"/>
      </w:pPr>
      <w:rPr>
        <w:rFonts w:ascii="Calibre Regular" w:hAnsi="Calibre Regular" w:hint="default"/>
      </w:rPr>
    </w:lvl>
    <w:lvl w:ilvl="8" w:tplc="368CEBBC" w:tentative="1">
      <w:start w:val="1"/>
      <w:numFmt w:val="bullet"/>
      <w:lvlText w:val="−"/>
      <w:lvlJc w:val="left"/>
      <w:pPr>
        <w:tabs>
          <w:tab w:val="num" w:pos="6120"/>
        </w:tabs>
        <w:ind w:left="6120" w:hanging="360"/>
      </w:pPr>
      <w:rPr>
        <w:rFonts w:ascii="Calibre Regular" w:hAnsi="Calibre Regular"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8728E"/>
    <w:multiLevelType w:val="hybridMultilevel"/>
    <w:tmpl w:val="0C9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25D24"/>
    <w:multiLevelType w:val="hybridMultilevel"/>
    <w:tmpl w:val="F5D448D4"/>
    <w:lvl w:ilvl="0" w:tplc="6C22F794">
      <w:start w:val="1"/>
      <w:numFmt w:val="bullet"/>
      <w:lvlText w:val="•"/>
      <w:lvlJc w:val="left"/>
      <w:pPr>
        <w:tabs>
          <w:tab w:val="num" w:pos="720"/>
        </w:tabs>
        <w:ind w:left="720" w:hanging="360"/>
      </w:pPr>
      <w:rPr>
        <w:rFonts w:ascii="Arial" w:hAnsi="Arial" w:hint="default"/>
      </w:rPr>
    </w:lvl>
    <w:lvl w:ilvl="1" w:tplc="92601134" w:tentative="1">
      <w:start w:val="1"/>
      <w:numFmt w:val="bullet"/>
      <w:lvlText w:val="•"/>
      <w:lvlJc w:val="left"/>
      <w:pPr>
        <w:tabs>
          <w:tab w:val="num" w:pos="1440"/>
        </w:tabs>
        <w:ind w:left="1440" w:hanging="360"/>
      </w:pPr>
      <w:rPr>
        <w:rFonts w:ascii="Arial" w:hAnsi="Arial" w:hint="default"/>
      </w:rPr>
    </w:lvl>
    <w:lvl w:ilvl="2" w:tplc="57A2336E" w:tentative="1">
      <w:start w:val="1"/>
      <w:numFmt w:val="bullet"/>
      <w:lvlText w:val="•"/>
      <w:lvlJc w:val="left"/>
      <w:pPr>
        <w:tabs>
          <w:tab w:val="num" w:pos="2160"/>
        </w:tabs>
        <w:ind w:left="2160" w:hanging="360"/>
      </w:pPr>
      <w:rPr>
        <w:rFonts w:ascii="Arial" w:hAnsi="Arial" w:hint="default"/>
      </w:rPr>
    </w:lvl>
    <w:lvl w:ilvl="3" w:tplc="778E22AA" w:tentative="1">
      <w:start w:val="1"/>
      <w:numFmt w:val="bullet"/>
      <w:lvlText w:val="•"/>
      <w:lvlJc w:val="left"/>
      <w:pPr>
        <w:tabs>
          <w:tab w:val="num" w:pos="2880"/>
        </w:tabs>
        <w:ind w:left="2880" w:hanging="360"/>
      </w:pPr>
      <w:rPr>
        <w:rFonts w:ascii="Arial" w:hAnsi="Arial" w:hint="default"/>
      </w:rPr>
    </w:lvl>
    <w:lvl w:ilvl="4" w:tplc="5F92D824" w:tentative="1">
      <w:start w:val="1"/>
      <w:numFmt w:val="bullet"/>
      <w:lvlText w:val="•"/>
      <w:lvlJc w:val="left"/>
      <w:pPr>
        <w:tabs>
          <w:tab w:val="num" w:pos="3600"/>
        </w:tabs>
        <w:ind w:left="3600" w:hanging="360"/>
      </w:pPr>
      <w:rPr>
        <w:rFonts w:ascii="Arial" w:hAnsi="Arial" w:hint="default"/>
      </w:rPr>
    </w:lvl>
    <w:lvl w:ilvl="5" w:tplc="6F1E583A" w:tentative="1">
      <w:start w:val="1"/>
      <w:numFmt w:val="bullet"/>
      <w:lvlText w:val="•"/>
      <w:lvlJc w:val="left"/>
      <w:pPr>
        <w:tabs>
          <w:tab w:val="num" w:pos="4320"/>
        </w:tabs>
        <w:ind w:left="4320" w:hanging="360"/>
      </w:pPr>
      <w:rPr>
        <w:rFonts w:ascii="Arial" w:hAnsi="Arial" w:hint="default"/>
      </w:rPr>
    </w:lvl>
    <w:lvl w:ilvl="6" w:tplc="25D0E7F8" w:tentative="1">
      <w:start w:val="1"/>
      <w:numFmt w:val="bullet"/>
      <w:lvlText w:val="•"/>
      <w:lvlJc w:val="left"/>
      <w:pPr>
        <w:tabs>
          <w:tab w:val="num" w:pos="5040"/>
        </w:tabs>
        <w:ind w:left="5040" w:hanging="360"/>
      </w:pPr>
      <w:rPr>
        <w:rFonts w:ascii="Arial" w:hAnsi="Arial" w:hint="default"/>
      </w:rPr>
    </w:lvl>
    <w:lvl w:ilvl="7" w:tplc="D5F6BD7E" w:tentative="1">
      <w:start w:val="1"/>
      <w:numFmt w:val="bullet"/>
      <w:lvlText w:val="•"/>
      <w:lvlJc w:val="left"/>
      <w:pPr>
        <w:tabs>
          <w:tab w:val="num" w:pos="5760"/>
        </w:tabs>
        <w:ind w:left="5760" w:hanging="360"/>
      </w:pPr>
      <w:rPr>
        <w:rFonts w:ascii="Arial" w:hAnsi="Arial" w:hint="default"/>
      </w:rPr>
    </w:lvl>
    <w:lvl w:ilvl="8" w:tplc="448AD3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8C05E6"/>
    <w:multiLevelType w:val="hybridMultilevel"/>
    <w:tmpl w:val="DFF40D62"/>
    <w:lvl w:ilvl="0" w:tplc="EA928B5E">
      <w:start w:val="1"/>
      <w:numFmt w:val="bullet"/>
      <w:lvlText w:val=""/>
      <w:lvlJc w:val="left"/>
      <w:pPr>
        <w:tabs>
          <w:tab w:val="num" w:pos="720"/>
        </w:tabs>
        <w:ind w:left="720" w:hanging="360"/>
      </w:pPr>
      <w:rPr>
        <w:rFonts w:ascii="Symbol" w:hAnsi="Symbol" w:hint="default"/>
      </w:rPr>
    </w:lvl>
    <w:lvl w:ilvl="1" w:tplc="FD52BC0A">
      <w:start w:val="567"/>
      <w:numFmt w:val="bullet"/>
      <w:lvlText w:val="−"/>
      <w:lvlJc w:val="left"/>
      <w:pPr>
        <w:tabs>
          <w:tab w:val="num" w:pos="1440"/>
        </w:tabs>
        <w:ind w:left="1440" w:hanging="360"/>
      </w:pPr>
      <w:rPr>
        <w:rFonts w:ascii="Calibre Regular" w:hAnsi="Calibre Regular" w:hint="default"/>
      </w:rPr>
    </w:lvl>
    <w:lvl w:ilvl="2" w:tplc="6868C68E">
      <w:start w:val="1"/>
      <w:numFmt w:val="bullet"/>
      <w:lvlText w:val=""/>
      <w:lvlJc w:val="left"/>
      <w:pPr>
        <w:tabs>
          <w:tab w:val="num" w:pos="2160"/>
        </w:tabs>
        <w:ind w:left="2160" w:hanging="360"/>
      </w:pPr>
      <w:rPr>
        <w:rFonts w:ascii="Symbol" w:hAnsi="Symbol" w:hint="default"/>
      </w:rPr>
    </w:lvl>
    <w:lvl w:ilvl="3" w:tplc="DA58E066">
      <w:start w:val="1"/>
      <w:numFmt w:val="bullet"/>
      <w:lvlText w:val=""/>
      <w:lvlJc w:val="left"/>
      <w:pPr>
        <w:tabs>
          <w:tab w:val="num" w:pos="2880"/>
        </w:tabs>
        <w:ind w:left="2880" w:hanging="360"/>
      </w:pPr>
      <w:rPr>
        <w:rFonts w:ascii="Symbol" w:hAnsi="Symbol" w:hint="default"/>
      </w:rPr>
    </w:lvl>
    <w:lvl w:ilvl="4" w:tplc="647EA364">
      <w:start w:val="1"/>
      <w:numFmt w:val="bullet"/>
      <w:lvlText w:val=""/>
      <w:lvlJc w:val="left"/>
      <w:pPr>
        <w:tabs>
          <w:tab w:val="num" w:pos="3600"/>
        </w:tabs>
        <w:ind w:left="3600" w:hanging="360"/>
      </w:pPr>
      <w:rPr>
        <w:rFonts w:ascii="Symbol" w:hAnsi="Symbol" w:hint="default"/>
      </w:rPr>
    </w:lvl>
    <w:lvl w:ilvl="5" w:tplc="CD526796">
      <w:start w:val="1"/>
      <w:numFmt w:val="bullet"/>
      <w:lvlText w:val=""/>
      <w:lvlJc w:val="left"/>
      <w:pPr>
        <w:tabs>
          <w:tab w:val="num" w:pos="4320"/>
        </w:tabs>
        <w:ind w:left="4320" w:hanging="360"/>
      </w:pPr>
      <w:rPr>
        <w:rFonts w:ascii="Symbol" w:hAnsi="Symbol" w:hint="default"/>
      </w:rPr>
    </w:lvl>
    <w:lvl w:ilvl="6" w:tplc="7578E96A">
      <w:start w:val="1"/>
      <w:numFmt w:val="bullet"/>
      <w:lvlText w:val=""/>
      <w:lvlJc w:val="left"/>
      <w:pPr>
        <w:tabs>
          <w:tab w:val="num" w:pos="5040"/>
        </w:tabs>
        <w:ind w:left="5040" w:hanging="360"/>
      </w:pPr>
      <w:rPr>
        <w:rFonts w:ascii="Symbol" w:hAnsi="Symbol" w:hint="default"/>
      </w:rPr>
    </w:lvl>
    <w:lvl w:ilvl="7" w:tplc="4FE2102C">
      <w:start w:val="1"/>
      <w:numFmt w:val="bullet"/>
      <w:lvlText w:val=""/>
      <w:lvlJc w:val="left"/>
      <w:pPr>
        <w:tabs>
          <w:tab w:val="num" w:pos="5760"/>
        </w:tabs>
        <w:ind w:left="5760" w:hanging="360"/>
      </w:pPr>
      <w:rPr>
        <w:rFonts w:ascii="Symbol" w:hAnsi="Symbol" w:hint="default"/>
      </w:rPr>
    </w:lvl>
    <w:lvl w:ilvl="8" w:tplc="B412B20E">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1" w15:restartNumberingAfterBreak="0">
    <w:nsid w:val="721D0220"/>
    <w:multiLevelType w:val="hybridMultilevel"/>
    <w:tmpl w:val="8E1A023A"/>
    <w:lvl w:ilvl="0" w:tplc="D0BAEB0A">
      <w:start w:val="1"/>
      <w:numFmt w:val="bullet"/>
      <w:lvlText w:val="•"/>
      <w:lvlJc w:val="left"/>
      <w:pPr>
        <w:tabs>
          <w:tab w:val="num" w:pos="720"/>
        </w:tabs>
        <w:ind w:left="720" w:hanging="360"/>
      </w:pPr>
      <w:rPr>
        <w:rFonts w:ascii="Arial" w:hAnsi="Arial" w:hint="default"/>
      </w:rPr>
    </w:lvl>
    <w:lvl w:ilvl="1" w:tplc="77FEBFB0">
      <w:start w:val="213"/>
      <w:numFmt w:val="bullet"/>
      <w:lvlText w:val="–"/>
      <w:lvlJc w:val="left"/>
      <w:pPr>
        <w:tabs>
          <w:tab w:val="num" w:pos="1440"/>
        </w:tabs>
        <w:ind w:left="1440" w:hanging="360"/>
      </w:pPr>
      <w:rPr>
        <w:rFonts w:ascii="Arial" w:hAnsi="Arial" w:hint="default"/>
      </w:rPr>
    </w:lvl>
    <w:lvl w:ilvl="2" w:tplc="6792D594" w:tentative="1">
      <w:start w:val="1"/>
      <w:numFmt w:val="bullet"/>
      <w:lvlText w:val="•"/>
      <w:lvlJc w:val="left"/>
      <w:pPr>
        <w:tabs>
          <w:tab w:val="num" w:pos="2160"/>
        </w:tabs>
        <w:ind w:left="2160" w:hanging="360"/>
      </w:pPr>
      <w:rPr>
        <w:rFonts w:ascii="Arial" w:hAnsi="Arial" w:hint="default"/>
      </w:rPr>
    </w:lvl>
    <w:lvl w:ilvl="3" w:tplc="3656EB88" w:tentative="1">
      <w:start w:val="1"/>
      <w:numFmt w:val="bullet"/>
      <w:lvlText w:val="•"/>
      <w:lvlJc w:val="left"/>
      <w:pPr>
        <w:tabs>
          <w:tab w:val="num" w:pos="2880"/>
        </w:tabs>
        <w:ind w:left="2880" w:hanging="360"/>
      </w:pPr>
      <w:rPr>
        <w:rFonts w:ascii="Arial" w:hAnsi="Arial" w:hint="default"/>
      </w:rPr>
    </w:lvl>
    <w:lvl w:ilvl="4" w:tplc="3FFE413C" w:tentative="1">
      <w:start w:val="1"/>
      <w:numFmt w:val="bullet"/>
      <w:lvlText w:val="•"/>
      <w:lvlJc w:val="left"/>
      <w:pPr>
        <w:tabs>
          <w:tab w:val="num" w:pos="3600"/>
        </w:tabs>
        <w:ind w:left="3600" w:hanging="360"/>
      </w:pPr>
      <w:rPr>
        <w:rFonts w:ascii="Arial" w:hAnsi="Arial" w:hint="default"/>
      </w:rPr>
    </w:lvl>
    <w:lvl w:ilvl="5" w:tplc="1CD4379E" w:tentative="1">
      <w:start w:val="1"/>
      <w:numFmt w:val="bullet"/>
      <w:lvlText w:val="•"/>
      <w:lvlJc w:val="left"/>
      <w:pPr>
        <w:tabs>
          <w:tab w:val="num" w:pos="4320"/>
        </w:tabs>
        <w:ind w:left="4320" w:hanging="360"/>
      </w:pPr>
      <w:rPr>
        <w:rFonts w:ascii="Arial" w:hAnsi="Arial" w:hint="default"/>
      </w:rPr>
    </w:lvl>
    <w:lvl w:ilvl="6" w:tplc="FE92EA3C" w:tentative="1">
      <w:start w:val="1"/>
      <w:numFmt w:val="bullet"/>
      <w:lvlText w:val="•"/>
      <w:lvlJc w:val="left"/>
      <w:pPr>
        <w:tabs>
          <w:tab w:val="num" w:pos="5040"/>
        </w:tabs>
        <w:ind w:left="5040" w:hanging="360"/>
      </w:pPr>
      <w:rPr>
        <w:rFonts w:ascii="Arial" w:hAnsi="Arial" w:hint="default"/>
      </w:rPr>
    </w:lvl>
    <w:lvl w:ilvl="7" w:tplc="8A847EBC" w:tentative="1">
      <w:start w:val="1"/>
      <w:numFmt w:val="bullet"/>
      <w:lvlText w:val="•"/>
      <w:lvlJc w:val="left"/>
      <w:pPr>
        <w:tabs>
          <w:tab w:val="num" w:pos="5760"/>
        </w:tabs>
        <w:ind w:left="5760" w:hanging="360"/>
      </w:pPr>
      <w:rPr>
        <w:rFonts w:ascii="Arial" w:hAnsi="Arial" w:hint="default"/>
      </w:rPr>
    </w:lvl>
    <w:lvl w:ilvl="8" w:tplc="603EAE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964161"/>
    <w:multiLevelType w:val="hybridMultilevel"/>
    <w:tmpl w:val="B9DCADA2"/>
    <w:lvl w:ilvl="0" w:tplc="92AE829A">
      <w:start w:val="1"/>
      <w:numFmt w:val="bullet"/>
      <w:lvlText w:val="•"/>
      <w:lvlJc w:val="left"/>
      <w:pPr>
        <w:tabs>
          <w:tab w:val="num" w:pos="720"/>
        </w:tabs>
        <w:ind w:left="720" w:hanging="360"/>
      </w:pPr>
      <w:rPr>
        <w:rFonts w:ascii="Arial" w:hAnsi="Arial" w:hint="default"/>
      </w:rPr>
    </w:lvl>
    <w:lvl w:ilvl="1" w:tplc="DB4CA190" w:tentative="1">
      <w:start w:val="1"/>
      <w:numFmt w:val="bullet"/>
      <w:lvlText w:val="•"/>
      <w:lvlJc w:val="left"/>
      <w:pPr>
        <w:tabs>
          <w:tab w:val="num" w:pos="1440"/>
        </w:tabs>
        <w:ind w:left="1440" w:hanging="360"/>
      </w:pPr>
      <w:rPr>
        <w:rFonts w:ascii="Arial" w:hAnsi="Arial" w:hint="default"/>
      </w:rPr>
    </w:lvl>
    <w:lvl w:ilvl="2" w:tplc="B8D65A8E" w:tentative="1">
      <w:start w:val="1"/>
      <w:numFmt w:val="bullet"/>
      <w:lvlText w:val="•"/>
      <w:lvlJc w:val="left"/>
      <w:pPr>
        <w:tabs>
          <w:tab w:val="num" w:pos="2160"/>
        </w:tabs>
        <w:ind w:left="2160" w:hanging="360"/>
      </w:pPr>
      <w:rPr>
        <w:rFonts w:ascii="Arial" w:hAnsi="Arial" w:hint="default"/>
      </w:rPr>
    </w:lvl>
    <w:lvl w:ilvl="3" w:tplc="92CE776A" w:tentative="1">
      <w:start w:val="1"/>
      <w:numFmt w:val="bullet"/>
      <w:lvlText w:val="•"/>
      <w:lvlJc w:val="left"/>
      <w:pPr>
        <w:tabs>
          <w:tab w:val="num" w:pos="2880"/>
        </w:tabs>
        <w:ind w:left="2880" w:hanging="360"/>
      </w:pPr>
      <w:rPr>
        <w:rFonts w:ascii="Arial" w:hAnsi="Arial" w:hint="default"/>
      </w:rPr>
    </w:lvl>
    <w:lvl w:ilvl="4" w:tplc="870088D0" w:tentative="1">
      <w:start w:val="1"/>
      <w:numFmt w:val="bullet"/>
      <w:lvlText w:val="•"/>
      <w:lvlJc w:val="left"/>
      <w:pPr>
        <w:tabs>
          <w:tab w:val="num" w:pos="3600"/>
        </w:tabs>
        <w:ind w:left="3600" w:hanging="360"/>
      </w:pPr>
      <w:rPr>
        <w:rFonts w:ascii="Arial" w:hAnsi="Arial" w:hint="default"/>
      </w:rPr>
    </w:lvl>
    <w:lvl w:ilvl="5" w:tplc="0EE6D850" w:tentative="1">
      <w:start w:val="1"/>
      <w:numFmt w:val="bullet"/>
      <w:lvlText w:val="•"/>
      <w:lvlJc w:val="left"/>
      <w:pPr>
        <w:tabs>
          <w:tab w:val="num" w:pos="4320"/>
        </w:tabs>
        <w:ind w:left="4320" w:hanging="360"/>
      </w:pPr>
      <w:rPr>
        <w:rFonts w:ascii="Arial" w:hAnsi="Arial" w:hint="default"/>
      </w:rPr>
    </w:lvl>
    <w:lvl w:ilvl="6" w:tplc="2806FC4C" w:tentative="1">
      <w:start w:val="1"/>
      <w:numFmt w:val="bullet"/>
      <w:lvlText w:val="•"/>
      <w:lvlJc w:val="left"/>
      <w:pPr>
        <w:tabs>
          <w:tab w:val="num" w:pos="5040"/>
        </w:tabs>
        <w:ind w:left="5040" w:hanging="360"/>
      </w:pPr>
      <w:rPr>
        <w:rFonts w:ascii="Arial" w:hAnsi="Arial" w:hint="default"/>
      </w:rPr>
    </w:lvl>
    <w:lvl w:ilvl="7" w:tplc="ADF4EB48" w:tentative="1">
      <w:start w:val="1"/>
      <w:numFmt w:val="bullet"/>
      <w:lvlText w:val="•"/>
      <w:lvlJc w:val="left"/>
      <w:pPr>
        <w:tabs>
          <w:tab w:val="num" w:pos="5760"/>
        </w:tabs>
        <w:ind w:left="5760" w:hanging="360"/>
      </w:pPr>
      <w:rPr>
        <w:rFonts w:ascii="Arial" w:hAnsi="Arial" w:hint="default"/>
      </w:rPr>
    </w:lvl>
    <w:lvl w:ilvl="8" w:tplc="CB2C02F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num>
  <w:num w:numId="3">
    <w:abstractNumId w:val="12"/>
    <w:lvlOverride w:ilvl="0">
      <w:startOverride w:val="1"/>
    </w:lvlOverride>
  </w:num>
  <w:num w:numId="4">
    <w:abstractNumId w:val="20"/>
    <w:lvlOverride w:ilvl="0">
      <w:startOverride w:val="1"/>
    </w:lvlOverride>
  </w:num>
  <w:num w:numId="5">
    <w:abstractNumId w:val="17"/>
  </w:num>
  <w:num w:numId="6">
    <w:abstractNumId w:val="5"/>
  </w:num>
  <w:num w:numId="7">
    <w:abstractNumId w:val="16"/>
  </w:num>
  <w:num w:numId="8">
    <w:abstractNumId w:val="4"/>
  </w:num>
  <w:num w:numId="9">
    <w:abstractNumId w:val="14"/>
  </w:num>
  <w:num w:numId="10">
    <w:abstractNumId w:val="15"/>
  </w:num>
  <w:num w:numId="11">
    <w:abstractNumId w:val="8"/>
  </w:num>
  <w:num w:numId="12">
    <w:abstractNumId w:val="1"/>
  </w:num>
  <w:num w:numId="13">
    <w:abstractNumId w:val="3"/>
  </w:num>
  <w:num w:numId="14">
    <w:abstractNumId w:val="21"/>
  </w:num>
  <w:num w:numId="15">
    <w:abstractNumId w:val="13"/>
  </w:num>
  <w:num w:numId="16">
    <w:abstractNumId w:val="18"/>
  </w:num>
  <w:num w:numId="17">
    <w:abstractNumId w:val="22"/>
  </w:num>
  <w:num w:numId="18">
    <w:abstractNumId w:val="9"/>
  </w:num>
  <w:num w:numId="19">
    <w:abstractNumId w:val="19"/>
  </w:num>
  <w:num w:numId="20">
    <w:abstractNumId w:val="6"/>
  </w:num>
  <w:num w:numId="21">
    <w:abstractNumId w:val="11"/>
  </w:num>
  <w:num w:numId="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783"/>
    <w:rsid w:val="00002A8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8A5"/>
    <w:rsid w:val="0003698E"/>
    <w:rsid w:val="00036C45"/>
    <w:rsid w:val="00036FA7"/>
    <w:rsid w:val="000370B4"/>
    <w:rsid w:val="0003723F"/>
    <w:rsid w:val="000377E3"/>
    <w:rsid w:val="00037A21"/>
    <w:rsid w:val="00037C2D"/>
    <w:rsid w:val="000402B6"/>
    <w:rsid w:val="000404F2"/>
    <w:rsid w:val="0004074F"/>
    <w:rsid w:val="00040AAD"/>
    <w:rsid w:val="00040C15"/>
    <w:rsid w:val="000413B8"/>
    <w:rsid w:val="000416DE"/>
    <w:rsid w:val="0004182E"/>
    <w:rsid w:val="000418C8"/>
    <w:rsid w:val="0004198E"/>
    <w:rsid w:val="00041D52"/>
    <w:rsid w:val="00041EC3"/>
    <w:rsid w:val="0004216B"/>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1A6"/>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B79"/>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16F"/>
    <w:rsid w:val="000C5759"/>
    <w:rsid w:val="000C57D5"/>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944"/>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838"/>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A67"/>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CB8"/>
    <w:rsid w:val="001F2E08"/>
    <w:rsid w:val="001F3183"/>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3E16"/>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237"/>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A57"/>
    <w:rsid w:val="002A1DA1"/>
    <w:rsid w:val="002A205B"/>
    <w:rsid w:val="002A2FB8"/>
    <w:rsid w:val="002A31FF"/>
    <w:rsid w:val="002A3668"/>
    <w:rsid w:val="002A3771"/>
    <w:rsid w:val="002A37C5"/>
    <w:rsid w:val="002A3AFD"/>
    <w:rsid w:val="002A3B12"/>
    <w:rsid w:val="002A4102"/>
    <w:rsid w:val="002A4918"/>
    <w:rsid w:val="002A4B7D"/>
    <w:rsid w:val="002A4BC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0F8"/>
    <w:rsid w:val="002C61E0"/>
    <w:rsid w:val="002C640C"/>
    <w:rsid w:val="002C64DE"/>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362F"/>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BDD"/>
    <w:rsid w:val="002E5C56"/>
    <w:rsid w:val="002E5D86"/>
    <w:rsid w:val="002E5DD7"/>
    <w:rsid w:val="002E5E3C"/>
    <w:rsid w:val="002E6809"/>
    <w:rsid w:val="002E76E8"/>
    <w:rsid w:val="002F0045"/>
    <w:rsid w:val="002F00F0"/>
    <w:rsid w:val="002F025B"/>
    <w:rsid w:val="002F03F1"/>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418"/>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6E5"/>
    <w:rsid w:val="003308C4"/>
    <w:rsid w:val="00330A8F"/>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6D2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234"/>
    <w:rsid w:val="003604DB"/>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AB3"/>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5B4"/>
    <w:rsid w:val="004548E5"/>
    <w:rsid w:val="00454ACD"/>
    <w:rsid w:val="00454F08"/>
    <w:rsid w:val="00454F85"/>
    <w:rsid w:val="00455105"/>
    <w:rsid w:val="00455E20"/>
    <w:rsid w:val="00456114"/>
    <w:rsid w:val="0045623E"/>
    <w:rsid w:val="00456971"/>
    <w:rsid w:val="00456AC7"/>
    <w:rsid w:val="00456F9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1DA8"/>
    <w:rsid w:val="004622A1"/>
    <w:rsid w:val="004622D0"/>
    <w:rsid w:val="00462420"/>
    <w:rsid w:val="0046260A"/>
    <w:rsid w:val="00462B09"/>
    <w:rsid w:val="00462B31"/>
    <w:rsid w:val="00463337"/>
    <w:rsid w:val="00463448"/>
    <w:rsid w:val="004636FA"/>
    <w:rsid w:val="00463B2F"/>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9D"/>
    <w:rsid w:val="004E6CEA"/>
    <w:rsid w:val="004E6F18"/>
    <w:rsid w:val="004E76A5"/>
    <w:rsid w:val="004E775B"/>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1F60"/>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801"/>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46F"/>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046"/>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8E"/>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3F26"/>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3E96"/>
    <w:rsid w:val="0063405E"/>
    <w:rsid w:val="006341AD"/>
    <w:rsid w:val="006346F1"/>
    <w:rsid w:val="006347F5"/>
    <w:rsid w:val="006353D0"/>
    <w:rsid w:val="00635B6C"/>
    <w:rsid w:val="00635EDC"/>
    <w:rsid w:val="00635F56"/>
    <w:rsid w:val="00636094"/>
    <w:rsid w:val="0063633A"/>
    <w:rsid w:val="0063650D"/>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54D4"/>
    <w:rsid w:val="00675652"/>
    <w:rsid w:val="006758E5"/>
    <w:rsid w:val="00675E2A"/>
    <w:rsid w:val="00675ECB"/>
    <w:rsid w:val="00675F5B"/>
    <w:rsid w:val="0067649C"/>
    <w:rsid w:val="006767B8"/>
    <w:rsid w:val="00677725"/>
    <w:rsid w:val="00677ABF"/>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88F"/>
    <w:rsid w:val="006C6E92"/>
    <w:rsid w:val="006C75C9"/>
    <w:rsid w:val="006C7CAC"/>
    <w:rsid w:val="006C7FB9"/>
    <w:rsid w:val="006D0272"/>
    <w:rsid w:val="006D0846"/>
    <w:rsid w:val="006D0C09"/>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07CD0"/>
    <w:rsid w:val="007101EE"/>
    <w:rsid w:val="00710450"/>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E0B"/>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19E"/>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7F3"/>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44E"/>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D"/>
    <w:rsid w:val="0081433F"/>
    <w:rsid w:val="00814500"/>
    <w:rsid w:val="00814B38"/>
    <w:rsid w:val="00814B65"/>
    <w:rsid w:val="00814BD6"/>
    <w:rsid w:val="00814D2B"/>
    <w:rsid w:val="0081529F"/>
    <w:rsid w:val="00815377"/>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DA"/>
    <w:rsid w:val="00846106"/>
    <w:rsid w:val="00846467"/>
    <w:rsid w:val="00846661"/>
    <w:rsid w:val="00846810"/>
    <w:rsid w:val="00846AC4"/>
    <w:rsid w:val="00846C77"/>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482"/>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E48"/>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70"/>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7CA"/>
    <w:rsid w:val="008B4A4A"/>
    <w:rsid w:val="008B4B0D"/>
    <w:rsid w:val="008B4B33"/>
    <w:rsid w:val="008B5448"/>
    <w:rsid w:val="008B5577"/>
    <w:rsid w:val="008B55E7"/>
    <w:rsid w:val="008B60ED"/>
    <w:rsid w:val="008B66CB"/>
    <w:rsid w:val="008B6D24"/>
    <w:rsid w:val="008B6E5C"/>
    <w:rsid w:val="008B712B"/>
    <w:rsid w:val="008C1161"/>
    <w:rsid w:val="008C2236"/>
    <w:rsid w:val="008C2426"/>
    <w:rsid w:val="008C2453"/>
    <w:rsid w:val="008C26B4"/>
    <w:rsid w:val="008C27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5B6E"/>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A60"/>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562"/>
    <w:rsid w:val="0097281F"/>
    <w:rsid w:val="0097298A"/>
    <w:rsid w:val="00972BB7"/>
    <w:rsid w:val="00972C06"/>
    <w:rsid w:val="00972F4C"/>
    <w:rsid w:val="00972FEB"/>
    <w:rsid w:val="00973101"/>
    <w:rsid w:val="0097313B"/>
    <w:rsid w:val="00973257"/>
    <w:rsid w:val="00973316"/>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5C5"/>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687"/>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281C"/>
    <w:rsid w:val="009C2AB0"/>
    <w:rsid w:val="009C32C6"/>
    <w:rsid w:val="009C3D88"/>
    <w:rsid w:val="009C42A3"/>
    <w:rsid w:val="009C4894"/>
    <w:rsid w:val="009C4B76"/>
    <w:rsid w:val="009C4D7E"/>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0BE8"/>
    <w:rsid w:val="00A01006"/>
    <w:rsid w:val="00A01EFE"/>
    <w:rsid w:val="00A02B26"/>
    <w:rsid w:val="00A02BEC"/>
    <w:rsid w:val="00A02C96"/>
    <w:rsid w:val="00A02D52"/>
    <w:rsid w:val="00A02FBC"/>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4B7"/>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DA0"/>
    <w:rsid w:val="00A35A0B"/>
    <w:rsid w:val="00A35BD0"/>
    <w:rsid w:val="00A362CB"/>
    <w:rsid w:val="00A3747D"/>
    <w:rsid w:val="00A375E2"/>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47C2A"/>
    <w:rsid w:val="00A5044D"/>
    <w:rsid w:val="00A50B00"/>
    <w:rsid w:val="00A50D49"/>
    <w:rsid w:val="00A511FB"/>
    <w:rsid w:val="00A514EB"/>
    <w:rsid w:val="00A521E0"/>
    <w:rsid w:val="00A52448"/>
    <w:rsid w:val="00A524C8"/>
    <w:rsid w:val="00A5291D"/>
    <w:rsid w:val="00A52DC6"/>
    <w:rsid w:val="00A52EDB"/>
    <w:rsid w:val="00A530C2"/>
    <w:rsid w:val="00A535B6"/>
    <w:rsid w:val="00A5399E"/>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57"/>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6FF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5B62"/>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3F5"/>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27F1F"/>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E2"/>
    <w:rsid w:val="00B91356"/>
    <w:rsid w:val="00B91E9D"/>
    <w:rsid w:val="00B922C4"/>
    <w:rsid w:val="00B926E0"/>
    <w:rsid w:val="00B92AD4"/>
    <w:rsid w:val="00B92BF1"/>
    <w:rsid w:val="00B932E1"/>
    <w:rsid w:val="00B9335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3F27"/>
    <w:rsid w:val="00BC43F0"/>
    <w:rsid w:val="00BC4B9C"/>
    <w:rsid w:val="00BC5181"/>
    <w:rsid w:val="00BC56C1"/>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702"/>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40A"/>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C21"/>
    <w:rsid w:val="00C10F46"/>
    <w:rsid w:val="00C1114F"/>
    <w:rsid w:val="00C11183"/>
    <w:rsid w:val="00C11197"/>
    <w:rsid w:val="00C1157C"/>
    <w:rsid w:val="00C119DD"/>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3EF4"/>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503"/>
    <w:rsid w:val="00C367B9"/>
    <w:rsid w:val="00C36DAD"/>
    <w:rsid w:val="00C37050"/>
    <w:rsid w:val="00C37F8D"/>
    <w:rsid w:val="00C4018E"/>
    <w:rsid w:val="00C404D5"/>
    <w:rsid w:val="00C40850"/>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36E"/>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45DD"/>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596"/>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F5E"/>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0773"/>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2EC"/>
    <w:rsid w:val="00DA0D04"/>
    <w:rsid w:val="00DA0FC0"/>
    <w:rsid w:val="00DA0FE7"/>
    <w:rsid w:val="00DA10F6"/>
    <w:rsid w:val="00DA1131"/>
    <w:rsid w:val="00DA1D80"/>
    <w:rsid w:val="00DA2046"/>
    <w:rsid w:val="00DA2185"/>
    <w:rsid w:val="00DA23D2"/>
    <w:rsid w:val="00DA2420"/>
    <w:rsid w:val="00DA27CD"/>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952"/>
    <w:rsid w:val="00DB39DE"/>
    <w:rsid w:val="00DB3D0B"/>
    <w:rsid w:val="00DB3D52"/>
    <w:rsid w:val="00DB42C3"/>
    <w:rsid w:val="00DB4322"/>
    <w:rsid w:val="00DB4497"/>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7FB"/>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274FD"/>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131"/>
    <w:rsid w:val="00E35698"/>
    <w:rsid w:val="00E35AC2"/>
    <w:rsid w:val="00E35EB9"/>
    <w:rsid w:val="00E35F47"/>
    <w:rsid w:val="00E3610B"/>
    <w:rsid w:val="00E363B9"/>
    <w:rsid w:val="00E36AED"/>
    <w:rsid w:val="00E36D76"/>
    <w:rsid w:val="00E377BF"/>
    <w:rsid w:val="00E37C25"/>
    <w:rsid w:val="00E40362"/>
    <w:rsid w:val="00E41017"/>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53B"/>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BF5"/>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1FBF"/>
    <w:rsid w:val="00EE24B7"/>
    <w:rsid w:val="00EE2AAB"/>
    <w:rsid w:val="00EE3196"/>
    <w:rsid w:val="00EE3203"/>
    <w:rsid w:val="00EE3318"/>
    <w:rsid w:val="00EE33A6"/>
    <w:rsid w:val="00EE3B3B"/>
    <w:rsid w:val="00EE3DCB"/>
    <w:rsid w:val="00EE3E0A"/>
    <w:rsid w:val="00EE418F"/>
    <w:rsid w:val="00EE4825"/>
    <w:rsid w:val="00EE4958"/>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8B8"/>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82C"/>
    <w:rsid w:val="00F40974"/>
    <w:rsid w:val="00F41D1F"/>
    <w:rsid w:val="00F42910"/>
    <w:rsid w:val="00F42C2B"/>
    <w:rsid w:val="00F431C7"/>
    <w:rsid w:val="00F44833"/>
    <w:rsid w:val="00F44CB0"/>
    <w:rsid w:val="00F45B82"/>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65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F2CB8"/>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F2CB8"/>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E41017"/>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41017"/>
    <w:rPr>
      <w:rFonts w:ascii="Times New Roman" w:hAnsi="Times New Roman"/>
      <w:sz w:val="24"/>
    </w:rPr>
  </w:style>
  <w:style w:type="paragraph" w:customStyle="1" w:styleId="bullet2">
    <w:name w:val="bullet2"/>
    <w:basedOn w:val="text"/>
    <w:qFormat/>
    <w:rsid w:val="00E41017"/>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41017"/>
    <w:rPr>
      <w:rFonts w:ascii="Calibri" w:hAnsi="Calibri"/>
      <w:kern w:val="2"/>
      <w:sz w:val="24"/>
      <w:szCs w:val="24"/>
      <w:lang w:val="en-GB"/>
    </w:rPr>
  </w:style>
  <w:style w:type="paragraph" w:customStyle="1" w:styleId="bullet3">
    <w:name w:val="bullet3"/>
    <w:basedOn w:val="text"/>
    <w:qFormat/>
    <w:rsid w:val="00E41017"/>
    <w:pPr>
      <w:numPr>
        <w:ilvl w:val="2"/>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E41017"/>
    <w:pPr>
      <w:numPr>
        <w:ilvl w:val="3"/>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1Zchn">
    <w:name w:val="B1 Zchn"/>
    <w:link w:val="B1"/>
    <w:rsid w:val="002932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677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933327">
      <w:bodyDiv w:val="1"/>
      <w:marLeft w:val="0"/>
      <w:marRight w:val="0"/>
      <w:marTop w:val="0"/>
      <w:marBottom w:val="0"/>
      <w:divBdr>
        <w:top w:val="none" w:sz="0" w:space="0" w:color="auto"/>
        <w:left w:val="none" w:sz="0" w:space="0" w:color="auto"/>
        <w:bottom w:val="none" w:sz="0" w:space="0" w:color="auto"/>
        <w:right w:val="none" w:sz="0" w:space="0" w:color="auto"/>
      </w:divBdr>
      <w:divsChild>
        <w:div w:id="1981223690">
          <w:marLeft w:val="1210"/>
          <w:marRight w:val="0"/>
          <w:marTop w:val="58"/>
          <w:marBottom w:val="0"/>
          <w:divBdr>
            <w:top w:val="none" w:sz="0" w:space="0" w:color="auto"/>
            <w:left w:val="none" w:sz="0" w:space="0" w:color="auto"/>
            <w:bottom w:val="none" w:sz="0" w:space="0" w:color="auto"/>
            <w:right w:val="none" w:sz="0" w:space="0" w:color="auto"/>
          </w:divBdr>
        </w:div>
        <w:div w:id="1041829946">
          <w:marLeft w:val="1555"/>
          <w:marRight w:val="0"/>
          <w:marTop w:val="58"/>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71480692">
      <w:bodyDiv w:val="1"/>
      <w:marLeft w:val="0"/>
      <w:marRight w:val="0"/>
      <w:marTop w:val="0"/>
      <w:marBottom w:val="0"/>
      <w:divBdr>
        <w:top w:val="none" w:sz="0" w:space="0" w:color="auto"/>
        <w:left w:val="none" w:sz="0" w:space="0" w:color="auto"/>
        <w:bottom w:val="none" w:sz="0" w:space="0" w:color="auto"/>
        <w:right w:val="none" w:sz="0" w:space="0" w:color="auto"/>
      </w:divBdr>
      <w:divsChild>
        <w:div w:id="290064658">
          <w:marLeft w:val="547"/>
          <w:marRight w:val="0"/>
          <w:marTop w:val="82"/>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64942379">
      <w:bodyDiv w:val="1"/>
      <w:marLeft w:val="0"/>
      <w:marRight w:val="0"/>
      <w:marTop w:val="0"/>
      <w:marBottom w:val="0"/>
      <w:divBdr>
        <w:top w:val="none" w:sz="0" w:space="0" w:color="auto"/>
        <w:left w:val="none" w:sz="0" w:space="0" w:color="auto"/>
        <w:bottom w:val="none" w:sz="0" w:space="0" w:color="auto"/>
        <w:right w:val="none" w:sz="0" w:space="0" w:color="auto"/>
      </w:divBdr>
      <w:divsChild>
        <w:div w:id="1617132310">
          <w:marLeft w:val="547"/>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227755">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643023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01374">
      <w:bodyDiv w:val="1"/>
      <w:marLeft w:val="0"/>
      <w:marRight w:val="0"/>
      <w:marTop w:val="0"/>
      <w:marBottom w:val="0"/>
      <w:divBdr>
        <w:top w:val="none" w:sz="0" w:space="0" w:color="auto"/>
        <w:left w:val="none" w:sz="0" w:space="0" w:color="auto"/>
        <w:bottom w:val="none" w:sz="0" w:space="0" w:color="auto"/>
        <w:right w:val="none" w:sz="0" w:space="0" w:color="auto"/>
      </w:divBdr>
      <w:divsChild>
        <w:div w:id="798567013">
          <w:marLeft w:val="878"/>
          <w:marRight w:val="0"/>
          <w:marTop w:val="58"/>
          <w:marBottom w:val="0"/>
          <w:divBdr>
            <w:top w:val="none" w:sz="0" w:space="0" w:color="auto"/>
            <w:left w:val="none" w:sz="0" w:space="0" w:color="auto"/>
            <w:bottom w:val="none" w:sz="0" w:space="0" w:color="auto"/>
            <w:right w:val="none" w:sz="0" w:space="0" w:color="auto"/>
          </w:divBdr>
        </w:div>
        <w:div w:id="742989399">
          <w:marLeft w:val="1210"/>
          <w:marRight w:val="0"/>
          <w:marTop w:val="58"/>
          <w:marBottom w:val="0"/>
          <w:divBdr>
            <w:top w:val="none" w:sz="0" w:space="0" w:color="auto"/>
            <w:left w:val="none" w:sz="0" w:space="0" w:color="auto"/>
            <w:bottom w:val="none" w:sz="0" w:space="0" w:color="auto"/>
            <w:right w:val="none" w:sz="0" w:space="0" w:color="auto"/>
          </w:divBdr>
        </w:div>
        <w:div w:id="1717851848">
          <w:marLeft w:val="1555"/>
          <w:marRight w:val="0"/>
          <w:marTop w:val="58"/>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744792779">
      <w:bodyDiv w:val="1"/>
      <w:marLeft w:val="0"/>
      <w:marRight w:val="0"/>
      <w:marTop w:val="0"/>
      <w:marBottom w:val="0"/>
      <w:divBdr>
        <w:top w:val="none" w:sz="0" w:space="0" w:color="auto"/>
        <w:left w:val="none" w:sz="0" w:space="0" w:color="auto"/>
        <w:bottom w:val="none" w:sz="0" w:space="0" w:color="auto"/>
        <w:right w:val="none" w:sz="0" w:space="0" w:color="auto"/>
      </w:divBdr>
    </w:div>
    <w:div w:id="1746758413">
      <w:bodyDiv w:val="1"/>
      <w:marLeft w:val="0"/>
      <w:marRight w:val="0"/>
      <w:marTop w:val="0"/>
      <w:marBottom w:val="0"/>
      <w:divBdr>
        <w:top w:val="none" w:sz="0" w:space="0" w:color="auto"/>
        <w:left w:val="none" w:sz="0" w:space="0" w:color="auto"/>
        <w:bottom w:val="none" w:sz="0" w:space="0" w:color="auto"/>
        <w:right w:val="none" w:sz="0" w:space="0" w:color="auto"/>
      </w:divBdr>
      <w:divsChild>
        <w:div w:id="470563236">
          <w:marLeft w:val="547"/>
          <w:marRight w:val="0"/>
          <w:marTop w:val="82"/>
          <w:marBottom w:val="0"/>
          <w:divBdr>
            <w:top w:val="none" w:sz="0" w:space="0" w:color="auto"/>
            <w:left w:val="none" w:sz="0" w:space="0" w:color="auto"/>
            <w:bottom w:val="none" w:sz="0" w:space="0" w:color="auto"/>
            <w:right w:val="none" w:sz="0" w:space="0" w:color="auto"/>
          </w:divBdr>
        </w:div>
        <w:div w:id="1400639321">
          <w:marLeft w:val="547"/>
          <w:marRight w:val="0"/>
          <w:marTop w:val="82"/>
          <w:marBottom w:val="0"/>
          <w:divBdr>
            <w:top w:val="none" w:sz="0" w:space="0" w:color="auto"/>
            <w:left w:val="none" w:sz="0" w:space="0" w:color="auto"/>
            <w:bottom w:val="none" w:sz="0" w:space="0" w:color="auto"/>
            <w:right w:val="none" w:sz="0" w:space="0" w:color="auto"/>
          </w:divBdr>
        </w:div>
      </w:divsChild>
    </w:div>
    <w:div w:id="1803696661">
      <w:bodyDiv w:val="1"/>
      <w:marLeft w:val="0"/>
      <w:marRight w:val="0"/>
      <w:marTop w:val="0"/>
      <w:marBottom w:val="0"/>
      <w:divBdr>
        <w:top w:val="none" w:sz="0" w:space="0" w:color="auto"/>
        <w:left w:val="none" w:sz="0" w:space="0" w:color="auto"/>
        <w:bottom w:val="none" w:sz="0" w:space="0" w:color="auto"/>
        <w:right w:val="none" w:sz="0" w:space="0" w:color="auto"/>
      </w:divBdr>
      <w:divsChild>
        <w:div w:id="1596817093">
          <w:marLeft w:val="547"/>
          <w:marRight w:val="0"/>
          <w:marTop w:val="82"/>
          <w:marBottom w:val="0"/>
          <w:divBdr>
            <w:top w:val="none" w:sz="0" w:space="0" w:color="auto"/>
            <w:left w:val="none" w:sz="0" w:space="0" w:color="auto"/>
            <w:bottom w:val="none" w:sz="0" w:space="0" w:color="auto"/>
            <w:right w:val="none" w:sz="0" w:space="0" w:color="auto"/>
          </w:divBdr>
        </w:div>
        <w:div w:id="1528366764">
          <w:marLeft w:val="1166"/>
          <w:marRight w:val="0"/>
          <w:marTop w:val="82"/>
          <w:marBottom w:val="0"/>
          <w:divBdr>
            <w:top w:val="none" w:sz="0" w:space="0" w:color="auto"/>
            <w:left w:val="none" w:sz="0" w:space="0" w:color="auto"/>
            <w:bottom w:val="none" w:sz="0" w:space="0" w:color="auto"/>
            <w:right w:val="none" w:sz="0" w:space="0" w:color="auto"/>
          </w:divBdr>
        </w:div>
        <w:div w:id="1157573028">
          <w:marLeft w:val="1166"/>
          <w:marRight w:val="0"/>
          <w:marTop w:val="82"/>
          <w:marBottom w:val="0"/>
          <w:divBdr>
            <w:top w:val="none" w:sz="0" w:space="0" w:color="auto"/>
            <w:left w:val="none" w:sz="0" w:space="0" w:color="auto"/>
            <w:bottom w:val="none" w:sz="0" w:space="0" w:color="auto"/>
            <w:right w:val="none" w:sz="0" w:space="0" w:color="auto"/>
          </w:divBdr>
        </w:div>
        <w:div w:id="1022628664">
          <w:marLeft w:val="1166"/>
          <w:marRight w:val="0"/>
          <w:marTop w:val="82"/>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27749755">
      <w:bodyDiv w:val="1"/>
      <w:marLeft w:val="0"/>
      <w:marRight w:val="0"/>
      <w:marTop w:val="0"/>
      <w:marBottom w:val="0"/>
      <w:divBdr>
        <w:top w:val="none" w:sz="0" w:space="0" w:color="auto"/>
        <w:left w:val="none" w:sz="0" w:space="0" w:color="auto"/>
        <w:bottom w:val="none" w:sz="0" w:space="0" w:color="auto"/>
        <w:right w:val="none" w:sz="0" w:space="0" w:color="auto"/>
      </w:divBdr>
      <w:divsChild>
        <w:div w:id="1855923352">
          <w:marLeft w:val="878"/>
          <w:marRight w:val="0"/>
          <w:marTop w:val="67"/>
          <w:marBottom w:val="0"/>
          <w:divBdr>
            <w:top w:val="none" w:sz="0" w:space="0" w:color="auto"/>
            <w:left w:val="none" w:sz="0" w:space="0" w:color="auto"/>
            <w:bottom w:val="none" w:sz="0" w:space="0" w:color="auto"/>
            <w:right w:val="none" w:sz="0" w:space="0" w:color="auto"/>
          </w:divBdr>
        </w:div>
        <w:div w:id="863254390">
          <w:marLeft w:val="1210"/>
          <w:marRight w:val="0"/>
          <w:marTop w:val="58"/>
          <w:marBottom w:val="0"/>
          <w:divBdr>
            <w:top w:val="none" w:sz="0" w:space="0" w:color="auto"/>
            <w:left w:val="none" w:sz="0" w:space="0" w:color="auto"/>
            <w:bottom w:val="none" w:sz="0" w:space="0" w:color="auto"/>
            <w:right w:val="none" w:sz="0" w:space="0" w:color="auto"/>
          </w:divBdr>
        </w:div>
        <w:div w:id="239483247">
          <w:marLeft w:val="1210"/>
          <w:marRight w:val="0"/>
          <w:marTop w:val="58"/>
          <w:marBottom w:val="0"/>
          <w:divBdr>
            <w:top w:val="none" w:sz="0" w:space="0" w:color="auto"/>
            <w:left w:val="none" w:sz="0" w:space="0" w:color="auto"/>
            <w:bottom w:val="none" w:sz="0" w:space="0" w:color="auto"/>
            <w:right w:val="none" w:sz="0" w:space="0" w:color="auto"/>
          </w:divBdr>
        </w:div>
      </w:divsChild>
    </w:div>
    <w:div w:id="2063671862">
      <w:bodyDiv w:val="1"/>
      <w:marLeft w:val="0"/>
      <w:marRight w:val="0"/>
      <w:marTop w:val="0"/>
      <w:marBottom w:val="0"/>
      <w:divBdr>
        <w:top w:val="none" w:sz="0" w:space="0" w:color="auto"/>
        <w:left w:val="none" w:sz="0" w:space="0" w:color="auto"/>
        <w:bottom w:val="none" w:sz="0" w:space="0" w:color="auto"/>
        <w:right w:val="none" w:sz="0" w:space="0" w:color="auto"/>
      </w:divBdr>
      <w:divsChild>
        <w:div w:id="1542130950">
          <w:marLeft w:val="878"/>
          <w:marRight w:val="0"/>
          <w:marTop w:val="67"/>
          <w:marBottom w:val="0"/>
          <w:divBdr>
            <w:top w:val="none" w:sz="0" w:space="0" w:color="auto"/>
            <w:left w:val="none" w:sz="0" w:space="0" w:color="auto"/>
            <w:bottom w:val="none" w:sz="0" w:space="0" w:color="auto"/>
            <w:right w:val="none" w:sz="0" w:space="0" w:color="auto"/>
          </w:divBdr>
        </w:div>
        <w:div w:id="1164970465">
          <w:marLeft w:val="1210"/>
          <w:marRight w:val="0"/>
          <w:marTop w:val="58"/>
          <w:marBottom w:val="0"/>
          <w:divBdr>
            <w:top w:val="none" w:sz="0" w:space="0" w:color="auto"/>
            <w:left w:val="none" w:sz="0" w:space="0" w:color="auto"/>
            <w:bottom w:val="none" w:sz="0" w:space="0" w:color="auto"/>
            <w:right w:val="none" w:sz="0" w:space="0" w:color="auto"/>
          </w:divBdr>
        </w:div>
        <w:div w:id="1884512139">
          <w:marLeft w:val="121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HR33RHYHUWRF-4-6680</_dlc_DocId>
    <_dlc_DocIdUrl xmlns="c06861ca-3f08-4d07-bff7-bb15bac121f4">
      <Url>https://projects.qualcomm.com/sites/pentari/_layouts/15/DocIdRedir.aspx?ID=HR33RHYHUWRF-4-6680</Url>
      <Description>HR33RHYHUWRF-4-6680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F9A84C55-9DA6-4100-9D05-EB88D4270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3</Pages>
  <Words>1536</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Qualcomm</cp:lastModifiedBy>
  <cp:revision>52</cp:revision>
  <cp:lastPrinted>2017-01-02T07:16:00Z</cp:lastPrinted>
  <dcterms:created xsi:type="dcterms:W3CDTF">2017-11-18T03:50:00Z</dcterms:created>
  <dcterms:modified xsi:type="dcterms:W3CDTF">2018-04-06T23:39:00Z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8b80a5b2-b460-4754-aea6-f02fa53e08bb</vt:lpwstr>
  </property>
</Properties>
</file>