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B8EA0" w14:textId="0D4A5B6E" w:rsidR="000D39A5" w:rsidRPr="0006709D" w:rsidRDefault="000D39A5" w:rsidP="000D39A5">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R1-18</w:t>
      </w:r>
      <w:r w:rsidR="00B73B51">
        <w:rPr>
          <w:rFonts w:ascii="Arial" w:hAnsi="Arial" w:cs="Arial"/>
          <w:b/>
          <w:bCs/>
          <w:sz w:val="24"/>
          <w:szCs w:val="24"/>
        </w:rPr>
        <w:t>04794</w:t>
      </w:r>
    </w:p>
    <w:p w14:paraId="7EEB5894" w14:textId="77777777" w:rsidR="000D39A5" w:rsidRPr="0006709D" w:rsidRDefault="000D39A5" w:rsidP="000D39A5">
      <w:pPr>
        <w:spacing w:after="0"/>
        <w:jc w:val="both"/>
        <w:rPr>
          <w:rFonts w:ascii="Arial" w:hAnsi="Arial" w:cs="Arial"/>
          <w:b/>
          <w:bCs/>
          <w:sz w:val="24"/>
          <w:szCs w:val="24"/>
        </w:rPr>
      </w:pPr>
      <w:r>
        <w:rPr>
          <w:rFonts w:ascii="Arial" w:hAnsi="Arial" w:cs="Arial"/>
          <w:b/>
          <w:bCs/>
          <w:sz w:val="24"/>
          <w:szCs w:val="24"/>
        </w:rPr>
        <w:t>Sanya, China, 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bookmarkEnd w:id="0"/>
    <w:p w14:paraId="00E50554" w14:textId="77777777" w:rsidR="00B67902" w:rsidRDefault="00B67902" w:rsidP="00B67902">
      <w:pPr>
        <w:tabs>
          <w:tab w:val="left" w:pos="1985"/>
        </w:tabs>
        <w:spacing w:after="0"/>
        <w:jc w:val="both"/>
        <w:rPr>
          <w:rFonts w:ascii="Arial" w:hAnsi="Arial"/>
          <w:b/>
          <w:sz w:val="24"/>
        </w:rPr>
      </w:pPr>
    </w:p>
    <w:p w14:paraId="46F1330D" w14:textId="0F653E53" w:rsidR="0068226B" w:rsidRPr="000A64D8" w:rsidRDefault="0068226B" w:rsidP="00B67902">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966FA">
        <w:rPr>
          <w:rFonts w:ascii="Arial" w:hAnsi="Arial"/>
          <w:sz w:val="24"/>
        </w:rPr>
        <w:t>7</w:t>
      </w:r>
      <w:r w:rsidR="00F977A5">
        <w:rPr>
          <w:rFonts w:ascii="Arial" w:hAnsi="Arial"/>
          <w:sz w:val="24"/>
        </w:rPr>
        <w:t>.</w:t>
      </w:r>
      <w:r w:rsidR="00F25B96">
        <w:rPr>
          <w:rFonts w:ascii="Arial" w:hAnsi="Arial"/>
          <w:sz w:val="24"/>
        </w:rPr>
        <w:t>1.</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B67902">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1618314" w:rsidR="00C10599" w:rsidRPr="000A64D8" w:rsidRDefault="0068226B" w:rsidP="00B67902">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0395">
        <w:rPr>
          <w:rFonts w:ascii="Arial" w:hAnsi="Arial"/>
          <w:sz w:val="22"/>
        </w:rPr>
        <w:t>Maintenance</w:t>
      </w:r>
      <w:r w:rsidR="002E54C6">
        <w:rPr>
          <w:rFonts w:ascii="Arial" w:hAnsi="Arial"/>
          <w:sz w:val="22"/>
        </w:rPr>
        <w:t xml:space="preserve"> </w:t>
      </w:r>
      <w:r w:rsidR="00200395">
        <w:rPr>
          <w:rFonts w:ascii="Arial" w:hAnsi="Arial"/>
          <w:sz w:val="22"/>
        </w:rPr>
        <w:t>for</w:t>
      </w:r>
      <w:r w:rsidR="002E54C6">
        <w:rPr>
          <w:rFonts w:ascii="Arial" w:hAnsi="Arial"/>
          <w:sz w:val="22"/>
        </w:rPr>
        <w:t xml:space="preserve"> SRS</w:t>
      </w:r>
    </w:p>
    <w:p w14:paraId="46F13310" w14:textId="77777777" w:rsidR="0068226B" w:rsidRDefault="0068226B" w:rsidP="00B67902">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7E0AE751" w14:textId="13906CD4" w:rsidR="000D39A5" w:rsidRDefault="00A2265B" w:rsidP="000D39A5">
      <w:pPr>
        <w:jc w:val="both"/>
      </w:pPr>
      <w:r>
        <w:t xml:space="preserve">The following agreements were made in RAN1#92 on SRS: </w:t>
      </w:r>
    </w:p>
    <w:p w14:paraId="1E94DDC9" w14:textId="77777777" w:rsidR="00A2265B" w:rsidRPr="00A2265B" w:rsidRDefault="00A2265B" w:rsidP="00A2265B">
      <w:pPr>
        <w:spacing w:after="0"/>
        <w:rPr>
          <w:b/>
          <w:i/>
          <w:lang w:eastAsia="x-none"/>
        </w:rPr>
      </w:pPr>
      <w:r w:rsidRPr="00A2265B">
        <w:rPr>
          <w:b/>
          <w:i/>
          <w:highlight w:val="green"/>
          <w:lang w:eastAsia="x-none"/>
        </w:rPr>
        <w:t>Agreement (RRC parameter update):</w:t>
      </w:r>
    </w:p>
    <w:p w14:paraId="500D3AAA" w14:textId="77777777" w:rsidR="00A2265B" w:rsidRPr="00F829AC" w:rsidRDefault="00A2265B" w:rsidP="00A2265B">
      <w:pPr>
        <w:spacing w:after="0"/>
        <w:rPr>
          <w:i/>
          <w:sz w:val="8"/>
          <w:lang w:eastAsia="x-none"/>
        </w:rPr>
      </w:pPr>
      <w:r w:rsidRPr="00F829AC">
        <w:rPr>
          <w:i/>
          <w:sz w:val="16"/>
          <w:lang w:eastAsia="x-none"/>
        </w:rPr>
        <w:t>SRS resource set configuration is supported per BWP. SRS is always transmitted in an active BWP within an active CC.</w:t>
      </w:r>
    </w:p>
    <w:p w14:paraId="26907303" w14:textId="77777777" w:rsidR="00A2265B" w:rsidRPr="00A2265B" w:rsidRDefault="00A2265B" w:rsidP="00A2265B">
      <w:pPr>
        <w:spacing w:after="0"/>
        <w:rPr>
          <w:i/>
          <w:lang w:eastAsia="x-none"/>
        </w:rPr>
      </w:pPr>
    </w:p>
    <w:p w14:paraId="0E98F91C" w14:textId="77777777" w:rsidR="00A2265B" w:rsidRPr="00A2265B" w:rsidRDefault="00A2265B" w:rsidP="00A2265B">
      <w:pPr>
        <w:spacing w:after="0"/>
        <w:rPr>
          <w:b/>
          <w:i/>
          <w:lang w:eastAsia="x-none"/>
        </w:rPr>
      </w:pPr>
      <w:r w:rsidRPr="00A2265B">
        <w:rPr>
          <w:b/>
          <w:i/>
          <w:highlight w:val="green"/>
          <w:lang w:eastAsia="x-none"/>
        </w:rPr>
        <w:t>Agreement (New RRC parameter):</w:t>
      </w:r>
    </w:p>
    <w:p w14:paraId="1D99516F" w14:textId="77777777" w:rsidR="00A2265B" w:rsidRPr="00F829AC" w:rsidRDefault="00A2265B" w:rsidP="00A2265B">
      <w:pPr>
        <w:numPr>
          <w:ilvl w:val="0"/>
          <w:numId w:val="24"/>
        </w:numPr>
        <w:overflowPunct/>
        <w:autoSpaceDE/>
        <w:autoSpaceDN/>
        <w:adjustRightInd/>
        <w:spacing w:after="0"/>
        <w:textAlignment w:val="auto"/>
        <w:rPr>
          <w:i/>
          <w:sz w:val="16"/>
          <w:lang w:eastAsia="x-none"/>
        </w:rPr>
      </w:pPr>
      <w:r w:rsidRPr="00F829AC">
        <w:rPr>
          <w:i/>
          <w:sz w:val="16"/>
          <w:lang w:eastAsia="x-none"/>
        </w:rPr>
        <w:t>The slot offset with respect to DCI that triggers an SRS resource set is higher layer configured in a per SRS resource set</w:t>
      </w:r>
    </w:p>
    <w:p w14:paraId="1DD5D3E3" w14:textId="77777777" w:rsidR="00A2265B" w:rsidRPr="00F829AC" w:rsidRDefault="00A2265B" w:rsidP="00A2265B">
      <w:pPr>
        <w:numPr>
          <w:ilvl w:val="1"/>
          <w:numId w:val="24"/>
        </w:numPr>
        <w:overflowPunct/>
        <w:autoSpaceDE/>
        <w:autoSpaceDN/>
        <w:adjustRightInd/>
        <w:spacing w:after="0"/>
        <w:textAlignment w:val="auto"/>
        <w:rPr>
          <w:i/>
          <w:sz w:val="16"/>
          <w:lang w:eastAsia="x-none"/>
        </w:rPr>
      </w:pPr>
      <w:r w:rsidRPr="00F829AC">
        <w:rPr>
          <w:i/>
          <w:sz w:val="16"/>
          <w:lang w:eastAsia="x-none"/>
        </w:rPr>
        <w:t>FFS: Details on the support for aperiodic SRS for 1T4R</w:t>
      </w:r>
    </w:p>
    <w:p w14:paraId="06789FD7" w14:textId="77777777" w:rsidR="00A2265B" w:rsidRPr="00A2265B" w:rsidRDefault="00A2265B" w:rsidP="00A2265B">
      <w:pPr>
        <w:spacing w:after="0"/>
        <w:rPr>
          <w:i/>
          <w:lang w:eastAsia="x-none"/>
        </w:rPr>
      </w:pPr>
    </w:p>
    <w:p w14:paraId="5C98A331" w14:textId="77777777" w:rsidR="00A2265B" w:rsidRPr="00A2265B" w:rsidRDefault="00A2265B" w:rsidP="00A2265B">
      <w:pPr>
        <w:spacing w:after="0"/>
        <w:rPr>
          <w:b/>
          <w:i/>
          <w:lang w:eastAsia="x-none"/>
        </w:rPr>
      </w:pPr>
      <w:r w:rsidRPr="00A2265B">
        <w:rPr>
          <w:b/>
          <w:i/>
          <w:highlight w:val="green"/>
          <w:lang w:eastAsia="x-none"/>
        </w:rPr>
        <w:t>Agreement (RRC parameter update):</w:t>
      </w:r>
    </w:p>
    <w:p w14:paraId="66B96F75" w14:textId="77777777" w:rsidR="00A2265B" w:rsidRPr="00F829AC" w:rsidRDefault="00A2265B" w:rsidP="00A2265B">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maxNrofSRS-ResourceSets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r w:rsidRPr="00F829AC">
        <w:rPr>
          <w:rFonts w:ascii="Times New Roman" w:hAnsi="Times New Roman"/>
          <w:i/>
          <w:color w:val="000000"/>
          <w:sz w:val="14"/>
          <w:szCs w:val="24"/>
        </w:rPr>
        <w:tab/>
      </w:r>
      <w:r w:rsidRPr="00F829AC">
        <w:rPr>
          <w:rFonts w:ascii="Times New Roman" w:hAnsi="Times New Roman"/>
          <w:i/>
          <w:color w:val="000000"/>
          <w:sz w:val="14"/>
          <w:szCs w:val="24"/>
        </w:rPr>
        <w:tab/>
        <w:t>-- Maximum number of SRS resource sets.</w:t>
      </w:r>
    </w:p>
    <w:p w14:paraId="72F5C17B" w14:textId="77777777" w:rsidR="00A2265B" w:rsidRPr="00F829AC" w:rsidRDefault="00A2265B" w:rsidP="00A2265B">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64</w:t>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 Maximum number of SRS resources </w:t>
      </w:r>
      <w:r w:rsidRPr="00F829AC">
        <w:rPr>
          <w:rFonts w:ascii="Times New Roman" w:hAnsi="Times New Roman"/>
          <w:i/>
          <w:strike/>
          <w:color w:val="FF0000"/>
          <w:sz w:val="14"/>
          <w:szCs w:val="24"/>
        </w:rPr>
        <w:t>in an SRS resource set</w:t>
      </w:r>
      <w:r w:rsidRPr="00F829AC">
        <w:rPr>
          <w:rFonts w:ascii="Times New Roman" w:hAnsi="Times New Roman"/>
          <w:i/>
          <w:color w:val="000000"/>
          <w:sz w:val="14"/>
          <w:szCs w:val="24"/>
        </w:rPr>
        <w:t>.</w:t>
      </w:r>
    </w:p>
    <w:p w14:paraId="590C6DB0" w14:textId="77777777" w:rsidR="00A2265B" w:rsidRPr="00F829AC" w:rsidRDefault="00A2265B" w:rsidP="00A2265B">
      <w:pPr>
        <w:pStyle w:val="PL"/>
        <w:rPr>
          <w:rFonts w:ascii="Times New Roman" w:hAnsi="Times New Roman"/>
          <w:i/>
          <w:color w:val="000000"/>
          <w:sz w:val="14"/>
          <w:szCs w:val="24"/>
        </w:rPr>
      </w:pPr>
      <w:r w:rsidRPr="00F829AC">
        <w:rPr>
          <w:rFonts w:ascii="Times New Roman" w:hAnsi="Times New Roman"/>
          <w:i/>
          <w:color w:val="000000"/>
          <w:sz w:val="14"/>
          <w:szCs w:val="24"/>
        </w:rPr>
        <w:t xml:space="preserve">maxNrofSRS-ResourcesPerSet </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p>
    <w:p w14:paraId="1FAC0D52" w14:textId="77777777" w:rsidR="00A2265B" w:rsidRPr="00A2265B" w:rsidRDefault="00A2265B" w:rsidP="00A2265B">
      <w:pPr>
        <w:spacing w:after="0"/>
        <w:rPr>
          <w:i/>
          <w:lang w:eastAsia="x-none"/>
        </w:rPr>
      </w:pPr>
    </w:p>
    <w:p w14:paraId="2687CE52" w14:textId="77777777" w:rsidR="00A2265B" w:rsidRPr="00A2265B" w:rsidRDefault="00A2265B" w:rsidP="00A2265B">
      <w:pPr>
        <w:spacing w:after="0"/>
        <w:rPr>
          <w:b/>
          <w:i/>
          <w:highlight w:val="darkYellow"/>
          <w:lang w:eastAsia="x-none"/>
        </w:rPr>
      </w:pPr>
      <w:r w:rsidRPr="00A2265B">
        <w:rPr>
          <w:b/>
          <w:i/>
          <w:highlight w:val="darkYellow"/>
          <w:lang w:eastAsia="x-none"/>
        </w:rPr>
        <w:t>Working Assumption</w:t>
      </w:r>
    </w:p>
    <w:p w14:paraId="4302D6DD" w14:textId="77777777" w:rsidR="00A2265B" w:rsidRPr="00F829AC" w:rsidRDefault="00A2265B" w:rsidP="00F829AC">
      <w:pPr>
        <w:overflowPunct/>
        <w:autoSpaceDE/>
        <w:autoSpaceDN/>
        <w:adjustRightInd/>
        <w:spacing w:after="0"/>
        <w:textAlignment w:val="auto"/>
        <w:rPr>
          <w:i/>
          <w:sz w:val="16"/>
          <w:lang w:eastAsia="x-none"/>
        </w:rPr>
      </w:pPr>
      <w:r w:rsidRPr="00F829AC">
        <w:rPr>
          <w:i/>
          <w:sz w:val="16"/>
          <w:lang w:eastAsia="x-none"/>
        </w:rPr>
        <w:t>NR supports the case that different ports of one 4-port SRS resource have different comb offsets for comb 2 and 4.</w:t>
      </w:r>
    </w:p>
    <w:p w14:paraId="5EF9A32A" w14:textId="77777777" w:rsidR="00A2265B" w:rsidRPr="00A2265B" w:rsidRDefault="00A2265B" w:rsidP="00A2265B">
      <w:pPr>
        <w:spacing w:after="0"/>
        <w:rPr>
          <w:i/>
          <w:lang w:eastAsia="x-none"/>
        </w:rPr>
      </w:pPr>
    </w:p>
    <w:p w14:paraId="29F57C05" w14:textId="77777777" w:rsidR="00A2265B" w:rsidRPr="00A2265B" w:rsidRDefault="00A2265B" w:rsidP="00A2265B">
      <w:pPr>
        <w:spacing w:after="0"/>
        <w:rPr>
          <w:b/>
          <w:i/>
          <w:lang w:eastAsia="x-none"/>
        </w:rPr>
      </w:pPr>
      <w:r w:rsidRPr="00A2265B">
        <w:rPr>
          <w:b/>
          <w:i/>
          <w:highlight w:val="green"/>
          <w:lang w:eastAsia="x-none"/>
        </w:rPr>
        <w:t>Agreement:</w:t>
      </w:r>
    </w:p>
    <w:p w14:paraId="49A385A9" w14:textId="77777777" w:rsidR="00A2265B" w:rsidRPr="00F829AC" w:rsidRDefault="00A2265B" w:rsidP="00A2265B">
      <w:pPr>
        <w:spacing w:after="0"/>
        <w:rPr>
          <w:b/>
          <w:i/>
          <w:sz w:val="16"/>
        </w:rPr>
      </w:pPr>
      <w:r w:rsidRPr="00F829AC">
        <w:rPr>
          <w:b/>
          <w:i/>
          <w:sz w:val="16"/>
        </w:rPr>
        <w:t>The following text proposal for section 6.3.1.6 of 38.211 is agreed</w:t>
      </w:r>
    </w:p>
    <w:p w14:paraId="214B86ED" w14:textId="77777777" w:rsidR="00A2265B" w:rsidRPr="00F829AC" w:rsidRDefault="00A2265B" w:rsidP="00A2265B">
      <w:pPr>
        <w:spacing w:after="0"/>
        <w:rPr>
          <w:i/>
          <w:sz w:val="16"/>
        </w:rPr>
      </w:pPr>
      <w:r w:rsidRPr="00F829AC">
        <w:rPr>
          <w:i/>
          <w:sz w:val="16"/>
        </w:rPr>
        <w:t xml:space="preserve">mapped in sequence starting with </w:t>
      </w:r>
      <w:r w:rsidRPr="00F829AC">
        <w:rPr>
          <w:i/>
          <w:position w:val="-10"/>
          <w:sz w:val="16"/>
        </w:rPr>
        <w:object w:dxaOrig="639" w:dyaOrig="339" w14:anchorId="2318A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9" o:spid="_x0000_i1025" type="#_x0000_t75" style="width:31.9pt;height:19pt;mso-position-horizontal-relative:page;mso-position-vertical-relative:page" o:ole="">
            <v:imagedata r:id="rId12" o:title=""/>
          </v:shape>
          <o:OLEObject Type="Embed" ProgID="Equation.3" ShapeID="对象 89" DrawAspect="Content" ObjectID="_1584541180" r:id="rId13"/>
        </w:object>
      </w:r>
      <w:r w:rsidRPr="00F829AC">
        <w:rPr>
          <w:i/>
          <w:sz w:val="16"/>
        </w:rPr>
        <w:t xml:space="preserve"> to resource elements </w:t>
      </w:r>
      <w:r w:rsidRPr="00F829AC">
        <w:rPr>
          <w:i/>
          <w:position w:val="-14"/>
          <w:sz w:val="16"/>
        </w:rPr>
        <w:object w:dxaOrig="719" w:dyaOrig="339" w14:anchorId="0366ECBE">
          <v:shape id="对象 90" o:spid="_x0000_i1026" type="#_x0000_t75" style="width:36pt;height:19pt;mso-position-horizontal-relative:page;mso-position-vertical-relative:page" o:ole="">
            <v:imagedata r:id="rId14" o:title=""/>
          </v:shape>
          <o:OLEObject Type="Embed" ProgID="Equation.3" ShapeID="对象 90" DrawAspect="Content" ObjectID="_1584541181" r:id="rId15"/>
        </w:object>
      </w:r>
      <w:r w:rsidRPr="00F829AC">
        <w:rPr>
          <w:i/>
          <w:sz w:val="16"/>
        </w:rPr>
        <w:t xml:space="preserve"> in the virtual resource blocks assigned for transmission which meet all of the following criteria: </w:t>
      </w:r>
    </w:p>
    <w:p w14:paraId="69840677" w14:textId="77777777" w:rsidR="00A2265B" w:rsidRPr="00F829AC" w:rsidRDefault="00A2265B" w:rsidP="00A2265B">
      <w:pPr>
        <w:pStyle w:val="B1"/>
        <w:spacing w:after="0"/>
        <w:rPr>
          <w:i/>
          <w:sz w:val="16"/>
        </w:rPr>
      </w:pPr>
      <w:r w:rsidRPr="00F829AC">
        <w:rPr>
          <w:i/>
          <w:sz w:val="16"/>
        </w:rPr>
        <w:t>-</w:t>
      </w:r>
      <w:r w:rsidRPr="00F829AC">
        <w:rPr>
          <w:i/>
          <w:sz w:val="16"/>
        </w:rPr>
        <w:tab/>
        <w:t>they are in the virtual resource blocks assigned for transmission, and</w:t>
      </w:r>
    </w:p>
    <w:p w14:paraId="08F8F14E" w14:textId="77777777" w:rsidR="00A2265B" w:rsidRPr="00F829AC" w:rsidRDefault="00A2265B" w:rsidP="00A2265B">
      <w:pPr>
        <w:spacing w:after="0"/>
        <w:rPr>
          <w:i/>
          <w:sz w:val="16"/>
          <w:lang w:eastAsia="x-none"/>
        </w:rPr>
      </w:pPr>
      <w:r w:rsidRPr="00F829AC">
        <w:rPr>
          <w:i/>
          <w:sz w:val="16"/>
        </w:rPr>
        <w:t>-</w:t>
      </w:r>
      <w:r w:rsidRPr="00F829AC">
        <w:rPr>
          <w:i/>
          <w:sz w:val="16"/>
        </w:rPr>
        <w:tab/>
        <w:t xml:space="preserve">the corresponding resource elements in the corresponding physical resource blocks are not used for transmission of the associated DM-RS, PT-RS, </w:t>
      </w:r>
      <w:r w:rsidRPr="00F829AC">
        <w:rPr>
          <w:b/>
          <w:i/>
          <w:strike/>
          <w:color w:val="FF0000"/>
          <w:sz w:val="16"/>
        </w:rPr>
        <w:t>or SRS</w:t>
      </w:r>
      <w:r w:rsidRPr="00F829AC">
        <w:rPr>
          <w:i/>
          <w:sz w:val="16"/>
        </w:rPr>
        <w:t>, or DM-RS intended for other co-scheduled UEs as described in clause 6.4.1.1.3</w:t>
      </w:r>
    </w:p>
    <w:p w14:paraId="26ABAD00" w14:textId="77777777" w:rsidR="00A2265B" w:rsidRPr="000D39A5" w:rsidRDefault="00A2265B" w:rsidP="000D39A5">
      <w:pPr>
        <w:jc w:val="both"/>
      </w:pPr>
    </w:p>
    <w:p w14:paraId="0BE79FD8" w14:textId="2F67F59C" w:rsidR="00DA39CF" w:rsidRDefault="00DA39CF" w:rsidP="000D39A5">
      <w:pPr>
        <w:pStyle w:val="Heading1"/>
      </w:pPr>
      <w:r>
        <w:t>Corrections on RRC parameters</w:t>
      </w:r>
    </w:p>
    <w:p w14:paraId="3EB3DF15" w14:textId="5DD404D4" w:rsidR="00D42A6C" w:rsidRPr="00D42A6C" w:rsidRDefault="00D42A6C" w:rsidP="00D42A6C">
      <w:pPr>
        <w:pStyle w:val="Heading2"/>
      </w:pPr>
      <w:r w:rsidRPr="00D42A6C">
        <w:t>Corrections on the maximum number of SRS-related objects</w:t>
      </w:r>
    </w:p>
    <w:p w14:paraId="29CA2A9C" w14:textId="77777777" w:rsidR="00D42A6C" w:rsidRDefault="00D42A6C" w:rsidP="00A2265B">
      <w:pPr>
        <w:spacing w:after="0"/>
        <w:rPr>
          <w:lang w:val="en-GB"/>
        </w:rPr>
      </w:pPr>
    </w:p>
    <w:p w14:paraId="7A161422" w14:textId="7182B703" w:rsidR="00DA39CF" w:rsidRDefault="00A2265B" w:rsidP="00A2265B">
      <w:pPr>
        <w:spacing w:after="0"/>
        <w:rPr>
          <w:lang w:val="en-GB"/>
        </w:rPr>
      </w:pPr>
      <w:r>
        <w:rPr>
          <w:lang w:val="en-GB"/>
        </w:rPr>
        <w:t>Based on the current agreements in RAN1, we make the following observations:</w:t>
      </w:r>
    </w:p>
    <w:p w14:paraId="5506E40C" w14:textId="6D6A4983" w:rsidR="00A2265B" w:rsidRPr="00A2265B" w:rsidRDefault="00A2265B" w:rsidP="00A2265B">
      <w:pPr>
        <w:pStyle w:val="ListParagraph"/>
        <w:numPr>
          <w:ilvl w:val="0"/>
          <w:numId w:val="27"/>
        </w:numPr>
        <w:rPr>
          <w:rFonts w:ascii="Times New Roman" w:eastAsia="SimSun" w:hAnsi="Times New Roman"/>
          <w:sz w:val="20"/>
          <w:szCs w:val="20"/>
          <w:lang w:val="en-GB"/>
        </w:rPr>
      </w:pPr>
      <w:r w:rsidRPr="00A2265B">
        <w:rPr>
          <w:rFonts w:ascii="Times New Roman" w:eastAsia="SimSun" w:hAnsi="Times New Roman"/>
          <w:sz w:val="20"/>
          <w:szCs w:val="20"/>
          <w:lang w:val="en-GB"/>
        </w:rPr>
        <w:t>One SRS resource set can be configured per BWP for each codebook/non-codebook/antenna-switching use-case.</w:t>
      </w:r>
    </w:p>
    <w:p w14:paraId="2193254C" w14:textId="65014FFF" w:rsidR="00A2265B" w:rsidRDefault="00A2265B" w:rsidP="00A2265B">
      <w:pPr>
        <w:pStyle w:val="ListParagraph"/>
        <w:numPr>
          <w:ilvl w:val="0"/>
          <w:numId w:val="27"/>
        </w:numPr>
        <w:rPr>
          <w:rFonts w:ascii="Times New Roman" w:eastAsia="SimSun" w:hAnsi="Times New Roman"/>
          <w:sz w:val="20"/>
          <w:szCs w:val="20"/>
          <w:lang w:val="en-GB"/>
        </w:rPr>
      </w:pPr>
      <w:r w:rsidRPr="00A2265B">
        <w:rPr>
          <w:rFonts w:ascii="Times New Roman" w:eastAsia="SimSun" w:hAnsi="Times New Roman"/>
          <w:sz w:val="20"/>
          <w:szCs w:val="20"/>
          <w:lang w:val="en-GB"/>
        </w:rPr>
        <w:t>Up to 8 SRS resource sets can be configured per BWP for BM purposes</w:t>
      </w:r>
      <w:r>
        <w:rPr>
          <w:rFonts w:ascii="Times New Roman" w:eastAsia="SimSun" w:hAnsi="Times New Roman"/>
          <w:sz w:val="20"/>
          <w:szCs w:val="20"/>
          <w:lang w:val="en-GB"/>
        </w:rPr>
        <w:t xml:space="preserve"> (line 2-13 component 3 in [4])</w:t>
      </w:r>
    </w:p>
    <w:p w14:paraId="54FB2669" w14:textId="5FC45BA1" w:rsidR="00A2265B" w:rsidRDefault="00A2265B" w:rsidP="00A2265B">
      <w:pPr>
        <w:rPr>
          <w:i/>
          <w:color w:val="000000"/>
          <w:szCs w:val="24"/>
        </w:rPr>
      </w:pPr>
      <w:r>
        <w:rPr>
          <w:lang w:val="en-GB"/>
        </w:rPr>
        <w:t xml:space="preserve">Therefore, the </w:t>
      </w:r>
      <w:r w:rsidRPr="00A2265B">
        <w:rPr>
          <w:i/>
          <w:color w:val="000000"/>
          <w:szCs w:val="24"/>
        </w:rPr>
        <w:t>maxNrofSRS-ResourceSets</w:t>
      </w:r>
      <w:r>
        <w:rPr>
          <w:i/>
          <w:color w:val="000000"/>
          <w:szCs w:val="24"/>
        </w:rPr>
        <w:t xml:space="preserve"> should be 11 SRS resource sets per BWP. </w:t>
      </w:r>
    </w:p>
    <w:p w14:paraId="0AFC1F82" w14:textId="3B1F00A1" w:rsidR="00F829AC" w:rsidRPr="00F625F4" w:rsidRDefault="00F829AC" w:rsidP="00A2265B">
      <w:pPr>
        <w:rPr>
          <w:b/>
          <w:i/>
          <w:color w:val="000000"/>
          <w:szCs w:val="24"/>
        </w:rPr>
      </w:pPr>
      <w:bookmarkStart w:id="3" w:name="_Hlk510617523"/>
      <w:r w:rsidRPr="00F829AC">
        <w:rPr>
          <w:b/>
          <w:i/>
          <w:color w:val="000000"/>
          <w:szCs w:val="24"/>
        </w:rPr>
        <w:t>Proposal</w:t>
      </w:r>
      <w:r>
        <w:rPr>
          <w:b/>
          <w:i/>
          <w:color w:val="000000"/>
          <w:szCs w:val="24"/>
        </w:rPr>
        <w:t xml:space="preserve"> 1</w:t>
      </w:r>
      <w:r w:rsidRPr="00F829AC">
        <w:rPr>
          <w:b/>
          <w:i/>
          <w:color w:val="000000"/>
          <w:szCs w:val="24"/>
        </w:rPr>
        <w:t>:</w:t>
      </w:r>
      <w:r>
        <w:rPr>
          <w:i/>
          <w:color w:val="000000"/>
          <w:szCs w:val="24"/>
        </w:rPr>
        <w:t xml:space="preserve"> </w:t>
      </w:r>
      <w:r w:rsidRPr="00F625F4">
        <w:rPr>
          <w:b/>
          <w:i/>
          <w:color w:val="000000"/>
          <w:szCs w:val="24"/>
        </w:rPr>
        <w:t xml:space="preserve">The max number of SRS resource sets per BWP should change 11: up to 8 SRS resource sets for BM and one resource set for each remaining SRS use-case (codebook/non-codebook/antenna-switching). </w:t>
      </w:r>
    </w:p>
    <w:bookmarkEnd w:id="3"/>
    <w:p w14:paraId="665B3B8E" w14:textId="5765B97E" w:rsidR="00F829AC" w:rsidRDefault="00F829AC" w:rsidP="00A2265B">
      <w:pPr>
        <w:rPr>
          <w:lang w:val="en-GB"/>
        </w:rPr>
      </w:pPr>
      <w:r w:rsidRPr="00F829AC">
        <w:rPr>
          <w:lang w:val="en-GB"/>
        </w:rPr>
        <w:t>Similarly, regarding the max number of SRS resources</w:t>
      </w:r>
      <w:r>
        <w:rPr>
          <w:lang w:val="en-GB"/>
        </w:rPr>
        <w:t xml:space="preserve"> in a BWP, </w:t>
      </w:r>
      <w:r w:rsidR="00CD4917">
        <w:rPr>
          <w:lang w:val="en-GB"/>
        </w:rPr>
        <w:t>it was agreed in line 2-53 of [4], that the maximum number of periodic/aperiodic/semi-persistent SRS resources per BWP are 16 each. Therefore, the maximum number of resources in a BWP should be 48 and not 64.</w:t>
      </w:r>
    </w:p>
    <w:p w14:paraId="7489EF1C" w14:textId="761C3037" w:rsidR="00CD4917" w:rsidRPr="0046052B" w:rsidRDefault="00CD4917" w:rsidP="00A2265B">
      <w:pPr>
        <w:rPr>
          <w:i/>
          <w:color w:val="000000"/>
          <w:szCs w:val="24"/>
        </w:rPr>
      </w:pPr>
      <w:bookmarkStart w:id="4" w:name="_Hlk510617525"/>
      <w:r w:rsidRPr="00F829AC">
        <w:rPr>
          <w:b/>
          <w:i/>
          <w:color w:val="000000"/>
          <w:szCs w:val="24"/>
        </w:rPr>
        <w:t>Proposal</w:t>
      </w:r>
      <w:r>
        <w:rPr>
          <w:b/>
          <w:i/>
          <w:color w:val="000000"/>
          <w:szCs w:val="24"/>
        </w:rPr>
        <w:t xml:space="preserve"> </w:t>
      </w:r>
      <w:r w:rsidR="009B4944">
        <w:rPr>
          <w:b/>
          <w:i/>
          <w:color w:val="000000"/>
          <w:szCs w:val="24"/>
        </w:rPr>
        <w:t>2</w:t>
      </w:r>
      <w:r w:rsidRPr="00F829AC">
        <w:rPr>
          <w:b/>
          <w:i/>
          <w:color w:val="000000"/>
          <w:szCs w:val="24"/>
        </w:rPr>
        <w:t>:</w:t>
      </w:r>
      <w:r>
        <w:rPr>
          <w:i/>
          <w:color w:val="000000"/>
          <w:szCs w:val="24"/>
        </w:rPr>
        <w:t xml:space="preserve"> </w:t>
      </w:r>
      <w:r w:rsidRPr="00F625F4">
        <w:rPr>
          <w:b/>
          <w:i/>
          <w:color w:val="000000"/>
          <w:szCs w:val="24"/>
        </w:rPr>
        <w:t xml:space="preserve">The max number of SRS resources per BWP should change </w:t>
      </w:r>
      <w:r w:rsidR="009B4944" w:rsidRPr="00F625F4">
        <w:rPr>
          <w:b/>
          <w:i/>
          <w:color w:val="000000"/>
          <w:szCs w:val="24"/>
        </w:rPr>
        <w:t>to 48</w:t>
      </w:r>
      <w:r w:rsidRPr="00F625F4">
        <w:rPr>
          <w:b/>
          <w:i/>
          <w:color w:val="000000"/>
          <w:szCs w:val="24"/>
        </w:rPr>
        <w:t xml:space="preserve">: </w:t>
      </w:r>
      <w:r w:rsidR="009B4944" w:rsidRPr="00F625F4">
        <w:rPr>
          <w:b/>
          <w:i/>
          <w:color w:val="000000"/>
          <w:szCs w:val="24"/>
        </w:rPr>
        <w:t>16 periodic/semi-persistent/aperiodic SRS resources per BWP.</w:t>
      </w:r>
      <w:r w:rsidR="009B4944">
        <w:rPr>
          <w:i/>
          <w:color w:val="000000"/>
          <w:szCs w:val="24"/>
        </w:rPr>
        <w:t xml:space="preserve"> </w:t>
      </w:r>
    </w:p>
    <w:bookmarkEnd w:id="4"/>
    <w:p w14:paraId="52A66ECB" w14:textId="218AE4EF" w:rsidR="00D42A6C" w:rsidRPr="00D42A6C" w:rsidRDefault="00D42A6C" w:rsidP="00A2265B">
      <w:pPr>
        <w:pStyle w:val="Heading2"/>
      </w:pPr>
      <w:r w:rsidRPr="00D42A6C">
        <w:lastRenderedPageBreak/>
        <w:t xml:space="preserve">Corrections on the </w:t>
      </w:r>
      <w:r>
        <w:t>SRS-Config IE</w:t>
      </w:r>
    </w:p>
    <w:p w14:paraId="17A00DB8" w14:textId="1F238E13" w:rsidR="00F829AC" w:rsidRDefault="00D42A6C" w:rsidP="00A2265B">
      <w:pPr>
        <w:rPr>
          <w:lang w:val="en-GB"/>
        </w:rPr>
      </w:pPr>
      <w:r>
        <w:rPr>
          <w:lang w:val="en-GB"/>
        </w:rPr>
        <w:t xml:space="preserve">In the SRS-Config Information Element, the “resourceType” (i.e. periodic/semi-persistent/aperiodic) appears both inside the SRS-ResourceSet and the SRS-resource. It should be clearly defined only in one of the two. It should be defined on the SRS resource set level, as it is the case for the CSI-RS resource set. </w:t>
      </w:r>
    </w:p>
    <w:p w14:paraId="320E2FDE" w14:textId="25691B7B" w:rsidR="00D42A6C" w:rsidRPr="00F625F4" w:rsidRDefault="00D42A6C" w:rsidP="00A2265B">
      <w:pPr>
        <w:rPr>
          <w:b/>
          <w:lang w:val="en-GB"/>
        </w:rPr>
      </w:pPr>
      <w:bookmarkStart w:id="5" w:name="_Hlk510617529"/>
      <w:r w:rsidRPr="00F829AC">
        <w:rPr>
          <w:b/>
          <w:i/>
          <w:color w:val="000000"/>
          <w:szCs w:val="24"/>
        </w:rPr>
        <w:t>Proposal</w:t>
      </w:r>
      <w:r>
        <w:rPr>
          <w:b/>
          <w:i/>
          <w:color w:val="000000"/>
          <w:szCs w:val="24"/>
        </w:rPr>
        <w:t xml:space="preserve"> </w:t>
      </w:r>
      <w:r w:rsidR="00CD4917">
        <w:rPr>
          <w:b/>
          <w:i/>
          <w:color w:val="000000"/>
          <w:szCs w:val="24"/>
        </w:rPr>
        <w:t>3</w:t>
      </w:r>
      <w:r w:rsidRPr="00F625F4">
        <w:rPr>
          <w:b/>
          <w:i/>
          <w:color w:val="000000"/>
          <w:szCs w:val="24"/>
        </w:rPr>
        <w:t>: In the SRS-Config IE, the “resourceType” should be defined only in the SRS resource set level.</w:t>
      </w:r>
    </w:p>
    <w:bookmarkEnd w:id="5"/>
    <w:p w14:paraId="0ED98591" w14:textId="71159138" w:rsidR="00CC0E0F" w:rsidRDefault="00CC0E0F" w:rsidP="00DA39CF">
      <w:pPr>
        <w:pStyle w:val="Heading1"/>
      </w:pPr>
      <w:r>
        <w:t>Corrections on SRS MUX with other UL PHY channels</w:t>
      </w:r>
    </w:p>
    <w:p w14:paraId="6370FE96" w14:textId="4D5BDE09" w:rsidR="00CC0E0F" w:rsidRDefault="00CC0E0F" w:rsidP="00CC0E0F">
      <w:pPr>
        <w:rPr>
          <w:lang w:val="en-GB"/>
        </w:rPr>
      </w:pPr>
      <w:r>
        <w:rPr>
          <w:lang w:val="en-GB"/>
        </w:rPr>
        <w:t>The following agreements have been reached in previous meeting regarding SRS MUX with other UL PHY channels:</w:t>
      </w:r>
    </w:p>
    <w:tbl>
      <w:tblPr>
        <w:tblStyle w:val="TableGrid"/>
        <w:tblW w:w="0" w:type="auto"/>
        <w:tblLook w:val="04A0" w:firstRow="1" w:lastRow="0" w:firstColumn="1" w:lastColumn="0" w:noHBand="0" w:noVBand="1"/>
      </w:tblPr>
      <w:tblGrid>
        <w:gridCol w:w="9962"/>
      </w:tblGrid>
      <w:tr w:rsidR="006E2ABB" w14:paraId="60E771F0" w14:textId="77777777" w:rsidTr="006E2ABB">
        <w:tc>
          <w:tcPr>
            <w:tcW w:w="9962" w:type="dxa"/>
          </w:tcPr>
          <w:p w14:paraId="257BD357" w14:textId="77777777" w:rsidR="006E2ABB" w:rsidRPr="006E2ABB" w:rsidRDefault="006E2ABB" w:rsidP="006E2ABB">
            <w:pPr>
              <w:overflowPunct/>
              <w:autoSpaceDE/>
              <w:autoSpaceDN/>
              <w:adjustRightInd/>
              <w:spacing w:after="0" w:line="240" w:lineRule="auto"/>
              <w:textAlignment w:val="auto"/>
              <w:rPr>
                <w:rFonts w:eastAsia="Times New Roman"/>
                <w:i/>
                <w:sz w:val="14"/>
                <w:szCs w:val="24"/>
                <w:lang w:val="en-GB"/>
              </w:rPr>
            </w:pPr>
            <w:r w:rsidRPr="006E2ABB">
              <w:rPr>
                <w:rFonts w:eastAsia="Times New Roman"/>
                <w:b/>
                <w:bCs/>
                <w:i/>
                <w:sz w:val="14"/>
                <w:szCs w:val="24"/>
                <w:highlight w:val="green"/>
                <w:lang w:val="en-GB"/>
              </w:rPr>
              <w:t>Agreement:</w:t>
            </w:r>
          </w:p>
          <w:p w14:paraId="1A676954" w14:textId="77777777" w:rsidR="006E2ABB" w:rsidRPr="006E2ABB" w:rsidRDefault="006E2ABB" w:rsidP="006E2ABB">
            <w:pPr>
              <w:overflowPunct/>
              <w:autoSpaceDE/>
              <w:autoSpaceDN/>
              <w:adjustRightInd/>
              <w:spacing w:after="0" w:line="240" w:lineRule="auto"/>
              <w:textAlignment w:val="auto"/>
              <w:rPr>
                <w:rFonts w:eastAsia="Times New Roman"/>
                <w:i/>
                <w:sz w:val="14"/>
                <w:szCs w:val="24"/>
              </w:rPr>
            </w:pPr>
            <w:r w:rsidRPr="006E2ABB">
              <w:rPr>
                <w:rFonts w:eastAsia="Times New Roman"/>
                <w:b/>
                <w:bCs/>
                <w:i/>
                <w:sz w:val="14"/>
                <w:szCs w:val="24"/>
              </w:rPr>
              <w:t xml:space="preserve">Only support TDM between SRS and PUSCH/UL DMRS/UL PTRS/Long PUCCH in Rel-15 from UE perspective. </w:t>
            </w:r>
          </w:p>
          <w:p w14:paraId="0C408240" w14:textId="77777777" w:rsidR="006E2ABB" w:rsidRPr="006E2ABB" w:rsidRDefault="006E2ABB" w:rsidP="006E2ABB">
            <w:pPr>
              <w:overflowPunct/>
              <w:autoSpaceDE/>
              <w:autoSpaceDN/>
              <w:adjustRightInd/>
              <w:spacing w:after="0" w:line="240" w:lineRule="auto"/>
              <w:textAlignment w:val="auto"/>
              <w:rPr>
                <w:rFonts w:ascii="Calibri" w:eastAsia="Times New Roman" w:hAnsi="Calibri" w:cs="Calibri"/>
                <w:i/>
                <w:sz w:val="12"/>
                <w:szCs w:val="22"/>
              </w:rPr>
            </w:pPr>
            <w:r w:rsidRPr="006E2ABB">
              <w:rPr>
                <w:rFonts w:ascii="Calibri" w:eastAsia="Times New Roman" w:hAnsi="Calibri" w:cs="Calibri"/>
                <w:i/>
                <w:sz w:val="12"/>
                <w:szCs w:val="22"/>
              </w:rPr>
              <w:t> </w:t>
            </w:r>
          </w:p>
          <w:p w14:paraId="21D196B6" w14:textId="77777777" w:rsidR="006E2ABB" w:rsidRPr="006E2ABB" w:rsidRDefault="006E2ABB" w:rsidP="006E2ABB">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highlight w:val="green"/>
              </w:rPr>
              <w:t>Agreement</w:t>
            </w:r>
          </w:p>
          <w:p w14:paraId="008F8635" w14:textId="77777777" w:rsidR="006E2ABB" w:rsidRPr="006E2ABB" w:rsidRDefault="006E2ABB" w:rsidP="006E2ABB">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rPr>
              <w:t>An SRS resource can be configured to occupy a location within at least the last 6 symbols in a slot.</w:t>
            </w:r>
          </w:p>
          <w:p w14:paraId="1D1C5AAD" w14:textId="77777777" w:rsidR="006E2ABB" w:rsidRPr="006E2ABB" w:rsidRDefault="006E2ABB" w:rsidP="00C968CE">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lang w:val="en-GB"/>
              </w:rPr>
              <w:t>o    </w:t>
            </w:r>
            <w:r w:rsidRPr="006E2ABB">
              <w:rPr>
                <w:rFonts w:eastAsia="Times New Roman"/>
                <w:i/>
                <w:sz w:val="14"/>
                <w:szCs w:val="24"/>
              </w:rPr>
              <w:t>FFS other location in a slot or using all UL OFDM symbols in a slot depending on the results of antenna switching discussions</w:t>
            </w:r>
          </w:p>
          <w:p w14:paraId="63CF53E5" w14:textId="77777777" w:rsidR="006E2ABB" w:rsidRPr="006E2ABB" w:rsidRDefault="006E2ABB" w:rsidP="00C968CE">
            <w:pPr>
              <w:overflowPunct/>
              <w:autoSpaceDE/>
              <w:autoSpaceDN/>
              <w:adjustRightInd/>
              <w:spacing w:after="0" w:line="240" w:lineRule="auto"/>
              <w:textAlignment w:val="auto"/>
              <w:rPr>
                <w:rFonts w:eastAsia="Times New Roman"/>
                <w:i/>
                <w:sz w:val="14"/>
                <w:szCs w:val="24"/>
              </w:rPr>
            </w:pPr>
            <w:r w:rsidRPr="006E2ABB">
              <w:rPr>
                <w:rFonts w:eastAsia="Times New Roman"/>
                <w:b/>
                <w:bCs/>
                <w:i/>
                <w:sz w:val="14"/>
                <w:szCs w:val="24"/>
                <w:lang w:val="en-GB"/>
              </w:rPr>
              <w:t>o    </w:t>
            </w:r>
            <w:r w:rsidRPr="006E2ABB">
              <w:rPr>
                <w:rFonts w:eastAsia="Times New Roman"/>
                <w:b/>
                <w:bCs/>
                <w:i/>
                <w:sz w:val="14"/>
                <w:szCs w:val="24"/>
              </w:rPr>
              <w:t>From UE perspective, no FDM between SRS and short PUCCH</w:t>
            </w:r>
          </w:p>
          <w:p w14:paraId="23D2749D" w14:textId="77777777" w:rsidR="006E2ABB" w:rsidRPr="006E2ABB" w:rsidRDefault="006E2ABB" w:rsidP="00C968CE">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lang w:val="en-GB"/>
              </w:rPr>
              <w:t>o    </w:t>
            </w:r>
            <w:r w:rsidRPr="006E2ABB">
              <w:rPr>
                <w:rFonts w:eastAsia="Times New Roman"/>
                <w:i/>
                <w:sz w:val="14"/>
                <w:szCs w:val="24"/>
              </w:rPr>
              <w:t>From UE perspective, when PUSCH is scheduled in a slot, SRS may be configured at least after the scheduled PUSCH and the corresponding DMRS. Study further whether SRS may be configured before the scheduled PUSCH and the corresponding DMRS</w:t>
            </w:r>
          </w:p>
          <w:p w14:paraId="391B21AB" w14:textId="37A4E81F" w:rsidR="006E2ABB" w:rsidRPr="006E2ABB" w:rsidRDefault="006E2ABB" w:rsidP="006E2ABB">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rPr>
              <w:t xml:space="preserve">Working assumption from RAN1#90 on SRS short PUCCH prioritization is confirmed </w:t>
            </w:r>
          </w:p>
        </w:tc>
      </w:tr>
    </w:tbl>
    <w:p w14:paraId="3F056762" w14:textId="77777777" w:rsidR="006E2ABB" w:rsidRPr="006E2ABB" w:rsidRDefault="006E2ABB" w:rsidP="006E2ABB">
      <w:pPr>
        <w:overflowPunct/>
        <w:autoSpaceDE/>
        <w:autoSpaceDN/>
        <w:adjustRightInd/>
        <w:spacing w:before="40" w:after="40"/>
        <w:textAlignment w:val="auto"/>
        <w:rPr>
          <w:rFonts w:eastAsia="Times New Roman"/>
          <w:i/>
          <w:sz w:val="14"/>
          <w:szCs w:val="24"/>
        </w:rPr>
      </w:pPr>
    </w:p>
    <w:p w14:paraId="416E92B1" w14:textId="6716B0B6" w:rsidR="00CC0E0F" w:rsidRDefault="00CC0E0F" w:rsidP="00CC0E0F">
      <w:pPr>
        <w:rPr>
          <w:sz w:val="22"/>
        </w:rPr>
      </w:pPr>
      <w:r>
        <w:rPr>
          <w:sz w:val="22"/>
        </w:rPr>
        <w:t>However, in the 38.214 section 6.2.1.1 the following statements are shown:</w:t>
      </w:r>
    </w:p>
    <w:tbl>
      <w:tblPr>
        <w:tblStyle w:val="TableGrid"/>
        <w:tblW w:w="0" w:type="auto"/>
        <w:tblLook w:val="04A0" w:firstRow="1" w:lastRow="0" w:firstColumn="1" w:lastColumn="0" w:noHBand="0" w:noVBand="1"/>
      </w:tblPr>
      <w:tblGrid>
        <w:gridCol w:w="9962"/>
      </w:tblGrid>
      <w:tr w:rsidR="00CC0E0F" w14:paraId="0009A0D0" w14:textId="77777777" w:rsidTr="00CC0E0F">
        <w:tc>
          <w:tcPr>
            <w:tcW w:w="9962" w:type="dxa"/>
          </w:tcPr>
          <w:p w14:paraId="3AB655E2" w14:textId="3B362701" w:rsidR="00CC0E0F" w:rsidRPr="00CC0E0F" w:rsidRDefault="00CC0E0F" w:rsidP="00CC0E0F">
            <w:pPr>
              <w:rPr>
                <w:i/>
              </w:rPr>
            </w:pPr>
            <w:r w:rsidRPr="00CC0E0F">
              <w:rPr>
                <w:i/>
              </w:rPr>
              <w:t xml:space="preserve">A UE is not expected to be configured with aperiodic SRS and PUCCH formats 0 or 2 with aperiodic CSI report in the same symbol. </w:t>
            </w:r>
          </w:p>
        </w:tc>
      </w:tr>
    </w:tbl>
    <w:p w14:paraId="57C117C8" w14:textId="77777777" w:rsidR="006E2ABB" w:rsidRDefault="006E2ABB" w:rsidP="006E2ABB">
      <w:pPr>
        <w:spacing w:after="0"/>
        <w:rPr>
          <w:sz w:val="22"/>
        </w:rPr>
      </w:pPr>
    </w:p>
    <w:p w14:paraId="0AFD62ED" w14:textId="7C62075B" w:rsidR="00CC0E0F" w:rsidRDefault="00CC0E0F" w:rsidP="006E2ABB">
      <w:pPr>
        <w:spacing w:after="0"/>
        <w:rPr>
          <w:sz w:val="22"/>
        </w:rPr>
      </w:pPr>
      <w:r>
        <w:rPr>
          <w:sz w:val="22"/>
        </w:rPr>
        <w:t>These statements need to be changed because:</w:t>
      </w:r>
    </w:p>
    <w:p w14:paraId="7B27A444" w14:textId="4BDD3E13" w:rsidR="00CC0E0F" w:rsidRPr="006E2ABB" w:rsidRDefault="00CC0E0F" w:rsidP="006E2ABB">
      <w:pPr>
        <w:pStyle w:val="ListParagraph"/>
        <w:numPr>
          <w:ilvl w:val="0"/>
          <w:numId w:val="29"/>
        </w:numPr>
        <w:rPr>
          <w:rFonts w:ascii="Times New Roman" w:eastAsia="SimSun" w:hAnsi="Times New Roman"/>
          <w:szCs w:val="20"/>
        </w:rPr>
      </w:pPr>
      <w:r w:rsidRPr="006E2ABB">
        <w:rPr>
          <w:rFonts w:ascii="Times New Roman" w:eastAsia="SimSun" w:hAnsi="Times New Roman"/>
          <w:szCs w:val="20"/>
        </w:rPr>
        <w:t>There is no aperiodic CSI report on PUCCH format 0 or 2</w:t>
      </w:r>
    </w:p>
    <w:p w14:paraId="53FA6DE0" w14:textId="21753FD0" w:rsidR="00CC0E0F" w:rsidRPr="00CC0E0F" w:rsidRDefault="00CC0E0F" w:rsidP="00CC0E0F">
      <w:r>
        <w:t>Therefore, we propose the following change”</w:t>
      </w:r>
    </w:p>
    <w:p w14:paraId="5DDFA69E" w14:textId="4C9F9461" w:rsidR="00CC0E0F" w:rsidRPr="00F625F4" w:rsidRDefault="00CC0E0F" w:rsidP="00CC0E0F">
      <w:pPr>
        <w:rPr>
          <w:b/>
          <w:i/>
          <w:sz w:val="22"/>
        </w:rPr>
      </w:pPr>
      <w:r w:rsidRPr="00CC0E0F">
        <w:rPr>
          <w:b/>
          <w:i/>
          <w:sz w:val="22"/>
        </w:rPr>
        <w:t>Text Proposal</w:t>
      </w:r>
      <w:r w:rsidR="00C61350">
        <w:rPr>
          <w:b/>
          <w:i/>
          <w:sz w:val="22"/>
        </w:rPr>
        <w:t xml:space="preserve"> 1</w:t>
      </w:r>
      <w:r w:rsidRPr="00CC0E0F">
        <w:rPr>
          <w:b/>
          <w:i/>
          <w:sz w:val="22"/>
        </w:rPr>
        <w:t>:</w:t>
      </w:r>
      <w:r>
        <w:rPr>
          <w:sz w:val="22"/>
        </w:rPr>
        <w:t xml:space="preserve"> </w:t>
      </w:r>
      <w:r w:rsidRPr="00F625F4">
        <w:rPr>
          <w:b/>
          <w:i/>
          <w:sz w:val="22"/>
        </w:rPr>
        <w:t>Revise Section 6.2.1.1 of 38.214 as follows:</w:t>
      </w:r>
    </w:p>
    <w:tbl>
      <w:tblPr>
        <w:tblStyle w:val="TableGrid"/>
        <w:tblW w:w="0" w:type="auto"/>
        <w:tblLook w:val="04A0" w:firstRow="1" w:lastRow="0" w:firstColumn="1" w:lastColumn="0" w:noHBand="0" w:noVBand="1"/>
      </w:tblPr>
      <w:tblGrid>
        <w:gridCol w:w="9962"/>
      </w:tblGrid>
      <w:tr w:rsidR="00CC0E0F" w14:paraId="5AEB7724" w14:textId="77777777" w:rsidTr="00944DDC">
        <w:tc>
          <w:tcPr>
            <w:tcW w:w="9962" w:type="dxa"/>
          </w:tcPr>
          <w:p w14:paraId="0F195C02" w14:textId="1C8C01C5" w:rsidR="00CC0E0F" w:rsidRPr="00B54488" w:rsidRDefault="00CC0E0F" w:rsidP="00944DDC">
            <w:pPr>
              <w:rPr>
                <w:i/>
                <w:strike/>
                <w:color w:val="FF0000"/>
              </w:rPr>
            </w:pPr>
            <w:r w:rsidRPr="00CC0E0F">
              <w:rPr>
                <w:i/>
                <w:strike/>
                <w:color w:val="FF0000"/>
              </w:rPr>
              <w:t xml:space="preserve">A UE is not expected to be configured with aperiodic SRS and PUCCH formats 0 or 2 with aperiodic CSI report in the same symbol. </w:t>
            </w:r>
          </w:p>
        </w:tc>
      </w:tr>
    </w:tbl>
    <w:p w14:paraId="4F95BDF7" w14:textId="77777777" w:rsidR="00CD0DA4" w:rsidRDefault="00CD0DA4" w:rsidP="00CD0DA4"/>
    <w:p w14:paraId="1EE1D754" w14:textId="13DD23A2" w:rsidR="00CD0DA4" w:rsidRDefault="00CD0DA4" w:rsidP="00CD0DA4">
      <w:r>
        <w:t xml:space="preserve">Another issue that exists is the </w:t>
      </w:r>
      <w:r w:rsidR="0024208E">
        <w:t>way the following agreement has been captured:</w:t>
      </w:r>
    </w:p>
    <w:p w14:paraId="13653E67" w14:textId="77777777" w:rsidR="009E2796" w:rsidRPr="009E2796" w:rsidRDefault="009E2796" w:rsidP="009E2796">
      <w:pPr>
        <w:spacing w:after="0"/>
        <w:ind w:left="576"/>
        <w:rPr>
          <w:b/>
          <w:i/>
        </w:rPr>
      </w:pPr>
      <w:r w:rsidRPr="009E2796">
        <w:rPr>
          <w:b/>
          <w:i/>
          <w:highlight w:val="green"/>
        </w:rPr>
        <w:t>Agreement:</w:t>
      </w:r>
    </w:p>
    <w:p w14:paraId="2E17AC1E" w14:textId="77777777" w:rsidR="009E2796" w:rsidRPr="009E2796" w:rsidRDefault="009E2796" w:rsidP="009E2796">
      <w:pPr>
        <w:pStyle w:val="RAN1bullet1"/>
        <w:numPr>
          <w:ilvl w:val="0"/>
          <w:numId w:val="19"/>
        </w:numPr>
        <w:ind w:left="1296"/>
        <w:rPr>
          <w:i/>
          <w:lang w:val="en-US"/>
        </w:rPr>
      </w:pPr>
      <w:r w:rsidRPr="009E2796">
        <w:rPr>
          <w:i/>
          <w:lang w:val="en-US"/>
        </w:rPr>
        <w:t>In the case of collision of SRS and short PUCCH carrying only CSI report/beam failure recover request, support the prioritization rules in the table below:</w:t>
      </w:r>
    </w:p>
    <w:p w14:paraId="5D32C54D" w14:textId="77777777" w:rsidR="009E2796" w:rsidRPr="009E2796" w:rsidRDefault="009E2796" w:rsidP="009E2796">
      <w:pPr>
        <w:pStyle w:val="RAN1bullet2"/>
        <w:ind w:left="2016"/>
        <w:rPr>
          <w:i/>
        </w:rPr>
      </w:pPr>
      <w:r w:rsidRPr="009E2796">
        <w:rPr>
          <w:i/>
        </w:rPr>
        <w:t>The channel listed in the entries below are prioritized</w:t>
      </w:r>
    </w:p>
    <w:tbl>
      <w:tblPr>
        <w:tblW w:w="936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9E2796" w:rsidRPr="009E2796" w14:paraId="3B184724" w14:textId="77777777" w:rsidTr="009E2796">
        <w:tc>
          <w:tcPr>
            <w:tcW w:w="2880" w:type="dxa"/>
            <w:shd w:val="clear" w:color="auto" w:fill="auto"/>
          </w:tcPr>
          <w:p w14:paraId="7FC802F8" w14:textId="77777777" w:rsidR="009E2796" w:rsidRPr="009E2796" w:rsidRDefault="009E2796" w:rsidP="009E2796">
            <w:pPr>
              <w:spacing w:after="0"/>
              <w:rPr>
                <w:i/>
              </w:rPr>
            </w:pPr>
          </w:p>
        </w:tc>
        <w:tc>
          <w:tcPr>
            <w:tcW w:w="2160" w:type="dxa"/>
            <w:shd w:val="clear" w:color="auto" w:fill="auto"/>
          </w:tcPr>
          <w:p w14:paraId="3726E8CB" w14:textId="77777777" w:rsidR="009E2796" w:rsidRPr="009E2796" w:rsidRDefault="009E2796" w:rsidP="009E2796">
            <w:pPr>
              <w:spacing w:after="0"/>
              <w:rPr>
                <w:i/>
              </w:rPr>
            </w:pPr>
            <w:r w:rsidRPr="009E2796">
              <w:rPr>
                <w:b/>
                <w:bCs/>
                <w:i/>
              </w:rPr>
              <w:t>Aperiodic SRS</w:t>
            </w:r>
          </w:p>
        </w:tc>
        <w:tc>
          <w:tcPr>
            <w:tcW w:w="2160" w:type="dxa"/>
            <w:shd w:val="clear" w:color="auto" w:fill="auto"/>
          </w:tcPr>
          <w:p w14:paraId="6ABD8198" w14:textId="77777777" w:rsidR="009E2796" w:rsidRPr="009E2796" w:rsidRDefault="009E2796" w:rsidP="009E2796">
            <w:pPr>
              <w:spacing w:after="0"/>
              <w:rPr>
                <w:i/>
              </w:rPr>
            </w:pPr>
            <w:r w:rsidRPr="009E2796">
              <w:rPr>
                <w:b/>
                <w:bCs/>
                <w:i/>
              </w:rPr>
              <w:t>Semi-persistent SRS</w:t>
            </w:r>
          </w:p>
        </w:tc>
        <w:tc>
          <w:tcPr>
            <w:tcW w:w="2160" w:type="dxa"/>
            <w:shd w:val="clear" w:color="auto" w:fill="auto"/>
          </w:tcPr>
          <w:p w14:paraId="032199DC" w14:textId="77777777" w:rsidR="009E2796" w:rsidRPr="009E2796" w:rsidRDefault="009E2796" w:rsidP="009E2796">
            <w:pPr>
              <w:spacing w:after="0"/>
              <w:rPr>
                <w:i/>
              </w:rPr>
            </w:pPr>
            <w:r w:rsidRPr="009E2796">
              <w:rPr>
                <w:b/>
                <w:bCs/>
                <w:i/>
              </w:rPr>
              <w:t>periodic SRS</w:t>
            </w:r>
          </w:p>
        </w:tc>
      </w:tr>
      <w:tr w:rsidR="009E2796" w:rsidRPr="009E2796" w14:paraId="75E90F35" w14:textId="77777777" w:rsidTr="009E2796">
        <w:tc>
          <w:tcPr>
            <w:tcW w:w="2880" w:type="dxa"/>
            <w:shd w:val="clear" w:color="auto" w:fill="auto"/>
          </w:tcPr>
          <w:p w14:paraId="2D6E0F17" w14:textId="77777777" w:rsidR="009E2796" w:rsidRPr="009E2796" w:rsidRDefault="009E2796" w:rsidP="009E2796">
            <w:pPr>
              <w:spacing w:after="0"/>
              <w:rPr>
                <w:i/>
              </w:rPr>
            </w:pPr>
            <w:r w:rsidRPr="009E2796">
              <w:rPr>
                <w:i/>
              </w:rPr>
              <w:t>sPUCCH with aperiodic CSI report only</w:t>
            </w:r>
          </w:p>
        </w:tc>
        <w:tc>
          <w:tcPr>
            <w:tcW w:w="2160" w:type="dxa"/>
            <w:shd w:val="clear" w:color="auto" w:fill="auto"/>
          </w:tcPr>
          <w:p w14:paraId="7245BC1F" w14:textId="77777777" w:rsidR="009E2796" w:rsidRPr="009E2796" w:rsidRDefault="009E2796" w:rsidP="009E2796">
            <w:pPr>
              <w:spacing w:after="0"/>
              <w:rPr>
                <w:i/>
              </w:rPr>
            </w:pPr>
            <w:r w:rsidRPr="009E2796">
              <w:rPr>
                <w:i/>
              </w:rPr>
              <w:t>No rule**</w:t>
            </w:r>
          </w:p>
        </w:tc>
        <w:tc>
          <w:tcPr>
            <w:tcW w:w="2160" w:type="dxa"/>
            <w:shd w:val="clear" w:color="auto" w:fill="auto"/>
          </w:tcPr>
          <w:p w14:paraId="784ED823" w14:textId="77777777" w:rsidR="009E2796" w:rsidRPr="009E2796" w:rsidRDefault="009E2796" w:rsidP="009E2796">
            <w:pPr>
              <w:spacing w:after="0"/>
              <w:rPr>
                <w:i/>
              </w:rPr>
            </w:pPr>
            <w:r w:rsidRPr="009E2796">
              <w:rPr>
                <w:i/>
              </w:rPr>
              <w:t>sPUCCH</w:t>
            </w:r>
          </w:p>
        </w:tc>
        <w:tc>
          <w:tcPr>
            <w:tcW w:w="2160" w:type="dxa"/>
            <w:shd w:val="clear" w:color="auto" w:fill="auto"/>
          </w:tcPr>
          <w:p w14:paraId="03C69FB2" w14:textId="77777777" w:rsidR="009E2796" w:rsidRPr="009E2796" w:rsidRDefault="009E2796" w:rsidP="009E2796">
            <w:pPr>
              <w:spacing w:after="0"/>
              <w:rPr>
                <w:i/>
              </w:rPr>
            </w:pPr>
            <w:r w:rsidRPr="009E2796">
              <w:rPr>
                <w:i/>
              </w:rPr>
              <w:t>sPUCCH</w:t>
            </w:r>
          </w:p>
        </w:tc>
      </w:tr>
      <w:tr w:rsidR="009E2796" w:rsidRPr="009E2796" w14:paraId="08366839" w14:textId="77777777" w:rsidTr="009E2796">
        <w:tc>
          <w:tcPr>
            <w:tcW w:w="2880" w:type="dxa"/>
            <w:shd w:val="clear" w:color="auto" w:fill="auto"/>
          </w:tcPr>
          <w:p w14:paraId="08F95028" w14:textId="77777777" w:rsidR="009E2796" w:rsidRPr="009E2796" w:rsidRDefault="009E2796" w:rsidP="009E2796">
            <w:pPr>
              <w:spacing w:after="0"/>
              <w:rPr>
                <w:i/>
              </w:rPr>
            </w:pPr>
            <w:r w:rsidRPr="009E2796">
              <w:rPr>
                <w:i/>
              </w:rPr>
              <w:t>sPUCCH with semi persistent CSI report only</w:t>
            </w:r>
          </w:p>
        </w:tc>
        <w:tc>
          <w:tcPr>
            <w:tcW w:w="2160" w:type="dxa"/>
            <w:shd w:val="clear" w:color="auto" w:fill="auto"/>
          </w:tcPr>
          <w:p w14:paraId="5F84B139" w14:textId="77777777" w:rsidR="009E2796" w:rsidRPr="009E2796" w:rsidRDefault="009E2796" w:rsidP="009E2796">
            <w:pPr>
              <w:spacing w:after="0"/>
              <w:rPr>
                <w:i/>
              </w:rPr>
            </w:pPr>
            <w:r w:rsidRPr="009E2796">
              <w:rPr>
                <w:i/>
              </w:rPr>
              <w:t>SRS</w:t>
            </w:r>
          </w:p>
        </w:tc>
        <w:tc>
          <w:tcPr>
            <w:tcW w:w="2160" w:type="dxa"/>
            <w:shd w:val="clear" w:color="auto" w:fill="auto"/>
          </w:tcPr>
          <w:p w14:paraId="008FB55F" w14:textId="77777777" w:rsidR="009E2796" w:rsidRPr="009E2796" w:rsidRDefault="009E2796" w:rsidP="009E2796">
            <w:pPr>
              <w:spacing w:after="0"/>
              <w:rPr>
                <w:i/>
              </w:rPr>
            </w:pPr>
            <w:r w:rsidRPr="009E2796">
              <w:rPr>
                <w:i/>
              </w:rPr>
              <w:t>sPUCCH</w:t>
            </w:r>
          </w:p>
        </w:tc>
        <w:tc>
          <w:tcPr>
            <w:tcW w:w="2160" w:type="dxa"/>
            <w:shd w:val="clear" w:color="auto" w:fill="auto"/>
          </w:tcPr>
          <w:p w14:paraId="242DB2F0" w14:textId="77777777" w:rsidR="009E2796" w:rsidRPr="009E2796" w:rsidRDefault="009E2796" w:rsidP="009E2796">
            <w:pPr>
              <w:spacing w:after="0"/>
              <w:rPr>
                <w:i/>
              </w:rPr>
            </w:pPr>
            <w:r w:rsidRPr="009E2796">
              <w:rPr>
                <w:i/>
              </w:rPr>
              <w:t>sPUCCH</w:t>
            </w:r>
          </w:p>
        </w:tc>
      </w:tr>
      <w:tr w:rsidR="009E2796" w:rsidRPr="009E2796" w14:paraId="5D15F80B" w14:textId="77777777" w:rsidTr="009E2796">
        <w:tc>
          <w:tcPr>
            <w:tcW w:w="2880" w:type="dxa"/>
            <w:shd w:val="clear" w:color="auto" w:fill="auto"/>
          </w:tcPr>
          <w:p w14:paraId="2A49192E" w14:textId="77777777" w:rsidR="009E2796" w:rsidRPr="009E2796" w:rsidRDefault="009E2796" w:rsidP="009E2796">
            <w:pPr>
              <w:spacing w:after="0"/>
              <w:rPr>
                <w:i/>
              </w:rPr>
            </w:pPr>
            <w:r w:rsidRPr="009E2796">
              <w:rPr>
                <w:i/>
              </w:rPr>
              <w:t>sPUCCH with periodic CSI report only</w:t>
            </w:r>
          </w:p>
        </w:tc>
        <w:tc>
          <w:tcPr>
            <w:tcW w:w="2160" w:type="dxa"/>
            <w:shd w:val="clear" w:color="auto" w:fill="auto"/>
          </w:tcPr>
          <w:p w14:paraId="5157B9F6" w14:textId="77777777" w:rsidR="009E2796" w:rsidRPr="009E2796" w:rsidRDefault="009E2796" w:rsidP="009E2796">
            <w:pPr>
              <w:spacing w:after="0"/>
              <w:rPr>
                <w:i/>
              </w:rPr>
            </w:pPr>
            <w:r w:rsidRPr="009E2796">
              <w:rPr>
                <w:i/>
              </w:rPr>
              <w:t>SRS</w:t>
            </w:r>
          </w:p>
        </w:tc>
        <w:tc>
          <w:tcPr>
            <w:tcW w:w="2160" w:type="dxa"/>
            <w:shd w:val="clear" w:color="auto" w:fill="auto"/>
          </w:tcPr>
          <w:p w14:paraId="2D85F610" w14:textId="77777777" w:rsidR="009E2796" w:rsidRPr="009E2796" w:rsidRDefault="009E2796" w:rsidP="009E2796">
            <w:pPr>
              <w:spacing w:after="0"/>
              <w:rPr>
                <w:i/>
              </w:rPr>
            </w:pPr>
            <w:r w:rsidRPr="009E2796">
              <w:rPr>
                <w:i/>
              </w:rPr>
              <w:t>sPUCCH</w:t>
            </w:r>
          </w:p>
        </w:tc>
        <w:tc>
          <w:tcPr>
            <w:tcW w:w="2160" w:type="dxa"/>
            <w:shd w:val="clear" w:color="auto" w:fill="auto"/>
          </w:tcPr>
          <w:p w14:paraId="073D7DF6" w14:textId="77777777" w:rsidR="009E2796" w:rsidRPr="009E2796" w:rsidRDefault="009E2796" w:rsidP="009E2796">
            <w:pPr>
              <w:spacing w:after="0"/>
              <w:rPr>
                <w:i/>
              </w:rPr>
            </w:pPr>
            <w:r w:rsidRPr="009E2796">
              <w:rPr>
                <w:i/>
              </w:rPr>
              <w:t>sPUCCH</w:t>
            </w:r>
          </w:p>
        </w:tc>
      </w:tr>
      <w:tr w:rsidR="009E2796" w:rsidRPr="009E2796" w14:paraId="0D689C39" w14:textId="77777777" w:rsidTr="009E2796">
        <w:tc>
          <w:tcPr>
            <w:tcW w:w="2880" w:type="dxa"/>
            <w:shd w:val="clear" w:color="auto" w:fill="auto"/>
          </w:tcPr>
          <w:p w14:paraId="2ED9A83F" w14:textId="77777777" w:rsidR="009E2796" w:rsidRPr="009E2796" w:rsidRDefault="009E2796" w:rsidP="009E2796">
            <w:pPr>
              <w:spacing w:after="0"/>
              <w:rPr>
                <w:i/>
              </w:rPr>
            </w:pPr>
            <w:r w:rsidRPr="009E2796">
              <w:rPr>
                <w:i/>
              </w:rPr>
              <w:lastRenderedPageBreak/>
              <w:t>sPUCCH with beam failure recover request*</w:t>
            </w:r>
          </w:p>
        </w:tc>
        <w:tc>
          <w:tcPr>
            <w:tcW w:w="2160" w:type="dxa"/>
            <w:shd w:val="clear" w:color="auto" w:fill="auto"/>
          </w:tcPr>
          <w:p w14:paraId="6F184217" w14:textId="77777777" w:rsidR="009E2796" w:rsidRPr="009E2796" w:rsidRDefault="009E2796" w:rsidP="009E2796">
            <w:pPr>
              <w:spacing w:after="0"/>
              <w:rPr>
                <w:i/>
              </w:rPr>
            </w:pPr>
            <w:r w:rsidRPr="009E2796">
              <w:rPr>
                <w:i/>
              </w:rPr>
              <w:t>sPUCCH</w:t>
            </w:r>
          </w:p>
        </w:tc>
        <w:tc>
          <w:tcPr>
            <w:tcW w:w="2160" w:type="dxa"/>
            <w:shd w:val="clear" w:color="auto" w:fill="auto"/>
          </w:tcPr>
          <w:p w14:paraId="10AC57F5" w14:textId="77777777" w:rsidR="009E2796" w:rsidRPr="009E2796" w:rsidRDefault="009E2796" w:rsidP="009E2796">
            <w:pPr>
              <w:spacing w:after="0"/>
              <w:rPr>
                <w:i/>
              </w:rPr>
            </w:pPr>
            <w:r w:rsidRPr="009E2796">
              <w:rPr>
                <w:i/>
              </w:rPr>
              <w:t>sPUCCH</w:t>
            </w:r>
          </w:p>
        </w:tc>
        <w:tc>
          <w:tcPr>
            <w:tcW w:w="2160" w:type="dxa"/>
            <w:shd w:val="clear" w:color="auto" w:fill="auto"/>
          </w:tcPr>
          <w:p w14:paraId="3EB6FF30" w14:textId="77777777" w:rsidR="009E2796" w:rsidRPr="009E2796" w:rsidRDefault="009E2796" w:rsidP="009E2796">
            <w:pPr>
              <w:spacing w:after="0"/>
              <w:rPr>
                <w:i/>
              </w:rPr>
            </w:pPr>
            <w:r w:rsidRPr="009E2796">
              <w:rPr>
                <w:i/>
              </w:rPr>
              <w:t>sPUCCH</w:t>
            </w:r>
          </w:p>
        </w:tc>
      </w:tr>
    </w:tbl>
    <w:p w14:paraId="013DEAA3" w14:textId="77777777" w:rsidR="009E2796" w:rsidRPr="009E2796" w:rsidRDefault="009E2796" w:rsidP="009E2796">
      <w:pPr>
        <w:pStyle w:val="RAN1bullet1"/>
        <w:numPr>
          <w:ilvl w:val="0"/>
          <w:numId w:val="19"/>
        </w:numPr>
        <w:spacing w:before="120"/>
        <w:ind w:left="1296"/>
        <w:rPr>
          <w:i/>
          <w:lang w:val="en-US"/>
        </w:rPr>
      </w:pPr>
      <w:r w:rsidRPr="009E2796">
        <w:rPr>
          <w:i/>
        </w:rPr>
        <w:t>In case SRS is dropped, dropping can be partial in time domain, i.e., only those OFDM symbols that collide</w:t>
      </w:r>
      <w:r w:rsidRPr="009E2796">
        <w:rPr>
          <w:i/>
          <w:lang w:val="en-US"/>
        </w:rPr>
        <w:t xml:space="preserve"> with short PUCCH</w:t>
      </w:r>
    </w:p>
    <w:p w14:paraId="3F5F1DF8" w14:textId="77777777" w:rsidR="009E2796" w:rsidRPr="009E2796" w:rsidRDefault="009E2796" w:rsidP="009E2796">
      <w:pPr>
        <w:spacing w:after="0"/>
        <w:ind w:left="576"/>
        <w:rPr>
          <w:i/>
        </w:rPr>
      </w:pPr>
      <w:r w:rsidRPr="009E2796">
        <w:rPr>
          <w:i/>
        </w:rPr>
        <w:t>*If short PUCCH is supported for beam failure recovery request and collision between short PUCCH with beam failure recovery request and aperiodic/semi persistent/periodic SRS occurs, prioritize short PUCCH</w:t>
      </w:r>
    </w:p>
    <w:p w14:paraId="3F0D9A1F" w14:textId="77777777" w:rsidR="009E2796" w:rsidRPr="009E2796" w:rsidRDefault="009E2796" w:rsidP="009E2796">
      <w:pPr>
        <w:spacing w:after="0"/>
        <w:ind w:left="576"/>
        <w:rPr>
          <w:i/>
        </w:rPr>
      </w:pPr>
      <w:r w:rsidRPr="009E2796">
        <w:rPr>
          <w:i/>
        </w:rPr>
        <w:t>** UE can assume that this collision will not occur</w:t>
      </w:r>
    </w:p>
    <w:p w14:paraId="7707FD91" w14:textId="08979A37" w:rsidR="0024208E" w:rsidRDefault="0024208E" w:rsidP="00CD0DA4"/>
    <w:tbl>
      <w:tblPr>
        <w:tblStyle w:val="TableGrid"/>
        <w:tblW w:w="0" w:type="auto"/>
        <w:tblLook w:val="04A0" w:firstRow="1" w:lastRow="0" w:firstColumn="1" w:lastColumn="0" w:noHBand="0" w:noVBand="1"/>
      </w:tblPr>
      <w:tblGrid>
        <w:gridCol w:w="9962"/>
      </w:tblGrid>
      <w:tr w:rsidR="0024208E" w14:paraId="4F373ADB" w14:textId="77777777" w:rsidTr="0024208E">
        <w:tc>
          <w:tcPr>
            <w:tcW w:w="9962" w:type="dxa"/>
          </w:tcPr>
          <w:p w14:paraId="1F839DF5" w14:textId="35E68580" w:rsidR="0024208E" w:rsidRPr="0024208E" w:rsidRDefault="0024208E" w:rsidP="0024208E">
            <w:pPr>
              <w:rPr>
                <w:b/>
                <w:u w:val="single"/>
              </w:rPr>
            </w:pPr>
            <w:bookmarkStart w:id="6" w:name="_Hlk498636457"/>
            <w:bookmarkStart w:id="7" w:name="_Hlk498636712"/>
            <w:r w:rsidRPr="0024208E">
              <w:rPr>
                <w:b/>
                <w:u w:val="single"/>
              </w:rPr>
              <w:t>Section 6.2.1.1 of 38.214:</w:t>
            </w:r>
          </w:p>
          <w:p w14:paraId="76B66B17" w14:textId="7AB92890" w:rsidR="0024208E" w:rsidRDefault="0024208E" w:rsidP="00CD0DA4">
            <w:r>
              <w:t>For PUCCH formats 0 and 2, a</w:t>
            </w:r>
            <w:r w:rsidRPr="0048482F">
              <w:t xml:space="preserve"> UE shall not transmit SRS when semi-persistent and periodic SRS are configured in the same symbol(s) with PUCCH </w:t>
            </w:r>
            <w:bookmarkEnd w:id="6"/>
            <w:r w:rsidRPr="0048482F">
              <w:t>carrying only CSI report</w:t>
            </w:r>
            <w:r>
              <w:t>(</w:t>
            </w:r>
            <w:r w:rsidRPr="0048482F">
              <w:t>s</w:t>
            </w:r>
            <w:r>
              <w:t>)</w:t>
            </w:r>
            <w:r w:rsidRPr="0048482F">
              <w:t xml:space="preserve">, </w:t>
            </w:r>
            <w:r>
              <w:t xml:space="preserve">or only L1-RSRP report(s) </w:t>
            </w:r>
            <w:r w:rsidRPr="0048482F">
              <w:t>o</w:t>
            </w:r>
            <w:bookmarkEnd w:id="7"/>
            <w:r w:rsidRPr="0048482F">
              <w:t xml:space="preserve">r if aperiodic SRS is </w:t>
            </w:r>
            <w:r w:rsidRPr="0024208E">
              <w:rPr>
                <w:highlight w:val="yellow"/>
              </w:rPr>
              <w:t>configured</w:t>
            </w:r>
            <w:r w:rsidRPr="0048482F">
              <w:t xml:space="preserve"> and PUCCH consists of beam failure request. In the case that SRS is not transmitted due to overlap with PUCCH, only the SRS symbol(s) that overlap with PUCCH symbol(s) are dropped. PUCCH shall not be transmitted when aperiodic SRS </w:t>
            </w:r>
            <w:r w:rsidRPr="0024208E">
              <w:rPr>
                <w:highlight w:val="yellow"/>
              </w:rPr>
              <w:t>happens</w:t>
            </w:r>
            <w:r w:rsidRPr="0048482F">
              <w:t xml:space="preserve"> to overlap in the same symbol with semi-persistent or periodic PUCCH carrying semi-persistent/periodic CSI report</w:t>
            </w:r>
            <w:r>
              <w:t>(s) or semi-persistent/periodic L1-RSRP report(s)</w:t>
            </w:r>
            <w:r w:rsidRPr="0048482F">
              <w:t xml:space="preserve"> only. </w:t>
            </w:r>
          </w:p>
        </w:tc>
      </w:tr>
    </w:tbl>
    <w:p w14:paraId="668E2A3E" w14:textId="77777777" w:rsidR="009E2796" w:rsidRDefault="009E2796" w:rsidP="00CD0DA4"/>
    <w:p w14:paraId="3AC3B502" w14:textId="2B66E84C" w:rsidR="009E2796" w:rsidRDefault="009E2796" w:rsidP="00CD0DA4">
      <w:r>
        <w:t>Note that, for aperiodic SRS, the collision should only apply when SRS is triggered to be transmitted, and not when it is just configured. The UE may be configured with several aperiodic SRS resources, but none of them are triggered, in which case there is no need to drop the PUCCH.</w:t>
      </w:r>
    </w:p>
    <w:p w14:paraId="04036363" w14:textId="77777777" w:rsidR="00B73B51" w:rsidRPr="00F625F4" w:rsidRDefault="00B73B51" w:rsidP="00B73B51">
      <w:pPr>
        <w:rPr>
          <w:b/>
          <w:i/>
        </w:rPr>
      </w:pPr>
      <w:r w:rsidRPr="00B70F17">
        <w:rPr>
          <w:b/>
          <w:i/>
        </w:rPr>
        <w:t>Text Proposal 2:</w:t>
      </w:r>
      <w:r w:rsidRPr="00B70F17">
        <w:t xml:space="preserve"> </w:t>
      </w:r>
      <w:r w:rsidRPr="00F625F4">
        <w:rPr>
          <w:b/>
          <w:i/>
        </w:rPr>
        <w:t>Revise the following sentence of Section 6.2.1.1 of 38.214 as follows:</w:t>
      </w:r>
    </w:p>
    <w:tbl>
      <w:tblPr>
        <w:tblStyle w:val="TableGrid"/>
        <w:tblW w:w="0" w:type="auto"/>
        <w:tblLook w:val="04A0" w:firstRow="1" w:lastRow="0" w:firstColumn="1" w:lastColumn="0" w:noHBand="0" w:noVBand="1"/>
      </w:tblPr>
      <w:tblGrid>
        <w:gridCol w:w="9962"/>
      </w:tblGrid>
      <w:tr w:rsidR="00B73B51" w:rsidRPr="00B70F17" w14:paraId="0F597389" w14:textId="77777777" w:rsidTr="00646852">
        <w:tc>
          <w:tcPr>
            <w:tcW w:w="9962" w:type="dxa"/>
          </w:tcPr>
          <w:p w14:paraId="11088816" w14:textId="77777777" w:rsidR="00B73B51" w:rsidRPr="00B70F17" w:rsidRDefault="00B73B51" w:rsidP="00646852">
            <w:pPr>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14:paraId="70E1A3B3" w14:textId="77777777" w:rsidR="00E32FDF" w:rsidRPr="00B73B51" w:rsidRDefault="00E32FDF" w:rsidP="00CD0DA4"/>
    <w:p w14:paraId="47205084" w14:textId="566BEA5E" w:rsidR="00E32FDF" w:rsidRDefault="00E32FDF" w:rsidP="00CD0DA4">
      <w:pPr>
        <w:rPr>
          <w:lang w:val="en-GB"/>
        </w:rPr>
      </w:pPr>
      <w:r>
        <w:rPr>
          <w:lang w:val="en-GB"/>
        </w:rPr>
        <w:t>Finally, what is missing is the agreement that SRS and short PUCCH (PUCCH format 0,2) carrying ACK/NAK are TDMed. Therefore, we make the following text Proposal:</w:t>
      </w:r>
    </w:p>
    <w:p w14:paraId="050AEBFF" w14:textId="78357802" w:rsidR="00E32FDF" w:rsidRPr="00E32FDF" w:rsidRDefault="00E32FDF" w:rsidP="00E32FDF">
      <w:pPr>
        <w:spacing w:after="0"/>
        <w:rPr>
          <w:i/>
          <w:lang w:val="en-GB"/>
        </w:rPr>
      </w:pPr>
      <w:r w:rsidRPr="00E32FDF">
        <w:rPr>
          <w:b/>
          <w:lang w:val="en-GB"/>
        </w:rPr>
        <w:t>Text Proposal 3:</w:t>
      </w:r>
      <w:r>
        <w:rPr>
          <w:b/>
          <w:lang w:val="en-GB"/>
        </w:rPr>
        <w:t xml:space="preserve"> </w:t>
      </w:r>
      <w:r w:rsidRPr="00F625F4">
        <w:rPr>
          <w:b/>
          <w:i/>
          <w:lang w:val="en-GB"/>
        </w:rPr>
        <w:t>Revise the following sentence of Section 6.2.1.1 of 38214 as follows:</w:t>
      </w:r>
    </w:p>
    <w:p w14:paraId="2AA6A746" w14:textId="228EBCC2" w:rsidR="00E32FDF" w:rsidRPr="00E32FDF" w:rsidRDefault="00E32FDF" w:rsidP="00E32FDF">
      <w:pPr>
        <w:pStyle w:val="ListParagraph"/>
        <w:numPr>
          <w:ilvl w:val="0"/>
          <w:numId w:val="29"/>
        </w:numPr>
        <w:rPr>
          <w:rFonts w:ascii="Times New Roman" w:eastAsia="SimSun" w:hAnsi="Times New Roman"/>
          <w:i/>
          <w:sz w:val="20"/>
          <w:szCs w:val="20"/>
          <w:lang w:val="en-GB"/>
        </w:rPr>
      </w:pPr>
      <w:r w:rsidRPr="00E32FDF">
        <w:rPr>
          <w:rFonts w:ascii="Times New Roman" w:eastAsia="SimSun" w:hAnsi="Times New Roman"/>
          <w:i/>
          <w:sz w:val="20"/>
          <w:szCs w:val="20"/>
          <w:lang w:val="en-GB"/>
        </w:rPr>
        <w:t>A UE is not expected to be configured with SRS and PUSCH/UL DM-RS/UL PT-RS/PUCCH formats 1, 3 or 4/</w:t>
      </w:r>
      <w:r w:rsidRPr="00E32FDF">
        <w:rPr>
          <w:rFonts w:ascii="Times New Roman" w:eastAsia="SimSun" w:hAnsi="Times New Roman"/>
          <w:b/>
          <w:i/>
          <w:color w:val="4472C4" w:themeColor="accent5"/>
          <w:sz w:val="20"/>
          <w:szCs w:val="20"/>
          <w:lang w:val="en-GB"/>
        </w:rPr>
        <w:t>PUCCH format 0,</w:t>
      </w:r>
      <w:r>
        <w:rPr>
          <w:rFonts w:ascii="Times New Roman" w:eastAsia="SimSun" w:hAnsi="Times New Roman"/>
          <w:b/>
          <w:i/>
          <w:color w:val="4472C4" w:themeColor="accent5"/>
          <w:sz w:val="20"/>
          <w:szCs w:val="20"/>
          <w:lang w:val="en-GB"/>
        </w:rPr>
        <w:t xml:space="preserve"> </w:t>
      </w:r>
      <w:r w:rsidRPr="00E32FDF">
        <w:rPr>
          <w:rFonts w:ascii="Times New Roman" w:eastAsia="SimSun" w:hAnsi="Times New Roman"/>
          <w:b/>
          <w:i/>
          <w:color w:val="4472C4" w:themeColor="accent5"/>
          <w:sz w:val="20"/>
          <w:szCs w:val="20"/>
          <w:lang w:val="en-GB"/>
        </w:rPr>
        <w:t>2</w:t>
      </w:r>
      <w:r w:rsidRPr="00E32FDF">
        <w:rPr>
          <w:rFonts w:ascii="Times New Roman" w:eastAsia="SimSun" w:hAnsi="Times New Roman"/>
          <w:i/>
          <w:color w:val="4472C4" w:themeColor="accent5"/>
          <w:sz w:val="20"/>
          <w:szCs w:val="20"/>
          <w:lang w:val="en-GB"/>
        </w:rPr>
        <w:t xml:space="preserve"> </w:t>
      </w:r>
      <w:r w:rsidRPr="00E32FDF">
        <w:rPr>
          <w:rFonts w:ascii="Times New Roman" w:eastAsia="SimSun" w:hAnsi="Times New Roman"/>
          <w:i/>
          <w:sz w:val="20"/>
          <w:szCs w:val="20"/>
          <w:lang w:val="en-GB"/>
        </w:rPr>
        <w:t xml:space="preserve">carrying ACK/NAK in the same symbol. </w:t>
      </w:r>
    </w:p>
    <w:p w14:paraId="6263983A" w14:textId="77777777" w:rsidR="00E32FDF" w:rsidRPr="00E32FDF" w:rsidRDefault="00E32FDF" w:rsidP="00CD0DA4"/>
    <w:p w14:paraId="79E130B4" w14:textId="685FA948" w:rsidR="00DA39CF" w:rsidRDefault="00F52403" w:rsidP="00DA39CF">
      <w:pPr>
        <w:pStyle w:val="Heading1"/>
      </w:pPr>
      <w:r>
        <w:t>D</w:t>
      </w:r>
      <w:r w:rsidR="00BD139C">
        <w:t xml:space="preserve">etails </w:t>
      </w:r>
      <w:r w:rsidR="00A70C78">
        <w:t>on</w:t>
      </w:r>
      <w:r w:rsidR="00BD139C">
        <w:t xml:space="preserve"> “</w:t>
      </w:r>
      <w:r w:rsidR="00DA39CF" w:rsidRPr="00DA39CF">
        <w:t>Antenna Switching</w:t>
      </w:r>
      <w:r w:rsidR="00BD139C">
        <w:t>”</w:t>
      </w:r>
    </w:p>
    <w:p w14:paraId="4823EDC9" w14:textId="38EE27B7" w:rsidR="00F52403" w:rsidRDefault="00F52403" w:rsidP="00F52403">
      <w:pPr>
        <w:pStyle w:val="Heading2"/>
      </w:pPr>
      <w:bookmarkStart w:id="8" w:name="_GoBack"/>
      <w:bookmarkEnd w:id="8"/>
      <w:r>
        <w:t>Antenna switching &amp; UE-capability considerations</w:t>
      </w:r>
    </w:p>
    <w:p w14:paraId="0652BAD2" w14:textId="77777777" w:rsidR="00F52403" w:rsidRPr="0082295B" w:rsidRDefault="00F52403" w:rsidP="00F52403">
      <w:pPr>
        <w:rPr>
          <w:sz w:val="18"/>
          <w:lang w:val="en-GB"/>
        </w:rPr>
      </w:pPr>
      <w:r w:rsidRPr="0082295B">
        <w:rPr>
          <w:sz w:val="18"/>
          <w:lang w:val="en-GB"/>
        </w:rPr>
        <w:t>In RAN1#90,</w:t>
      </w:r>
      <w:r>
        <w:rPr>
          <w:sz w:val="18"/>
          <w:lang w:val="en-GB"/>
        </w:rPr>
        <w:t xml:space="preserve"> </w:t>
      </w:r>
      <w:r w:rsidRPr="0082295B">
        <w:rPr>
          <w:sz w:val="18"/>
          <w:lang w:val="en-GB"/>
        </w:rPr>
        <w:t xml:space="preserve">the following agreement was achieved: </w:t>
      </w:r>
    </w:p>
    <w:p w14:paraId="2ED5AB8F" w14:textId="77777777" w:rsidR="00F52403" w:rsidRPr="0082295B" w:rsidRDefault="00F52403" w:rsidP="00F52403">
      <w:pPr>
        <w:numPr>
          <w:ilvl w:val="0"/>
          <w:numId w:val="9"/>
        </w:numPr>
        <w:spacing w:after="0"/>
        <w:rPr>
          <w:i/>
          <w:sz w:val="18"/>
        </w:rPr>
      </w:pPr>
      <w:r w:rsidRPr="0082295B">
        <w:rPr>
          <w:i/>
          <w:sz w:val="18"/>
        </w:rPr>
        <w:t>For 1T2R or 2T4R antenna switching within an active BWP of a component carrier, NR supports inter-slot and intra-slot antenna switching</w:t>
      </w:r>
    </w:p>
    <w:p w14:paraId="5623594D" w14:textId="77777777" w:rsidR="00F52403" w:rsidRPr="0082295B" w:rsidRDefault="00F52403" w:rsidP="00F52403">
      <w:pPr>
        <w:numPr>
          <w:ilvl w:val="1"/>
          <w:numId w:val="9"/>
        </w:numPr>
        <w:spacing w:after="0"/>
        <w:rPr>
          <w:i/>
          <w:sz w:val="18"/>
        </w:rPr>
      </w:pPr>
      <w:r w:rsidRPr="0082295B">
        <w:rPr>
          <w:i/>
          <w:sz w:val="18"/>
        </w:rPr>
        <w:t>The UE is configured with two SRS resources which are both 1 symbol or both 2 symbols, where</w:t>
      </w:r>
    </w:p>
    <w:p w14:paraId="2525BC56" w14:textId="77777777" w:rsidR="00F52403" w:rsidRPr="0082295B" w:rsidRDefault="00F52403" w:rsidP="00F52403">
      <w:pPr>
        <w:numPr>
          <w:ilvl w:val="2"/>
          <w:numId w:val="9"/>
        </w:numPr>
        <w:spacing w:after="0"/>
        <w:rPr>
          <w:i/>
          <w:sz w:val="18"/>
        </w:rPr>
      </w:pPr>
      <w:r w:rsidRPr="0082295B">
        <w:rPr>
          <w:i/>
          <w:sz w:val="18"/>
        </w:rPr>
        <w:t>For 1T2R: Both resources are single-port, and the port of the 2nd resource is associated with a different UE antenna than the port of the 1st resource</w:t>
      </w:r>
    </w:p>
    <w:p w14:paraId="33B6EF28" w14:textId="77777777" w:rsidR="00F52403" w:rsidRPr="0082295B" w:rsidRDefault="00F52403" w:rsidP="00F52403">
      <w:pPr>
        <w:numPr>
          <w:ilvl w:val="2"/>
          <w:numId w:val="9"/>
        </w:numPr>
        <w:spacing w:after="0"/>
        <w:rPr>
          <w:i/>
          <w:sz w:val="18"/>
        </w:rPr>
      </w:pPr>
      <w:r w:rsidRPr="0082295B">
        <w:rPr>
          <w:i/>
          <w:sz w:val="18"/>
        </w:rPr>
        <w:lastRenderedPageBreak/>
        <w:t>For 2T4R: Both resources are 2-port, and the port pair of the 2nd resource is associated with a different UE antenna pair than the port pair of the 1st resource</w:t>
      </w:r>
    </w:p>
    <w:p w14:paraId="0C01A90D" w14:textId="77777777" w:rsidR="00F52403" w:rsidRPr="0082295B" w:rsidRDefault="00F52403" w:rsidP="00F52403">
      <w:pPr>
        <w:numPr>
          <w:ilvl w:val="1"/>
          <w:numId w:val="9"/>
        </w:numPr>
        <w:spacing w:after="0"/>
        <w:rPr>
          <w:i/>
          <w:sz w:val="18"/>
        </w:rPr>
      </w:pPr>
      <w:r w:rsidRPr="0082295B">
        <w:rPr>
          <w:i/>
          <w:sz w:val="18"/>
          <w:lang w:val="en-GB"/>
        </w:rPr>
        <w:t>For inter-slot antenna switching, the two SRS resources are TDM’d at slot level</w:t>
      </w:r>
    </w:p>
    <w:p w14:paraId="36BF1132" w14:textId="77777777" w:rsidR="00F52403" w:rsidRPr="0082295B" w:rsidRDefault="00F52403" w:rsidP="00F52403">
      <w:pPr>
        <w:numPr>
          <w:ilvl w:val="1"/>
          <w:numId w:val="9"/>
        </w:numPr>
        <w:spacing w:after="0"/>
        <w:rPr>
          <w:i/>
          <w:sz w:val="18"/>
        </w:rPr>
      </w:pPr>
      <w:r w:rsidRPr="0082295B">
        <w:rPr>
          <w:i/>
          <w:sz w:val="18"/>
        </w:rPr>
        <w:t>For intra-slot antenna switching, the two SRS resources are TDM’d. They may be configured with a guard period of Y symbols in between to account for the Tx switching transient time (e.g., enough symbols to account for 15 us according to RAN4, based on UE capability)</w:t>
      </w:r>
    </w:p>
    <w:p w14:paraId="5B036ADA" w14:textId="77777777" w:rsidR="00F52403" w:rsidRPr="0082295B" w:rsidRDefault="00F52403" w:rsidP="00F52403">
      <w:pPr>
        <w:numPr>
          <w:ilvl w:val="2"/>
          <w:numId w:val="9"/>
        </w:numPr>
        <w:spacing w:after="0"/>
        <w:rPr>
          <w:i/>
          <w:sz w:val="18"/>
        </w:rPr>
      </w:pPr>
      <w:r w:rsidRPr="0082295B">
        <w:rPr>
          <w:i/>
          <w:sz w:val="18"/>
        </w:rPr>
        <w:t>The UE does not transmit any other signal during the guard period</w:t>
      </w:r>
    </w:p>
    <w:p w14:paraId="2D27162C" w14:textId="77777777" w:rsidR="00F52403" w:rsidRPr="0082295B" w:rsidRDefault="00F52403" w:rsidP="00F52403">
      <w:pPr>
        <w:numPr>
          <w:ilvl w:val="1"/>
          <w:numId w:val="9"/>
        </w:numPr>
        <w:spacing w:after="0"/>
        <w:rPr>
          <w:i/>
          <w:sz w:val="18"/>
        </w:rPr>
      </w:pPr>
      <w:r w:rsidRPr="0082295B">
        <w:rPr>
          <w:i/>
          <w:sz w:val="18"/>
        </w:rPr>
        <w:t>For intra-slot, aperiodic triggering of the two SRS resources configured for antenna switching is supported. FFS: aperiodic triggering for inter-slot.</w:t>
      </w:r>
    </w:p>
    <w:p w14:paraId="4F8A5BD1" w14:textId="77777777" w:rsidR="00F52403" w:rsidRPr="0082295B" w:rsidRDefault="00F52403" w:rsidP="00F52403">
      <w:pPr>
        <w:numPr>
          <w:ilvl w:val="0"/>
          <w:numId w:val="9"/>
        </w:numPr>
        <w:spacing w:after="0"/>
        <w:rPr>
          <w:i/>
          <w:sz w:val="18"/>
        </w:rPr>
      </w:pPr>
      <w:r w:rsidRPr="0082295B">
        <w:rPr>
          <w:i/>
          <w:sz w:val="18"/>
          <w:lang w:val="en-GB"/>
        </w:rPr>
        <w:t>NR supports 1T4R antenna switching within an active BWP of a component carrier</w:t>
      </w:r>
    </w:p>
    <w:p w14:paraId="09F145DC" w14:textId="77777777" w:rsidR="00F52403" w:rsidRPr="0082295B" w:rsidRDefault="00F52403" w:rsidP="00F52403">
      <w:pPr>
        <w:numPr>
          <w:ilvl w:val="1"/>
          <w:numId w:val="9"/>
        </w:numPr>
        <w:spacing w:after="0"/>
        <w:rPr>
          <w:i/>
          <w:sz w:val="18"/>
        </w:rPr>
      </w:pPr>
      <w:r w:rsidRPr="0082295B">
        <w:rPr>
          <w:i/>
          <w:sz w:val="18"/>
        </w:rPr>
        <w:t>The UE is configured with 4 SRS resources which are all single-symbol and single-port</w:t>
      </w:r>
    </w:p>
    <w:p w14:paraId="0811AFBD" w14:textId="77777777" w:rsidR="00F52403" w:rsidRPr="0082295B" w:rsidRDefault="00F52403" w:rsidP="00F52403">
      <w:pPr>
        <w:numPr>
          <w:ilvl w:val="2"/>
          <w:numId w:val="9"/>
        </w:numPr>
        <w:spacing w:after="0"/>
        <w:rPr>
          <w:i/>
          <w:sz w:val="18"/>
        </w:rPr>
      </w:pPr>
      <w:r w:rsidRPr="0082295B">
        <w:rPr>
          <w:i/>
          <w:sz w:val="18"/>
        </w:rPr>
        <w:t>Each port of the 4 resources is associated with a different UE antenna</w:t>
      </w:r>
    </w:p>
    <w:p w14:paraId="298F9C96" w14:textId="77777777" w:rsidR="00F52403" w:rsidRPr="00BF3727" w:rsidRDefault="00F52403" w:rsidP="00F52403">
      <w:pPr>
        <w:numPr>
          <w:ilvl w:val="1"/>
          <w:numId w:val="9"/>
        </w:numPr>
        <w:spacing w:after="0"/>
        <w:rPr>
          <w:i/>
          <w:sz w:val="18"/>
        </w:rPr>
      </w:pPr>
      <w:r w:rsidRPr="00BF3727">
        <w:rPr>
          <w:i/>
          <w:sz w:val="18"/>
        </w:rPr>
        <w:t>FFS: Inter-/intra-slot switching</w:t>
      </w:r>
    </w:p>
    <w:p w14:paraId="0576DF71" w14:textId="77777777" w:rsidR="00F52403" w:rsidRPr="00BF3727" w:rsidRDefault="00F52403" w:rsidP="00F52403">
      <w:pPr>
        <w:numPr>
          <w:ilvl w:val="1"/>
          <w:numId w:val="9"/>
        </w:numPr>
        <w:spacing w:after="0"/>
        <w:rPr>
          <w:i/>
          <w:sz w:val="18"/>
        </w:rPr>
      </w:pPr>
      <w:r w:rsidRPr="00BF3727">
        <w:rPr>
          <w:i/>
          <w:sz w:val="18"/>
        </w:rPr>
        <w:t xml:space="preserve">FFS: </w:t>
      </w:r>
      <w:r w:rsidRPr="00BF3727">
        <w:rPr>
          <w:i/>
          <w:sz w:val="18"/>
          <w:lang w:val="en-GB"/>
        </w:rPr>
        <w:t>Aperiodic triggering of the 4 SRS resources</w:t>
      </w:r>
    </w:p>
    <w:p w14:paraId="3C66A753" w14:textId="77777777" w:rsidR="00F52403" w:rsidRPr="00A14058" w:rsidRDefault="00F52403" w:rsidP="00F52403">
      <w:pPr>
        <w:numPr>
          <w:ilvl w:val="0"/>
          <w:numId w:val="9"/>
        </w:numPr>
        <w:spacing w:after="0"/>
        <w:rPr>
          <w:i/>
          <w:sz w:val="18"/>
          <w:highlight w:val="yellow"/>
        </w:rPr>
      </w:pPr>
      <w:r w:rsidRPr="00A14058">
        <w:rPr>
          <w:i/>
          <w:sz w:val="18"/>
          <w:highlight w:val="yellow"/>
        </w:rPr>
        <w:t>FFS: how to provide the eNB with UE requirements on the number of SRS resources and the number of ports per resource for the purposes of Tx antenna switching</w:t>
      </w:r>
    </w:p>
    <w:p w14:paraId="492DFA9C" w14:textId="77777777" w:rsidR="00F52403" w:rsidRPr="00A04ADC" w:rsidRDefault="00F52403" w:rsidP="00F52403">
      <w:pPr>
        <w:numPr>
          <w:ilvl w:val="0"/>
          <w:numId w:val="9"/>
        </w:numPr>
        <w:spacing w:after="0"/>
        <w:rPr>
          <w:i/>
          <w:sz w:val="18"/>
        </w:rPr>
      </w:pPr>
      <w:r w:rsidRPr="00A04ADC">
        <w:rPr>
          <w:i/>
          <w:sz w:val="18"/>
          <w:lang w:val="en-GB"/>
        </w:rPr>
        <w:t>FFS: UE behaviour in case of power difference between primary Tx antenna(s) and secondary Rx antenna(s)</w:t>
      </w:r>
    </w:p>
    <w:p w14:paraId="5EDE042A" w14:textId="77777777" w:rsidR="00F52403" w:rsidRPr="00F52403" w:rsidRDefault="00F52403" w:rsidP="00F52403">
      <w:pPr>
        <w:rPr>
          <w:lang w:val="en-GB"/>
        </w:rPr>
      </w:pPr>
    </w:p>
    <w:p w14:paraId="2F64ED61" w14:textId="32A6A63B" w:rsidR="00F52403" w:rsidRDefault="00F52403" w:rsidP="00F52403">
      <w:pPr>
        <w:spacing w:after="0"/>
        <w:rPr>
          <w:lang w:val="en-GB"/>
        </w:rPr>
      </w:pPr>
      <w:r w:rsidRPr="00F52403">
        <w:rPr>
          <w:lang w:val="en-GB"/>
        </w:rPr>
        <w:t>On the UE feature discussion, the following statement</w:t>
      </w:r>
      <w:r>
        <w:rPr>
          <w:lang w:val="en-GB"/>
        </w:rPr>
        <w:t xml:space="preserve"> was agreed regarding the UE capability related to antenna switching:</w:t>
      </w:r>
    </w:p>
    <w:p w14:paraId="4638E690" w14:textId="3E890506" w:rsidR="00F52403" w:rsidRPr="00F52403" w:rsidRDefault="00F52403" w:rsidP="00F52403">
      <w:pPr>
        <w:pStyle w:val="ListParagraph"/>
        <w:numPr>
          <w:ilvl w:val="0"/>
          <w:numId w:val="28"/>
        </w:numPr>
        <w:rPr>
          <w:rFonts w:ascii="Times New Roman" w:eastAsia="SimSun" w:hAnsi="Times New Roman"/>
          <w:sz w:val="20"/>
          <w:szCs w:val="20"/>
          <w:lang w:val="en-GB"/>
        </w:rPr>
      </w:pPr>
      <w:r w:rsidRPr="00F52403">
        <w:rPr>
          <w:rFonts w:ascii="Times New Roman" w:eastAsia="SimSun" w:hAnsi="Times New Roman"/>
          <w:sz w:val="20"/>
          <w:szCs w:val="20"/>
          <w:lang w:val="en-GB"/>
        </w:rPr>
        <w:t xml:space="preserve">Row 2-55 in [4]: Component-1 is a list of TRx  pairs, candidates are {1T2R, 1T4R, 2T4R, </w:t>
      </w:r>
      <w:r w:rsidRPr="00DC327B">
        <w:rPr>
          <w:rFonts w:ascii="Times New Roman" w:eastAsia="SimSun" w:hAnsi="Times New Roman"/>
          <w:b/>
          <w:sz w:val="20"/>
          <w:szCs w:val="20"/>
          <w:lang w:val="en-GB"/>
        </w:rPr>
        <w:t>1T4R/2T4R</w:t>
      </w:r>
      <w:r w:rsidRPr="00F52403">
        <w:rPr>
          <w:rFonts w:ascii="Times New Roman" w:eastAsia="SimSun" w:hAnsi="Times New Roman"/>
          <w:sz w:val="20"/>
          <w:szCs w:val="20"/>
          <w:lang w:val="en-GB"/>
        </w:rPr>
        <w:t>}</w:t>
      </w:r>
    </w:p>
    <w:p w14:paraId="3E43EF03" w14:textId="13D2638C" w:rsidR="00F52403" w:rsidRDefault="00F52403" w:rsidP="00A376A2">
      <w:r>
        <w:t xml:space="preserve">We need to clarify that the “1T4R/2T4R” is applicable to the case that the UE is UL MIMO capable, but it is not configured to </w:t>
      </w:r>
      <w:r w:rsidR="00AE366E">
        <w:t>transmit with</w:t>
      </w:r>
      <w:r>
        <w:t xml:space="preserve"> UL MIM</w:t>
      </w:r>
      <w:r w:rsidR="00AE366E">
        <w:t xml:space="preserve">O PUSCH. </w:t>
      </w:r>
    </w:p>
    <w:p w14:paraId="1005ECDD" w14:textId="77777777" w:rsidR="00F52403" w:rsidRPr="00F625F4" w:rsidRDefault="00F52403" w:rsidP="00F625F4">
      <w:pPr>
        <w:jc w:val="both"/>
        <w:rPr>
          <w:b/>
          <w:i/>
          <w:lang w:val="en-GB"/>
        </w:rPr>
      </w:pPr>
      <w:bookmarkStart w:id="9" w:name="_Hlk510617543"/>
      <w:r w:rsidRPr="00BD139C">
        <w:rPr>
          <w:b/>
          <w:i/>
          <w:lang w:val="en-GB"/>
        </w:rPr>
        <w:t xml:space="preserve">Proposal </w:t>
      </w:r>
      <w:r w:rsidR="00B70F17">
        <w:rPr>
          <w:b/>
          <w:i/>
          <w:lang w:val="en-GB"/>
        </w:rPr>
        <w:t>4</w:t>
      </w:r>
      <w:r w:rsidRPr="00412475">
        <w:rPr>
          <w:b/>
          <w:i/>
          <w:lang w:val="en-GB"/>
        </w:rPr>
        <w:t xml:space="preserve">: </w:t>
      </w:r>
      <w:r w:rsidRPr="00F625F4">
        <w:rPr>
          <w:b/>
          <w:i/>
          <w:lang w:val="en-GB"/>
        </w:rPr>
        <w:t xml:space="preserve">When a UE signals that it can perform </w:t>
      </w:r>
      <w:r w:rsidR="004B3151" w:rsidRPr="00F625F4">
        <w:rPr>
          <w:b/>
          <w:i/>
          <w:lang w:val="en-GB"/>
        </w:rPr>
        <w:t>“</w:t>
      </w:r>
      <w:r w:rsidRPr="00F625F4">
        <w:rPr>
          <w:b/>
          <w:i/>
          <w:lang w:val="en-GB"/>
        </w:rPr>
        <w:t>1T4R/2T4R</w:t>
      </w:r>
      <w:r w:rsidR="004B3151" w:rsidRPr="00F625F4">
        <w:rPr>
          <w:b/>
          <w:i/>
          <w:lang w:val="en-GB"/>
        </w:rPr>
        <w:t>”</w:t>
      </w:r>
      <w:r w:rsidRPr="00F625F4">
        <w:rPr>
          <w:b/>
          <w:i/>
          <w:lang w:val="en-GB"/>
        </w:rPr>
        <w:t xml:space="preserve"> antenna switching, the UE expects to be configured to either</w:t>
      </w:r>
      <w:r w:rsidR="004B3151" w:rsidRPr="00F625F4">
        <w:rPr>
          <w:b/>
          <w:i/>
          <w:lang w:val="en-GB"/>
        </w:rPr>
        <w:t xml:space="preserve"> with a SRS</w:t>
      </w:r>
      <w:r w:rsidR="00241B25" w:rsidRPr="00F625F4">
        <w:rPr>
          <w:b/>
          <w:i/>
          <w:lang w:val="en-GB"/>
        </w:rPr>
        <w:t xml:space="preserve"> resource</w:t>
      </w:r>
      <w:r w:rsidR="004B3151" w:rsidRPr="00F625F4">
        <w:rPr>
          <w:b/>
          <w:i/>
          <w:lang w:val="en-GB"/>
        </w:rPr>
        <w:t xml:space="preserve"> set</w:t>
      </w:r>
      <w:r w:rsidR="00241B25" w:rsidRPr="00F625F4">
        <w:rPr>
          <w:b/>
          <w:i/>
          <w:lang w:val="en-GB"/>
        </w:rPr>
        <w:t xml:space="preserve"> for antenna switching</w:t>
      </w:r>
      <w:r w:rsidR="004B3151" w:rsidRPr="00F625F4">
        <w:rPr>
          <w:b/>
          <w:i/>
          <w:lang w:val="en-GB"/>
        </w:rPr>
        <w:t xml:space="preserve"> performing the</w:t>
      </w:r>
      <w:r w:rsidRPr="00F625F4">
        <w:rPr>
          <w:b/>
          <w:i/>
          <w:lang w:val="en-GB"/>
        </w:rPr>
        <w:t xml:space="preserve"> 1T4R or 2T4R </w:t>
      </w:r>
      <w:r w:rsidR="004B3151" w:rsidRPr="00F625F4">
        <w:rPr>
          <w:b/>
          <w:i/>
          <w:lang w:val="en-GB"/>
        </w:rPr>
        <w:t xml:space="preserve"> antenna switching under the following constraint: For an UL MIMO-capable UE not configured in UL MIMO mode, only the 1T4R is expected to be configured. </w:t>
      </w:r>
    </w:p>
    <w:bookmarkEnd w:id="9"/>
    <w:p w14:paraId="2C21EBFC" w14:textId="0B886DC4" w:rsidR="00937964" w:rsidRDefault="00A04ADC" w:rsidP="000D39A5">
      <w:pPr>
        <w:pStyle w:val="Heading1"/>
      </w:pPr>
      <w:r>
        <w:t>Timing considerations for SRS switching across CCs</w:t>
      </w:r>
    </w:p>
    <w:p w14:paraId="5A964A07" w14:textId="71CBFE01" w:rsidR="00605DFC" w:rsidRDefault="00605DFC" w:rsidP="00605DFC">
      <w:pPr>
        <w:spacing w:after="0"/>
        <w:rPr>
          <w:lang w:val="en-GB"/>
        </w:rPr>
      </w:pPr>
      <w:r>
        <w:rPr>
          <w:lang w:val="en-GB"/>
        </w:rPr>
        <w:t>In RAN1# 90Bis the following generic agreement was made regarding NR SRS switching among CCs:</w:t>
      </w:r>
    </w:p>
    <w:p w14:paraId="39DC5F01" w14:textId="77777777" w:rsidR="00605DFC" w:rsidRPr="00605DFC" w:rsidRDefault="00605DFC" w:rsidP="00605DFC">
      <w:pPr>
        <w:spacing w:after="0"/>
        <w:rPr>
          <w:lang w:val="en-GB"/>
        </w:rPr>
      </w:pPr>
    </w:p>
    <w:p w14:paraId="52A2C310" w14:textId="77777777" w:rsidR="00605DFC" w:rsidRPr="009914F6" w:rsidRDefault="00605DFC" w:rsidP="00605DFC">
      <w:pPr>
        <w:spacing w:after="0"/>
        <w:rPr>
          <w:b/>
          <w:i/>
          <w:sz w:val="16"/>
        </w:rPr>
      </w:pPr>
      <w:r w:rsidRPr="009914F6">
        <w:rPr>
          <w:b/>
          <w:i/>
          <w:sz w:val="16"/>
          <w:highlight w:val="green"/>
        </w:rPr>
        <w:t>Agreement:</w:t>
      </w:r>
    </w:p>
    <w:p w14:paraId="49221275" w14:textId="77777777" w:rsidR="00605DFC" w:rsidRPr="009914F6" w:rsidRDefault="00605DFC" w:rsidP="00605DFC">
      <w:pPr>
        <w:pStyle w:val="RAN1bullet1"/>
        <w:numPr>
          <w:ilvl w:val="0"/>
          <w:numId w:val="19"/>
        </w:numPr>
        <w:rPr>
          <w:i/>
          <w:sz w:val="16"/>
          <w:lang w:val="en-US"/>
        </w:rPr>
      </w:pPr>
      <w:r w:rsidRPr="009914F6">
        <w:rPr>
          <w:i/>
          <w:sz w:val="16"/>
        </w:rPr>
        <w:t xml:space="preserve">Specify NR SRS switching among CCs similar to Rel-14 LTE SRS carrier-based switching design </w:t>
      </w:r>
      <w:r w:rsidRPr="009914F6">
        <w:rPr>
          <w:i/>
          <w:sz w:val="16"/>
          <w:lang w:val="en-US"/>
        </w:rPr>
        <w:t xml:space="preserve">including </w:t>
      </w:r>
    </w:p>
    <w:p w14:paraId="3B2ADD95" w14:textId="77777777" w:rsidR="00605DFC" w:rsidRPr="009914F6" w:rsidRDefault="00605DFC" w:rsidP="00605DFC">
      <w:pPr>
        <w:pStyle w:val="RAN1bullet2"/>
        <w:rPr>
          <w:i/>
          <w:sz w:val="16"/>
        </w:rPr>
      </w:pPr>
      <w:r w:rsidRPr="009914F6">
        <w:rPr>
          <w:i/>
          <w:sz w:val="16"/>
        </w:rPr>
        <w:t>Periodic/aperiodic/semi-persistent SRS on a CC without PUCCH/PUSCH configured</w:t>
      </w:r>
    </w:p>
    <w:p w14:paraId="7683771D" w14:textId="77777777" w:rsidR="00605DFC" w:rsidRPr="009914F6" w:rsidRDefault="00605DFC" w:rsidP="00605DFC">
      <w:pPr>
        <w:pStyle w:val="RAN1bullet2"/>
        <w:rPr>
          <w:i/>
          <w:sz w:val="16"/>
        </w:rPr>
      </w:pPr>
      <w:r w:rsidRPr="009914F6">
        <w:rPr>
          <w:i/>
          <w:sz w:val="16"/>
        </w:rPr>
        <w:t>TA (through PRACH) on TAG without PUSCH/PUCCH configured</w:t>
      </w:r>
    </w:p>
    <w:p w14:paraId="2C7D9982" w14:textId="77777777" w:rsidR="00605DFC" w:rsidRPr="009914F6" w:rsidRDefault="00605DFC" w:rsidP="00605DFC">
      <w:pPr>
        <w:pStyle w:val="RAN1bullet2"/>
        <w:rPr>
          <w:i/>
          <w:sz w:val="16"/>
        </w:rPr>
      </w:pPr>
      <w:r w:rsidRPr="009914F6">
        <w:rPr>
          <w:i/>
          <w:sz w:val="16"/>
        </w:rPr>
        <w:t>Power control separated from that of PUSCH</w:t>
      </w:r>
    </w:p>
    <w:p w14:paraId="6976E15F" w14:textId="77777777" w:rsidR="00605DFC" w:rsidRPr="009914F6" w:rsidRDefault="00605DFC" w:rsidP="00605DFC">
      <w:pPr>
        <w:pStyle w:val="RAN1bullet2"/>
        <w:rPr>
          <w:i/>
          <w:sz w:val="16"/>
        </w:rPr>
      </w:pPr>
      <w:r w:rsidRPr="009914F6">
        <w:rPr>
          <w:i/>
          <w:sz w:val="16"/>
        </w:rPr>
        <w:t>Group common DCI for aperiodic SRS triggering and TPC</w:t>
      </w:r>
    </w:p>
    <w:p w14:paraId="09DDC45D" w14:textId="0E9857AD" w:rsidR="00605DFC" w:rsidRPr="009914F6" w:rsidRDefault="00605DFC" w:rsidP="00445910">
      <w:pPr>
        <w:pStyle w:val="RAN1bullet2"/>
        <w:rPr>
          <w:i/>
          <w:sz w:val="16"/>
        </w:rPr>
      </w:pPr>
      <w:r w:rsidRPr="009914F6">
        <w:rPr>
          <w:i/>
          <w:sz w:val="16"/>
        </w:rPr>
        <w:t>DL/UL interruptions and collision handling due to SRS switching</w:t>
      </w:r>
    </w:p>
    <w:p w14:paraId="0568382E" w14:textId="77777777" w:rsidR="00605DFC" w:rsidRPr="00605DFC" w:rsidRDefault="00605DFC" w:rsidP="00605DFC">
      <w:pPr>
        <w:pStyle w:val="RAN1bullet2"/>
        <w:numPr>
          <w:ilvl w:val="0"/>
          <w:numId w:val="0"/>
        </w:numPr>
        <w:ind w:left="1440"/>
        <w:rPr>
          <w:i/>
        </w:rPr>
      </w:pPr>
    </w:p>
    <w:p w14:paraId="35F18185" w14:textId="5F4EE9F8" w:rsidR="00F12326" w:rsidRDefault="00F12326" w:rsidP="00F12326">
      <w:pPr>
        <w:pStyle w:val="Heading3"/>
      </w:pPr>
      <w:r>
        <w:t>A-SRS</w:t>
      </w:r>
      <w:r w:rsidR="009914F6">
        <w:t xml:space="preserve"> switching across CCs -</w:t>
      </w:r>
      <w:r>
        <w:t xml:space="preserve"> timing</w:t>
      </w:r>
    </w:p>
    <w:p w14:paraId="56FC350F" w14:textId="50C1CD65" w:rsidR="00445910" w:rsidRDefault="00445910" w:rsidP="00445910">
      <w:pPr>
        <w:rPr>
          <w:lang w:val="en-GB"/>
        </w:rPr>
      </w:pPr>
      <w:r>
        <w:rPr>
          <w:lang w:val="en-GB"/>
        </w:rPr>
        <w:t>As a background from LTE, the following text appears in 36.213 regarding the A-SRS timing for SRS switching across CCS:</w:t>
      </w:r>
    </w:p>
    <w:p w14:paraId="2AFBA1C9" w14:textId="01B3FE44" w:rsidR="00F01876" w:rsidRPr="00D10E6B" w:rsidRDefault="007E75F7" w:rsidP="00445910">
      <w:pPr>
        <w:ind w:left="576"/>
        <w:jc w:val="both"/>
        <w:rPr>
          <w:i/>
        </w:rPr>
      </w:pPr>
      <w:r w:rsidRPr="00D10E6B">
        <w:rPr>
          <w:i/>
          <w:lang w:val="en-GB"/>
        </w:rPr>
        <w:t xml:space="preserve">The SRS resource for the </w:t>
      </w:r>
      <w:r w:rsidRPr="00D10E6B">
        <w:rPr>
          <w:i/>
          <w:iCs/>
          <w:lang w:val="en-GB"/>
        </w:rPr>
        <w:t>n</w:t>
      </w:r>
      <w:r w:rsidRPr="00D10E6B">
        <w:rPr>
          <w:i/>
          <w:lang w:val="en-GB"/>
        </w:rPr>
        <w:t>-th (</w:t>
      </w:r>
      <w:r w:rsidRPr="00D10E6B">
        <w:rPr>
          <w:i/>
          <w:iCs/>
          <w:lang w:val="en-GB"/>
        </w:rPr>
        <w:t>n</w:t>
      </w:r>
      <w:r w:rsidRPr="00D10E6B">
        <w:rPr>
          <w:i/>
          <w:lang w:val="en-GB"/>
        </w:rPr>
        <w:t>&gt;=2) SRS transmission is determined such that it is the first SRS resource on or after the SRS resource for the (</w:t>
      </w:r>
      <w:r w:rsidRPr="00D10E6B">
        <w:rPr>
          <w:i/>
          <w:iCs/>
          <w:lang w:val="en-GB"/>
        </w:rPr>
        <w:t>n</w:t>
      </w:r>
      <w:r w:rsidRPr="00D10E6B">
        <w:rPr>
          <w:i/>
          <w:lang w:val="en-GB"/>
        </w:rPr>
        <w:t>-1)-th SRS transmission provided it does not collide with any previous SRS transmission triggered in the DCI format 3B, or interruption due to UL or DL RF retuning time [10].</w:t>
      </w:r>
    </w:p>
    <w:p w14:paraId="60DCEA05" w14:textId="77777777" w:rsidR="00605DFC" w:rsidRDefault="00605DFC" w:rsidP="00445910">
      <w:pPr>
        <w:spacing w:after="0"/>
        <w:rPr>
          <w:lang w:val="en-GB"/>
        </w:rPr>
      </w:pPr>
    </w:p>
    <w:p w14:paraId="6EBC9ABB" w14:textId="0BD3BF54" w:rsidR="00445910" w:rsidRDefault="00445910" w:rsidP="00445910">
      <w:pPr>
        <w:spacing w:after="0"/>
        <w:rPr>
          <w:lang w:val="en-GB"/>
        </w:rPr>
      </w:pPr>
      <w:r>
        <w:rPr>
          <w:lang w:val="en-GB"/>
        </w:rPr>
        <w:t xml:space="preserve">In current 38.214, such </w:t>
      </w:r>
      <w:r w:rsidR="00605DFC">
        <w:rPr>
          <w:lang w:val="en-GB"/>
        </w:rPr>
        <w:t>statements</w:t>
      </w:r>
      <w:r>
        <w:rPr>
          <w:lang w:val="en-GB"/>
        </w:rPr>
        <w:t xml:space="preserve"> have not </w:t>
      </w:r>
      <w:r w:rsidR="00605DFC">
        <w:rPr>
          <w:lang w:val="en-GB"/>
        </w:rPr>
        <w:t>been agreed</w:t>
      </w:r>
      <w:r>
        <w:rPr>
          <w:lang w:val="en-GB"/>
        </w:rPr>
        <w:t>, which makes the SRS switching across CCs in NR Rel-15 problematic. Specifically, special considerations are needed for</w:t>
      </w:r>
      <w:r w:rsidR="00605DFC">
        <w:rPr>
          <w:lang w:val="en-GB"/>
        </w:rPr>
        <w:t xml:space="preserve"> NR</w:t>
      </w:r>
      <w:r>
        <w:rPr>
          <w:lang w:val="en-GB"/>
        </w:rPr>
        <w:t xml:space="preserve"> A-SRS for switching across CCs </w:t>
      </w:r>
      <w:r w:rsidR="00605DFC">
        <w:rPr>
          <w:lang w:val="en-GB"/>
        </w:rPr>
        <w:t xml:space="preserve">compared to LTE </w:t>
      </w:r>
      <w:r>
        <w:rPr>
          <w:lang w:val="en-GB"/>
        </w:rPr>
        <w:t>due to the following two reasons.</w:t>
      </w:r>
    </w:p>
    <w:p w14:paraId="6B83B47D" w14:textId="1433E2E6" w:rsidR="00445910" w:rsidRDefault="00445910" w:rsidP="00445910">
      <w:pPr>
        <w:pStyle w:val="ListParagraph"/>
        <w:numPr>
          <w:ilvl w:val="0"/>
          <w:numId w:val="16"/>
        </w:numPr>
        <w:rPr>
          <w:rFonts w:ascii="Times New Roman" w:eastAsia="SimSun" w:hAnsi="Times New Roman"/>
          <w:sz w:val="20"/>
          <w:szCs w:val="20"/>
          <w:lang w:val="en-GB"/>
        </w:rPr>
      </w:pPr>
      <w:r w:rsidRPr="00445910">
        <w:rPr>
          <w:rFonts w:ascii="Times New Roman" w:eastAsia="SimSun" w:hAnsi="Times New Roman"/>
          <w:sz w:val="20"/>
          <w:szCs w:val="20"/>
          <w:lang w:val="en-GB"/>
        </w:rPr>
        <w:t>In NR, each CC may have different numerology,</w:t>
      </w:r>
      <w:r>
        <w:rPr>
          <w:rFonts w:ascii="Times New Roman" w:eastAsia="SimSun" w:hAnsi="Times New Roman"/>
          <w:sz w:val="20"/>
          <w:szCs w:val="20"/>
          <w:lang w:val="en-GB"/>
        </w:rPr>
        <w:t xml:space="preserve"> and the grant that carries the A-SRS triggering </w:t>
      </w:r>
      <w:r w:rsidR="00605DFC">
        <w:rPr>
          <w:rFonts w:ascii="Times New Roman" w:eastAsia="SimSun" w:hAnsi="Times New Roman"/>
          <w:sz w:val="20"/>
          <w:szCs w:val="20"/>
          <w:lang w:val="en-GB"/>
        </w:rPr>
        <w:t>may appear on a CC which has a different numerology than the ones where the sounding will occur</w:t>
      </w:r>
      <w:r>
        <w:rPr>
          <w:rFonts w:ascii="Times New Roman" w:eastAsia="SimSun" w:hAnsi="Times New Roman"/>
          <w:sz w:val="20"/>
          <w:szCs w:val="20"/>
          <w:lang w:val="en-GB"/>
        </w:rPr>
        <w:t>.</w:t>
      </w:r>
    </w:p>
    <w:p w14:paraId="37330AB2" w14:textId="3374081F" w:rsidR="00445910" w:rsidRDefault="00880A59" w:rsidP="00880A59">
      <w:pPr>
        <w:pStyle w:val="ListParagraph"/>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It can be seen in the NR UE feature discussion (</w:t>
      </w:r>
      <w:r w:rsidRPr="00880A59">
        <w:rPr>
          <w:rFonts w:ascii="Times New Roman" w:eastAsia="SimSun" w:hAnsi="Times New Roman"/>
          <w:sz w:val="20"/>
          <w:szCs w:val="20"/>
          <w:lang w:val="en-GB"/>
        </w:rPr>
        <w:t>R1-1801198</w:t>
      </w:r>
      <w:r>
        <w:rPr>
          <w:rFonts w:ascii="Times New Roman" w:eastAsia="SimSun" w:hAnsi="Times New Roman"/>
          <w:sz w:val="20"/>
          <w:szCs w:val="20"/>
          <w:lang w:val="en-GB"/>
        </w:rPr>
        <w:t>) that t</w:t>
      </w:r>
      <w:r w:rsidR="00445910">
        <w:rPr>
          <w:rFonts w:ascii="Times New Roman" w:eastAsia="SimSun" w:hAnsi="Times New Roman"/>
          <w:sz w:val="20"/>
          <w:szCs w:val="20"/>
          <w:lang w:val="en-GB"/>
        </w:rPr>
        <w:t>he minimum timing between A-SRS transmission and associated triggering is a UE capability and it is equal to N2</w:t>
      </w:r>
      <w:r>
        <w:rPr>
          <w:rFonts w:ascii="Times New Roman" w:eastAsia="SimSun" w:hAnsi="Times New Roman"/>
          <w:sz w:val="20"/>
          <w:szCs w:val="20"/>
          <w:lang w:val="en-GB"/>
        </w:rPr>
        <w:t xml:space="preserve"> (i.e., the PUSCH preparation time)</w:t>
      </w:r>
      <w:r w:rsidR="00445910">
        <w:rPr>
          <w:rFonts w:ascii="Times New Roman" w:eastAsia="SimSun" w:hAnsi="Times New Roman"/>
          <w:sz w:val="20"/>
          <w:szCs w:val="20"/>
          <w:lang w:val="en-GB"/>
        </w:rPr>
        <w:t>, which is also numerology dependent</w:t>
      </w:r>
      <w:r>
        <w:rPr>
          <w:rFonts w:ascii="Times New Roman" w:eastAsia="SimSun" w:hAnsi="Times New Roman"/>
          <w:sz w:val="20"/>
          <w:szCs w:val="20"/>
          <w:lang w:val="en-GB"/>
        </w:rPr>
        <w:t xml:space="preserve"> as it can be seen in </w:t>
      </w:r>
      <w:r w:rsidRPr="00880A59">
        <w:rPr>
          <w:rFonts w:ascii="Times New Roman" w:eastAsia="SimSun" w:hAnsi="Times New Roman"/>
          <w:sz w:val="20"/>
          <w:szCs w:val="20"/>
          <w:lang w:val="en-GB"/>
        </w:rPr>
        <w:t>Table</w:t>
      </w:r>
      <w:r>
        <w:rPr>
          <w:rFonts w:ascii="Times New Roman" w:eastAsia="SimSun" w:hAnsi="Times New Roman"/>
          <w:sz w:val="20"/>
          <w:szCs w:val="20"/>
          <w:lang w:val="en-GB"/>
        </w:rPr>
        <w:t>s</w:t>
      </w:r>
      <w:r w:rsidRPr="00880A59">
        <w:rPr>
          <w:rFonts w:ascii="Times New Roman" w:eastAsia="SimSun" w:hAnsi="Times New Roman"/>
          <w:sz w:val="20"/>
          <w:szCs w:val="20"/>
          <w:lang w:val="en-GB"/>
        </w:rPr>
        <w:t xml:space="preserve"> 6.4-1 </w:t>
      </w:r>
      <w:r>
        <w:rPr>
          <w:rFonts w:ascii="Times New Roman" w:eastAsia="SimSun" w:hAnsi="Times New Roman"/>
          <w:sz w:val="20"/>
          <w:szCs w:val="20"/>
          <w:lang w:val="en-GB"/>
        </w:rPr>
        <w:t>and</w:t>
      </w:r>
      <w:r w:rsidRPr="00880A59">
        <w:rPr>
          <w:rFonts w:ascii="Times New Roman" w:eastAsia="SimSun" w:hAnsi="Times New Roman"/>
          <w:sz w:val="20"/>
          <w:szCs w:val="20"/>
          <w:lang w:val="en-GB"/>
        </w:rPr>
        <w:t xml:space="preserve"> 6.4-2</w:t>
      </w:r>
      <w:r>
        <w:rPr>
          <w:rFonts w:ascii="Times New Roman" w:eastAsia="SimSun" w:hAnsi="Times New Roman"/>
          <w:sz w:val="20"/>
          <w:szCs w:val="20"/>
          <w:lang w:val="en-GB"/>
        </w:rPr>
        <w:t xml:space="preserve"> in latest 38.214 specification</w:t>
      </w:r>
      <w:r w:rsidR="00445910">
        <w:rPr>
          <w:rFonts w:ascii="Times New Roman" w:eastAsia="SimSun" w:hAnsi="Times New Roman"/>
          <w:sz w:val="20"/>
          <w:szCs w:val="20"/>
          <w:lang w:val="en-GB"/>
        </w:rPr>
        <w:t>.</w:t>
      </w:r>
    </w:p>
    <w:p w14:paraId="567D6A61" w14:textId="49324DC4" w:rsidR="002F63CF" w:rsidRDefault="00445910" w:rsidP="002F63CF">
      <w:pPr>
        <w:spacing w:after="0"/>
        <w:rPr>
          <w:lang w:val="en-GB"/>
        </w:rPr>
      </w:pPr>
      <w:r>
        <w:rPr>
          <w:lang w:val="en-GB"/>
        </w:rPr>
        <w:lastRenderedPageBreak/>
        <w:t xml:space="preserve">Therefore, </w:t>
      </w:r>
      <w:r w:rsidR="00880A59">
        <w:rPr>
          <w:lang w:val="en-GB"/>
        </w:rPr>
        <w:t>an agreement is missing on the minimum timing gap between A-SRS transmission and associated triggering when different CCs have different numerology. Specifically,</w:t>
      </w:r>
      <w:r w:rsidR="004E15AD">
        <w:rPr>
          <w:lang w:val="en-GB"/>
        </w:rPr>
        <w:t xml:space="preserve"> the UE</w:t>
      </w:r>
      <w:r w:rsidR="00880A59">
        <w:rPr>
          <w:lang w:val="en-GB"/>
        </w:rPr>
        <w:t>, due to the fact that N2 is numerology dependent,</w:t>
      </w:r>
      <w:r w:rsidR="004E15AD">
        <w:rPr>
          <w:lang w:val="en-GB"/>
        </w:rPr>
        <w:t xml:space="preserve"> shall </w:t>
      </w:r>
      <w:r w:rsidR="004E15AD" w:rsidRPr="002F63CF">
        <w:rPr>
          <w:lang w:val="en-GB"/>
        </w:rPr>
        <w:t>not</w:t>
      </w:r>
      <w:r w:rsidR="004E15AD">
        <w:rPr>
          <w:lang w:val="en-GB"/>
        </w:rPr>
        <w:t xml:space="preserve"> be configured to transmit an SRS on a CC earlier than </w:t>
      </w:r>
    </w:p>
    <w:p w14:paraId="0602561D" w14:textId="4503044D" w:rsidR="002F63CF" w:rsidRPr="002F63CF" w:rsidRDefault="00880A59" w:rsidP="002F63CF">
      <w:pPr>
        <w:pStyle w:val="ListParagraph"/>
        <w:numPr>
          <w:ilvl w:val="0"/>
          <w:numId w:val="18"/>
        </w:numPr>
        <w:rPr>
          <w:rFonts w:ascii="Times New Roman" w:eastAsia="SimSun" w:hAnsi="Times New Roman"/>
          <w:sz w:val="20"/>
          <w:szCs w:val="20"/>
          <w:lang w:val="en-GB"/>
        </w:rPr>
      </w:pPr>
      <w:r>
        <w:rPr>
          <w:rFonts w:ascii="Times New Roman" w:eastAsia="SimSun" w:hAnsi="Times New Roman"/>
          <w:sz w:val="20"/>
          <w:szCs w:val="20"/>
          <w:lang w:val="en-GB"/>
        </w:rPr>
        <w:t xml:space="preserve">The summation of the time duration of </w:t>
      </w:r>
      <w:r w:rsidR="004E15AD" w:rsidRPr="002F63CF">
        <w:rPr>
          <w:rFonts w:ascii="Times New Roman" w:eastAsia="SimSun" w:hAnsi="Times New Roman"/>
          <w:sz w:val="20"/>
          <w:szCs w:val="20"/>
          <w:lang w:val="en-GB"/>
        </w:rPr>
        <w:t xml:space="preserve">N2 symbols </w:t>
      </w:r>
      <w:r>
        <w:rPr>
          <w:rFonts w:ascii="Times New Roman" w:eastAsia="SimSun" w:hAnsi="Times New Roman"/>
          <w:sz w:val="20"/>
          <w:szCs w:val="20"/>
          <w:lang w:val="en-GB"/>
        </w:rPr>
        <w:t>in</w:t>
      </w:r>
      <w:r w:rsidR="004E15AD" w:rsidRPr="002F63CF">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this CC’s </w:t>
      </w:r>
      <w:r w:rsidR="004E15AD" w:rsidRPr="002F63CF">
        <w:rPr>
          <w:rFonts w:ascii="Times New Roman" w:eastAsia="SimSun" w:hAnsi="Times New Roman"/>
          <w:sz w:val="20"/>
          <w:szCs w:val="20"/>
          <w:lang w:val="en-GB"/>
        </w:rPr>
        <w:t>numerology</w:t>
      </w:r>
      <w:r>
        <w:rPr>
          <w:rFonts w:ascii="Times New Roman" w:eastAsia="SimSun" w:hAnsi="Times New Roman"/>
          <w:sz w:val="20"/>
          <w:szCs w:val="20"/>
          <w:lang w:val="en-GB"/>
        </w:rPr>
        <w:t xml:space="preserve"> and the UL or DL RF retuning time.</w:t>
      </w:r>
    </w:p>
    <w:p w14:paraId="578A9AF7" w14:textId="7630909A" w:rsidR="002F63CF" w:rsidRDefault="002F63CF" w:rsidP="004D4499">
      <w:pPr>
        <w:pStyle w:val="ListParagraph"/>
        <w:numPr>
          <w:ilvl w:val="0"/>
          <w:numId w:val="18"/>
        </w:numPr>
        <w:rPr>
          <w:rFonts w:ascii="Times New Roman" w:eastAsia="SimSun" w:hAnsi="Times New Roman"/>
          <w:sz w:val="20"/>
          <w:szCs w:val="20"/>
          <w:lang w:val="en-GB"/>
        </w:rPr>
      </w:pPr>
      <w:r w:rsidRPr="002F63CF">
        <w:rPr>
          <w:rFonts w:ascii="Times New Roman" w:eastAsia="SimSun" w:hAnsi="Times New Roman"/>
          <w:sz w:val="20"/>
          <w:szCs w:val="20"/>
          <w:lang w:val="en-GB"/>
        </w:rPr>
        <w:t xml:space="preserve">nor earlier than the </w:t>
      </w:r>
      <w:r>
        <w:rPr>
          <w:rFonts w:ascii="Times New Roman" w:eastAsia="SimSun" w:hAnsi="Times New Roman"/>
          <w:sz w:val="20"/>
          <w:szCs w:val="20"/>
          <w:lang w:val="en-GB"/>
        </w:rPr>
        <w:t>end of previous SRS transmission</w:t>
      </w:r>
      <w:r w:rsidR="00880A59">
        <w:rPr>
          <w:rFonts w:ascii="Times New Roman" w:eastAsia="SimSun" w:hAnsi="Times New Roman"/>
          <w:sz w:val="20"/>
          <w:szCs w:val="20"/>
          <w:lang w:val="en-GB"/>
        </w:rPr>
        <w:t>, if any have occured</w:t>
      </w:r>
      <w:r>
        <w:rPr>
          <w:rFonts w:ascii="Times New Roman" w:eastAsia="SimSun" w:hAnsi="Times New Roman"/>
          <w:sz w:val="20"/>
          <w:szCs w:val="20"/>
          <w:lang w:val="en-GB"/>
        </w:rPr>
        <w:t>.</w:t>
      </w:r>
    </w:p>
    <w:p w14:paraId="40285FE1" w14:textId="77777777" w:rsidR="004D4499" w:rsidRPr="004D4499" w:rsidRDefault="004D4499" w:rsidP="004D4499">
      <w:pPr>
        <w:pStyle w:val="ListParagraph"/>
        <w:rPr>
          <w:rFonts w:ascii="Times New Roman" w:eastAsia="SimSun" w:hAnsi="Times New Roman"/>
          <w:sz w:val="20"/>
          <w:szCs w:val="20"/>
          <w:lang w:val="en-GB"/>
        </w:rPr>
      </w:pPr>
    </w:p>
    <w:p w14:paraId="17AE3AAA" w14:textId="4E6D29D2" w:rsidR="00445910" w:rsidRPr="002F63CF" w:rsidRDefault="00880A59" w:rsidP="002F63CF">
      <w:pPr>
        <w:rPr>
          <w:lang w:val="en-GB"/>
        </w:rPr>
      </w:pPr>
      <w:r>
        <w:rPr>
          <w:lang w:val="en-GB"/>
        </w:rPr>
        <w:t>Therefore, i</w:t>
      </w:r>
      <w:r w:rsidR="004E15AD" w:rsidRPr="002F63CF">
        <w:rPr>
          <w:lang w:val="en-GB"/>
        </w:rPr>
        <w:t>n a specification language, we make the following text proposal:</w:t>
      </w:r>
    </w:p>
    <w:p w14:paraId="4151258D" w14:textId="49895BB9" w:rsidR="00932322" w:rsidRPr="00F625F4" w:rsidRDefault="004E15AD" w:rsidP="00932322">
      <w:pPr>
        <w:spacing w:after="0"/>
        <w:jc w:val="both"/>
        <w:rPr>
          <w:b/>
          <w:i/>
        </w:rPr>
      </w:pPr>
      <w:bookmarkStart w:id="10" w:name="_Hlk510617549"/>
      <w:bookmarkStart w:id="11" w:name="_Hlk506451256"/>
      <w:r w:rsidRPr="004E15AD">
        <w:rPr>
          <w:b/>
          <w:i/>
        </w:rPr>
        <w:t>Proposal</w:t>
      </w:r>
      <w:r>
        <w:rPr>
          <w:b/>
          <w:i/>
        </w:rPr>
        <w:t xml:space="preserve"> </w:t>
      </w:r>
      <w:r w:rsidR="00B70F17">
        <w:rPr>
          <w:b/>
          <w:i/>
        </w:rPr>
        <w:t>5</w:t>
      </w:r>
      <w:r w:rsidR="00C264CC">
        <w:rPr>
          <w:b/>
          <w:i/>
        </w:rPr>
        <w:t xml:space="preserve"> (</w:t>
      </w:r>
      <w:r w:rsidR="009914F6">
        <w:rPr>
          <w:b/>
          <w:i/>
        </w:rPr>
        <w:t xml:space="preserve">New text in </w:t>
      </w:r>
      <w:r w:rsidR="00C264CC">
        <w:rPr>
          <w:b/>
          <w:i/>
        </w:rPr>
        <w:t>Section 6.2.1.3 in 38.214)</w:t>
      </w:r>
      <w:r w:rsidRPr="004E15AD">
        <w:rPr>
          <w:b/>
          <w:i/>
        </w:rPr>
        <w:t xml:space="preserve">: </w:t>
      </w:r>
      <w:r w:rsidR="00932322" w:rsidRPr="00F625F4">
        <w:rPr>
          <w:b/>
          <w:i/>
        </w:rPr>
        <w:t xml:space="preserve">For n-th (n&gt;=1) aperiodic SRS transmission on a cell c, upon detection of a positive SRS request on a grant, the UE shall commence this SRS transmission on the configured symbol and slot provided </w:t>
      </w:r>
    </w:p>
    <w:p w14:paraId="611A668E" w14:textId="77777777" w:rsidR="00932322" w:rsidRPr="00F625F4" w:rsidRDefault="00932322" w:rsidP="00932322">
      <w:pPr>
        <w:pStyle w:val="ListParagraph"/>
        <w:numPr>
          <w:ilvl w:val="0"/>
          <w:numId w:val="20"/>
        </w:numPr>
        <w:jc w:val="both"/>
        <w:rPr>
          <w:rFonts w:ascii="Times New Roman" w:eastAsia="SimSun" w:hAnsi="Times New Roman"/>
          <w:b/>
          <w:i/>
          <w:sz w:val="20"/>
          <w:szCs w:val="20"/>
        </w:rPr>
      </w:pPr>
      <w:r w:rsidRPr="00F625F4">
        <w:rPr>
          <w:rFonts w:ascii="Times New Roman" w:eastAsia="SimSun" w:hAnsi="Times New Roman" w:cs="Calibri"/>
          <w:b/>
          <w:i/>
          <w:sz w:val="20"/>
          <w:szCs w:val="20"/>
        </w:rPr>
        <w:t xml:space="preserve">it is no earlier than the </w:t>
      </w:r>
      <w:r w:rsidRPr="00F625F4">
        <w:rPr>
          <w:rFonts w:ascii="Times New Roman" w:eastAsia="SimSun" w:hAnsi="Times New Roman"/>
          <w:b/>
          <w:i/>
          <w:sz w:val="20"/>
          <w:szCs w:val="20"/>
        </w:rPr>
        <w:t xml:space="preserve">summation </w:t>
      </w:r>
      <w:r w:rsidRPr="00F625F4">
        <w:rPr>
          <w:rFonts w:ascii="Times New Roman" w:eastAsia="SimSun" w:hAnsi="Times New Roman" w:cs="Calibri"/>
          <w:b/>
          <w:i/>
          <w:sz w:val="20"/>
          <w:szCs w:val="20"/>
        </w:rPr>
        <w:t xml:space="preserve">of the time duration needed for PUSCH preparation time according to Table 6.4-1 and 6.4-2 for the numerology used in the cell c, </w:t>
      </w:r>
      <w:r w:rsidRPr="00F625F4">
        <w:rPr>
          <w:rFonts w:ascii="Times New Roman" w:eastAsia="SimSun" w:hAnsi="Times New Roman"/>
          <w:b/>
          <w:i/>
          <w:sz w:val="20"/>
          <w:szCs w:val="20"/>
        </w:rPr>
        <w:t xml:space="preserve">and </w:t>
      </w:r>
      <w:r w:rsidRPr="00F625F4">
        <w:rPr>
          <w:rFonts w:ascii="Times New Roman" w:eastAsia="SimSun" w:hAnsi="Times New Roman" w:cs="Calibri"/>
          <w:b/>
          <w:i/>
          <w:sz w:val="20"/>
          <w:szCs w:val="20"/>
        </w:rPr>
        <w:t xml:space="preserve">the UL or DL RF retuning time [11, TS 38.133] as defined by higher layer parameters rf-RetuningTimeUL and rf-RetuningTimeDL, </w:t>
      </w:r>
    </w:p>
    <w:p w14:paraId="4CDD43F4" w14:textId="77777777" w:rsidR="00932322" w:rsidRPr="00F625F4" w:rsidRDefault="00932322" w:rsidP="00932322">
      <w:pPr>
        <w:pStyle w:val="ListParagraph"/>
        <w:numPr>
          <w:ilvl w:val="0"/>
          <w:numId w:val="20"/>
        </w:numPr>
        <w:jc w:val="both"/>
        <w:rPr>
          <w:rFonts w:ascii="Times New Roman" w:eastAsia="SimSun" w:hAnsi="Times New Roman"/>
          <w:b/>
          <w:i/>
          <w:sz w:val="20"/>
          <w:szCs w:val="20"/>
        </w:rPr>
      </w:pPr>
      <w:r w:rsidRPr="00F625F4">
        <w:rPr>
          <w:rFonts w:ascii="Times New Roman" w:eastAsia="SimSun" w:hAnsi="Times New Roman"/>
          <w:b/>
          <w:i/>
          <w:sz w:val="20"/>
          <w:szCs w:val="20"/>
        </w:rPr>
        <w:t>it does not collide with any previous SRS transmissions, or interruption due to UL or DL RF retuning time.</w:t>
      </w:r>
    </w:p>
    <w:p w14:paraId="5F84D6D5" w14:textId="77777777" w:rsidR="00932322" w:rsidRPr="00F625F4" w:rsidRDefault="00932322" w:rsidP="00932322">
      <w:pPr>
        <w:jc w:val="both"/>
        <w:rPr>
          <w:b/>
        </w:rPr>
      </w:pPr>
      <w:r w:rsidRPr="00F625F4">
        <w:rPr>
          <w:b/>
          <w:i/>
        </w:rPr>
        <w:t>otherwise, n-th SRS transmission is dropped.</w:t>
      </w:r>
    </w:p>
    <w:bookmarkEnd w:id="10"/>
    <w:p w14:paraId="69C93C0B" w14:textId="1D0CA892" w:rsidR="00932322" w:rsidRDefault="009914F6" w:rsidP="00F12326">
      <w:pPr>
        <w:pStyle w:val="Heading3"/>
      </w:pPr>
      <w:r>
        <w:t>A-SRS switching across CCs -</w:t>
      </w:r>
      <w:r w:rsidR="00F12326">
        <w:t xml:space="preserve"> transmission ordering</w:t>
      </w:r>
      <w:r>
        <w:t xml:space="preserve"> &amp; DCI format</w:t>
      </w:r>
    </w:p>
    <w:p w14:paraId="15EA9A85" w14:textId="05650E9E" w:rsidR="00F12326" w:rsidRPr="00F12326" w:rsidRDefault="00F12326" w:rsidP="00F12326">
      <w:pPr>
        <w:rPr>
          <w:lang w:val="en-GB"/>
        </w:rPr>
      </w:pPr>
      <w:r>
        <w:rPr>
          <w:lang w:val="en-GB"/>
        </w:rPr>
        <w:t>As a background from LTE, the following text appears in 36.213 regarding the A-SRS ordering for SRS switching across CCs:</w:t>
      </w:r>
    </w:p>
    <w:bookmarkEnd w:id="11"/>
    <w:p w14:paraId="1FC33718" w14:textId="77777777" w:rsidR="00F12326" w:rsidRPr="009914F6" w:rsidRDefault="00F12326" w:rsidP="00F12326">
      <w:pPr>
        <w:ind w:left="576"/>
        <w:jc w:val="both"/>
        <w:rPr>
          <w:i/>
          <w:sz w:val="16"/>
          <w:lang w:val="en-GB"/>
        </w:rPr>
      </w:pPr>
      <w:r w:rsidRPr="009914F6">
        <w:rPr>
          <w:i/>
          <w:sz w:val="16"/>
          <w:lang w:val="en-GB"/>
        </w:rPr>
        <w:t xml:space="preserve">For a type 1 SRS triggered for more than one TDD serving cell in DCI format 3B and UE configured with more than 5 TDD serving cells without PUSCH/PUCCH transmission, </w:t>
      </w:r>
      <w:r w:rsidRPr="009914F6">
        <w:rPr>
          <w:bCs/>
          <w:i/>
          <w:sz w:val="16"/>
          <w:lang w:val="en-GB"/>
        </w:rPr>
        <w:t>the order of the triggered SRS transmission on the serving cells follow the order of the serving cells in the indicated set of serving cells configured by higher layers</w:t>
      </w:r>
      <w:r w:rsidRPr="009914F6">
        <w:rPr>
          <w:i/>
          <w:sz w:val="16"/>
          <w:lang w:val="en-GB"/>
        </w:rPr>
        <w:t xml:space="preserve">. </w:t>
      </w:r>
    </w:p>
    <w:p w14:paraId="1F256697" w14:textId="77777777" w:rsidR="00F12326" w:rsidRPr="009914F6" w:rsidRDefault="00F12326" w:rsidP="00F12326">
      <w:pPr>
        <w:ind w:left="576"/>
        <w:jc w:val="both"/>
        <w:rPr>
          <w:i/>
          <w:sz w:val="16"/>
        </w:rPr>
      </w:pPr>
      <w:r w:rsidRPr="009914F6">
        <w:rPr>
          <w:i/>
          <w:sz w:val="16"/>
          <w:lang w:val="en-GB"/>
        </w:rPr>
        <w:t xml:space="preserve">For a type 1 SRS triggered for more than one TDD serving cell in DCI format 3B and UE configured with no more than 5 TDD serving cells without PUSCH/PUCCH transmission, </w:t>
      </w:r>
      <w:r w:rsidRPr="009914F6">
        <w:rPr>
          <w:bCs/>
          <w:i/>
          <w:sz w:val="16"/>
          <w:lang w:val="en-GB"/>
        </w:rPr>
        <w:t>the order of the triggered SRS transmission on the serving cells follow the order of the serving cells with type 1 SRS triggered in the DCI</w:t>
      </w:r>
      <w:r w:rsidRPr="009914F6">
        <w:rPr>
          <w:i/>
          <w:sz w:val="16"/>
          <w:lang w:val="en-GB"/>
        </w:rPr>
        <w:t xml:space="preserve">. </w:t>
      </w:r>
    </w:p>
    <w:p w14:paraId="637F2CBC" w14:textId="77777777" w:rsidR="00F12326" w:rsidRDefault="00F12326" w:rsidP="009914F6">
      <w:pPr>
        <w:spacing w:after="0"/>
        <w:rPr>
          <w:lang w:val="en-GB"/>
        </w:rPr>
      </w:pPr>
      <w:r>
        <w:rPr>
          <w:lang w:val="en-GB"/>
        </w:rPr>
        <w:t xml:space="preserve">We observe that in </w:t>
      </w:r>
    </w:p>
    <w:p w14:paraId="43402A5C" w14:textId="6AE56B31" w:rsidR="00F12326" w:rsidRPr="009914F6" w:rsidRDefault="00F12326" w:rsidP="009914F6">
      <w:pPr>
        <w:pStyle w:val="ListParagraph"/>
        <w:numPr>
          <w:ilvl w:val="0"/>
          <w:numId w:val="21"/>
        </w:numPr>
        <w:rPr>
          <w:rFonts w:ascii="Times New Roman" w:eastAsia="SimSun" w:hAnsi="Times New Roman"/>
          <w:sz w:val="20"/>
          <w:szCs w:val="20"/>
          <w:lang w:val="en-GB"/>
        </w:rPr>
      </w:pPr>
      <w:r w:rsidRPr="009914F6">
        <w:rPr>
          <w:rFonts w:ascii="Times New Roman" w:eastAsia="SimSun" w:hAnsi="Times New Roman"/>
          <w:sz w:val="20"/>
          <w:szCs w:val="20"/>
          <w:lang w:val="en-GB"/>
        </w:rPr>
        <w:t>38.213 section 11.4 (SRS Switching)</w:t>
      </w:r>
      <w:r w:rsidR="009914F6" w:rsidRPr="009914F6">
        <w:rPr>
          <w:rFonts w:ascii="Times New Roman" w:eastAsia="SimSun" w:hAnsi="Times New Roman"/>
          <w:sz w:val="20"/>
          <w:szCs w:val="20"/>
          <w:lang w:val="en-GB"/>
        </w:rPr>
        <w:t xml:space="preserve"> </w:t>
      </w:r>
      <w:r w:rsidRPr="009914F6">
        <w:rPr>
          <w:rFonts w:ascii="Times New Roman" w:eastAsia="SimSun" w:hAnsi="Times New Roman"/>
          <w:sz w:val="20"/>
          <w:szCs w:val="20"/>
          <w:lang w:val="en-GB"/>
        </w:rPr>
        <w:t>the concept of typeA and typeB SRS switching has been introduced</w:t>
      </w:r>
      <w:r w:rsidR="009914F6" w:rsidRPr="009914F6">
        <w:rPr>
          <w:rFonts w:ascii="Times New Roman" w:eastAsia="SimSun" w:hAnsi="Times New Roman"/>
          <w:sz w:val="20"/>
          <w:szCs w:val="20"/>
          <w:lang w:val="en-GB"/>
        </w:rPr>
        <w:t xml:space="preserve"> (following the Rel-14 LTE approach and related agreement):</w:t>
      </w:r>
    </w:p>
    <w:p w14:paraId="7E4E3799" w14:textId="77777777" w:rsidR="009914F6" w:rsidRPr="009914F6" w:rsidRDefault="009914F6" w:rsidP="009914F6">
      <w:pPr>
        <w:pStyle w:val="ListParagraph"/>
        <w:rPr>
          <w:lang w:val="en-GB"/>
        </w:rPr>
      </w:pPr>
    </w:p>
    <w:p w14:paraId="09F3EC62" w14:textId="37B7F117" w:rsidR="00F12326" w:rsidRPr="009914F6" w:rsidRDefault="00F12326" w:rsidP="00F12326">
      <w:pPr>
        <w:ind w:left="576"/>
        <w:jc w:val="both"/>
        <w:rPr>
          <w:i/>
          <w:sz w:val="16"/>
        </w:rPr>
      </w:pPr>
      <w:r w:rsidRPr="009914F6">
        <w:rPr>
          <w:i/>
          <w:sz w:val="16"/>
        </w:rPr>
        <w:t>For a serving cell where a UE is not configured for PUSCH/PUCCH transmission or for a serving cell where higher layer parameter srs-pcadjustment-state-config indicates a separate power control adjustment state between SRS transmissions and PUSCH transmissions, DCI format 2_3</w:t>
      </w:r>
      <w:r w:rsidRPr="009914F6">
        <w:rPr>
          <w:rFonts w:eastAsia="MS Mincho" w:hint="eastAsia"/>
          <w:i/>
          <w:sz w:val="16"/>
          <w:lang w:eastAsia="ja-JP"/>
        </w:rPr>
        <w:t xml:space="preserve"> </w:t>
      </w:r>
      <w:r w:rsidRPr="009914F6">
        <w:rPr>
          <w:rFonts w:eastAsia="MS Mincho"/>
          <w:i/>
          <w:sz w:val="16"/>
          <w:lang w:eastAsia="ja-JP"/>
        </w:rPr>
        <w:t xml:space="preserve">includes one block of bits for {SRS request, TPC command, … TPC command} fields for the UE </w:t>
      </w:r>
      <w:r w:rsidRPr="009914F6">
        <w:rPr>
          <w:i/>
          <w:sz w:val="16"/>
        </w:rPr>
        <w:t xml:space="preserve">if the UE is configured with higher layer parameter </w:t>
      </w:r>
      <w:r w:rsidRPr="009914F6">
        <w:rPr>
          <w:b/>
          <w:i/>
          <w:sz w:val="16"/>
        </w:rPr>
        <w:t>typeA-SRS-TPC-PDCCH-Grou</w:t>
      </w:r>
      <w:r w:rsidRPr="009914F6">
        <w:rPr>
          <w:i/>
          <w:sz w:val="16"/>
        </w:rPr>
        <w:t xml:space="preserve">p where the SRS request field applies to a set of serving cells provided by higher layer parameter cc-SetIndex and each TPC command applies to a respective serving cell index provided by higher layer parameter cc-IndexInOneCC-Set. Otherwise, if the UE is configured with higher layer parameter </w:t>
      </w:r>
      <w:r w:rsidRPr="009914F6">
        <w:rPr>
          <w:b/>
          <w:i/>
          <w:sz w:val="16"/>
        </w:rPr>
        <w:t>typeB-SRS-TPC-PDCCH-Group</w:t>
      </w:r>
      <w:r w:rsidRPr="009914F6">
        <w:rPr>
          <w:i/>
          <w:sz w:val="16"/>
        </w:rPr>
        <w:t xml:space="preserve">, DCI format 2_3 </w:t>
      </w:r>
      <w:r w:rsidRPr="009914F6">
        <w:rPr>
          <w:b/>
          <w:i/>
          <w:sz w:val="16"/>
        </w:rPr>
        <w:t>includes one or more blocks</w:t>
      </w:r>
      <w:r w:rsidRPr="009914F6">
        <w:rPr>
          <w:i/>
          <w:sz w:val="16"/>
        </w:rPr>
        <w:t xml:space="preserve"> of bits for {SRS request, TPC command} as described in [5, TS 38.212] where each block applies to a serving cell. The SRS request field is not present if a value of higher layer parameter fieldTypeFormat2_3 is 0; otherwise, the SRS request field is present in DCI format 2_3. </w:t>
      </w:r>
    </w:p>
    <w:p w14:paraId="34347120" w14:textId="14B56700" w:rsidR="009914F6" w:rsidRDefault="009914F6" w:rsidP="0002532B">
      <w:pPr>
        <w:pStyle w:val="ListParagraph"/>
        <w:numPr>
          <w:ilvl w:val="0"/>
          <w:numId w:val="21"/>
        </w:numPr>
        <w:rPr>
          <w:rFonts w:ascii="Times New Roman" w:eastAsia="SimSun" w:hAnsi="Times New Roman"/>
          <w:sz w:val="20"/>
          <w:szCs w:val="20"/>
          <w:lang w:val="en-GB"/>
        </w:rPr>
      </w:pPr>
      <w:r w:rsidRPr="009914F6">
        <w:rPr>
          <w:rFonts w:ascii="Times New Roman" w:eastAsia="SimSun" w:hAnsi="Times New Roman"/>
          <w:sz w:val="20"/>
          <w:szCs w:val="20"/>
          <w:lang w:val="en-GB"/>
        </w:rPr>
        <w:t>and in the RRC parameter table (R1-1801276), the corresponding parameters have already been introduced:</w:t>
      </w:r>
    </w:p>
    <w:p w14:paraId="0E3D266C" w14:textId="77777777" w:rsidR="009914F6" w:rsidRPr="009914F6" w:rsidRDefault="009914F6" w:rsidP="009914F6">
      <w:pPr>
        <w:pStyle w:val="ListParagraph"/>
        <w:rPr>
          <w:rFonts w:ascii="Times New Roman" w:eastAsia="SimSun" w:hAnsi="Times New Roman"/>
          <w:sz w:val="20"/>
          <w:szCs w:val="20"/>
          <w:lang w:val="en-GB"/>
        </w:rPr>
      </w:pPr>
    </w:p>
    <w:tbl>
      <w:tblPr>
        <w:tblW w:w="10435" w:type="dxa"/>
        <w:tblLook w:val="04A0" w:firstRow="1" w:lastRow="0" w:firstColumn="1" w:lastColumn="0" w:noHBand="0" w:noVBand="1"/>
      </w:tblPr>
      <w:tblGrid>
        <w:gridCol w:w="1920"/>
        <w:gridCol w:w="1920"/>
        <w:gridCol w:w="1920"/>
        <w:gridCol w:w="1920"/>
        <w:gridCol w:w="2755"/>
      </w:tblGrid>
      <w:tr w:rsidR="009914F6" w:rsidRPr="009914F6" w14:paraId="6F14B955" w14:textId="77777777" w:rsidTr="009914F6">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7B84"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22F2600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4759D32A"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typeA-SRS-TPC-PDCCH-Group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5C06D310"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typeA-SRS-TPC-PDCCH-Group</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14:paraId="0CDC00BB"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 xml:space="preserve">Indicates Type A trigger configuration for SRS transmission on a PUSCH-less SCell. Network configures the UE with either </w:t>
            </w:r>
            <w:r w:rsidRPr="009914F6">
              <w:rPr>
                <w:rFonts w:ascii="Calibri" w:eastAsia="Times New Roman" w:hAnsi="Calibri" w:cs="Calibri"/>
                <w:i/>
                <w:iCs/>
                <w:color w:val="000000"/>
                <w:sz w:val="12"/>
                <w:szCs w:val="22"/>
              </w:rPr>
              <w:t>typeA-SRS-TPC-PDCCH-Group</w:t>
            </w:r>
            <w:r w:rsidRPr="009914F6">
              <w:rPr>
                <w:rFonts w:ascii="Calibri" w:eastAsia="Times New Roman" w:hAnsi="Calibri" w:cs="Calibri"/>
                <w:color w:val="000000"/>
                <w:sz w:val="12"/>
                <w:szCs w:val="22"/>
              </w:rPr>
              <w:t xml:space="preserve"> or </w:t>
            </w:r>
            <w:r w:rsidRPr="009914F6">
              <w:rPr>
                <w:rFonts w:ascii="Calibri" w:eastAsia="Times New Roman" w:hAnsi="Calibri" w:cs="Calibri"/>
                <w:i/>
                <w:iCs/>
                <w:color w:val="000000"/>
                <w:sz w:val="12"/>
                <w:szCs w:val="22"/>
              </w:rPr>
              <w:t>typeB-SRS-TPC-PDCCH-Group</w:t>
            </w:r>
            <w:r w:rsidRPr="009914F6">
              <w:rPr>
                <w:rFonts w:ascii="Calibri" w:eastAsia="Times New Roman" w:hAnsi="Calibri" w:cs="Calibri"/>
                <w:color w:val="000000"/>
                <w:sz w:val="12"/>
                <w:szCs w:val="22"/>
              </w:rPr>
              <w:t>, if any.</w:t>
            </w:r>
          </w:p>
        </w:tc>
      </w:tr>
      <w:tr w:rsidR="009914F6" w:rsidRPr="009914F6" w14:paraId="669A6A95" w14:textId="77777777" w:rsidTr="009914F6">
        <w:trPr>
          <w:trHeight w:val="810"/>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0916E2F3"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nil"/>
              <w:left w:val="nil"/>
              <w:bottom w:val="single" w:sz="4" w:space="0" w:color="auto"/>
              <w:right w:val="single" w:sz="4" w:space="0" w:color="auto"/>
            </w:tcBorders>
            <w:shd w:val="clear" w:color="auto" w:fill="auto"/>
            <w:vAlign w:val="center"/>
            <w:hideMark/>
          </w:tcPr>
          <w:p w14:paraId="4E0D3B80"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nil"/>
              <w:left w:val="nil"/>
              <w:bottom w:val="single" w:sz="4" w:space="0" w:color="auto"/>
              <w:right w:val="single" w:sz="4" w:space="0" w:color="auto"/>
            </w:tcBorders>
            <w:shd w:val="clear" w:color="auto" w:fill="auto"/>
            <w:vAlign w:val="center"/>
            <w:hideMark/>
          </w:tcPr>
          <w:p w14:paraId="6CB0725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typeB-SRS-TPC-PDCCH-Config</w:t>
            </w:r>
          </w:p>
        </w:tc>
        <w:tc>
          <w:tcPr>
            <w:tcW w:w="1920" w:type="dxa"/>
            <w:tcBorders>
              <w:top w:val="nil"/>
              <w:left w:val="nil"/>
              <w:bottom w:val="single" w:sz="4" w:space="0" w:color="auto"/>
              <w:right w:val="single" w:sz="4" w:space="0" w:color="auto"/>
            </w:tcBorders>
            <w:shd w:val="clear" w:color="auto" w:fill="auto"/>
            <w:vAlign w:val="center"/>
            <w:hideMark/>
          </w:tcPr>
          <w:p w14:paraId="481E7EF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typeB-SRS-TPC-PDCCH-Config</w:t>
            </w:r>
          </w:p>
        </w:tc>
        <w:tc>
          <w:tcPr>
            <w:tcW w:w="2755" w:type="dxa"/>
            <w:tcBorders>
              <w:top w:val="nil"/>
              <w:left w:val="nil"/>
              <w:bottom w:val="single" w:sz="4" w:space="0" w:color="auto"/>
              <w:right w:val="single" w:sz="4" w:space="0" w:color="auto"/>
            </w:tcBorders>
            <w:shd w:val="clear" w:color="auto" w:fill="auto"/>
            <w:vAlign w:val="center"/>
            <w:hideMark/>
          </w:tcPr>
          <w:p w14:paraId="54F8C495"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 xml:space="preserve">Indicates Type B trigger configuration for SRS transmission on a PUSCH-less SCell. Network configures the UE with either </w:t>
            </w:r>
            <w:r w:rsidRPr="009914F6">
              <w:rPr>
                <w:rFonts w:ascii="Calibri" w:eastAsia="Times New Roman" w:hAnsi="Calibri" w:cs="Calibri"/>
                <w:i/>
                <w:iCs/>
                <w:color w:val="000000"/>
                <w:sz w:val="12"/>
                <w:szCs w:val="22"/>
              </w:rPr>
              <w:t>typeA-SRS-TPC-PDCCH-Group</w:t>
            </w:r>
            <w:r w:rsidRPr="009914F6">
              <w:rPr>
                <w:rFonts w:ascii="Calibri" w:eastAsia="Times New Roman" w:hAnsi="Calibri" w:cs="Calibri"/>
                <w:color w:val="000000"/>
                <w:sz w:val="12"/>
                <w:szCs w:val="22"/>
              </w:rPr>
              <w:t xml:space="preserve"> or </w:t>
            </w:r>
            <w:r w:rsidRPr="009914F6">
              <w:rPr>
                <w:rFonts w:ascii="Calibri" w:eastAsia="Times New Roman" w:hAnsi="Calibri" w:cs="Calibri"/>
                <w:i/>
                <w:iCs/>
                <w:color w:val="000000"/>
                <w:sz w:val="12"/>
                <w:szCs w:val="22"/>
              </w:rPr>
              <w:t>typeB-SRS-TPC-PDCCH-Group</w:t>
            </w:r>
            <w:r w:rsidRPr="009914F6">
              <w:rPr>
                <w:rFonts w:ascii="Calibri" w:eastAsia="Times New Roman" w:hAnsi="Calibri" w:cs="Calibri"/>
                <w:color w:val="000000"/>
                <w:sz w:val="12"/>
                <w:szCs w:val="22"/>
              </w:rPr>
              <w:t>, if any.</w:t>
            </w:r>
          </w:p>
        </w:tc>
      </w:tr>
    </w:tbl>
    <w:p w14:paraId="0F5B15E4" w14:textId="77777777" w:rsidR="009914F6" w:rsidRDefault="009914F6" w:rsidP="0002532B"/>
    <w:p w14:paraId="7C007AE0" w14:textId="16375E7F" w:rsidR="008D4F84" w:rsidRPr="009914F6" w:rsidRDefault="00F12326" w:rsidP="0002532B">
      <w:r>
        <w:lastRenderedPageBreak/>
        <w:t>However, in both 38.212 format 2_3 description (Section 7.3.1.3.4) and 38.214 (Section 6.2.1.3), changes are needed to for having a working specification. Specifically,</w:t>
      </w:r>
      <w:r w:rsidR="009914F6">
        <w:t xml:space="preserve"> w</w:t>
      </w:r>
      <w:r w:rsidR="008D4F84">
        <w:rPr>
          <w:lang w:val="en-GB"/>
        </w:rPr>
        <w:t xml:space="preserve">e propose the following text similar to LTE’s </w:t>
      </w:r>
      <w:r>
        <w:rPr>
          <w:lang w:val="en-GB"/>
        </w:rPr>
        <w:t>description</w:t>
      </w:r>
      <w:r w:rsidR="008D4F84">
        <w:rPr>
          <w:lang w:val="en-GB"/>
        </w:rPr>
        <w:t>:</w:t>
      </w:r>
    </w:p>
    <w:p w14:paraId="5551AFD8" w14:textId="3C71F9D1" w:rsidR="00AD0998" w:rsidRDefault="008D4F84" w:rsidP="009914F6">
      <w:pPr>
        <w:spacing w:after="0"/>
        <w:jc w:val="both"/>
        <w:rPr>
          <w:b/>
          <w:i/>
          <w:lang w:val="en-GB"/>
        </w:rPr>
      </w:pPr>
      <w:r w:rsidRPr="004E15AD">
        <w:rPr>
          <w:b/>
          <w:i/>
        </w:rPr>
        <w:t>Proposal</w:t>
      </w:r>
      <w:r>
        <w:rPr>
          <w:b/>
          <w:i/>
        </w:rPr>
        <w:t xml:space="preserve"> </w:t>
      </w:r>
      <w:r w:rsidR="00B70F17">
        <w:rPr>
          <w:b/>
          <w:i/>
        </w:rPr>
        <w:t>6</w:t>
      </w:r>
      <w:r w:rsidR="00F12326">
        <w:rPr>
          <w:b/>
          <w:i/>
        </w:rPr>
        <w:t xml:space="preserve"> (</w:t>
      </w:r>
      <w:r w:rsidR="009914F6">
        <w:rPr>
          <w:b/>
          <w:i/>
        </w:rPr>
        <w:t xml:space="preserve">New text in </w:t>
      </w:r>
      <w:r w:rsidR="00F12326">
        <w:rPr>
          <w:b/>
          <w:i/>
        </w:rPr>
        <w:t>Section 6.2.1.3, 38.214)</w:t>
      </w:r>
      <w:r w:rsidRPr="004E15AD">
        <w:rPr>
          <w:b/>
          <w:i/>
        </w:rPr>
        <w:t>:</w:t>
      </w:r>
      <w:r w:rsidR="00F625F4">
        <w:rPr>
          <w:b/>
          <w:i/>
        </w:rPr>
        <w:t xml:space="preserve"> </w:t>
      </w:r>
      <w:r w:rsidRPr="00445910">
        <w:rPr>
          <w:i/>
          <w:lang w:val="en-GB"/>
        </w:rPr>
        <w:t>For a</w:t>
      </w:r>
      <w:r w:rsidR="00F12326">
        <w:rPr>
          <w:i/>
          <w:lang w:val="en-GB"/>
        </w:rPr>
        <w:t>n</w:t>
      </w:r>
      <w:r w:rsidRPr="00445910">
        <w:rPr>
          <w:i/>
          <w:lang w:val="en-GB"/>
        </w:rPr>
        <w:t xml:space="preserve"> </w:t>
      </w:r>
      <w:r w:rsidR="00A85ED9">
        <w:rPr>
          <w:i/>
          <w:lang w:val="en-GB"/>
        </w:rPr>
        <w:t>aperiodic</w:t>
      </w:r>
      <w:r w:rsidRPr="00445910">
        <w:rPr>
          <w:i/>
          <w:lang w:val="en-GB"/>
        </w:rPr>
        <w:t xml:space="preserve"> SRS triggered in </w:t>
      </w:r>
      <w:r w:rsidRPr="003B695F">
        <w:rPr>
          <w:i/>
          <w:lang w:val="en-GB"/>
        </w:rPr>
        <w:t xml:space="preserve">DCI format </w:t>
      </w:r>
      <w:r w:rsidR="00A85ED9" w:rsidRPr="003B695F">
        <w:rPr>
          <w:i/>
          <w:lang w:val="en-GB"/>
        </w:rPr>
        <w:t>2_3</w:t>
      </w:r>
      <w:r w:rsidRPr="003B695F">
        <w:rPr>
          <w:i/>
          <w:lang w:val="en-GB"/>
        </w:rPr>
        <w:t xml:space="preserve"> </w:t>
      </w:r>
      <w:r w:rsidRPr="00445910">
        <w:rPr>
          <w:i/>
          <w:lang w:val="en-GB"/>
        </w:rPr>
        <w:t xml:space="preserve">and UE </w:t>
      </w:r>
      <w:r w:rsidR="00F12326" w:rsidRPr="00F12326">
        <w:rPr>
          <w:i/>
        </w:rPr>
        <w:t xml:space="preserve">configured with higher layer parameter </w:t>
      </w:r>
      <w:r w:rsidR="00F12326" w:rsidRPr="00F12326">
        <w:rPr>
          <w:b/>
          <w:i/>
        </w:rPr>
        <w:t>typeA-SRS-TPC-PDCCH-Grou</w:t>
      </w:r>
      <w:r w:rsidR="00F12326" w:rsidRPr="0055729A">
        <w:rPr>
          <w:b/>
          <w:i/>
        </w:rPr>
        <w:t>p</w:t>
      </w:r>
      <w:r w:rsidR="00C24F7C" w:rsidRPr="00C24F7C">
        <w:rPr>
          <w:i/>
          <w:lang w:val="en-GB"/>
        </w:rPr>
        <w:t xml:space="preserve"> </w:t>
      </w:r>
      <w:r w:rsidR="00C24F7C" w:rsidRPr="00445910">
        <w:rPr>
          <w:i/>
          <w:lang w:val="en-GB"/>
        </w:rPr>
        <w:t>without PUSCH/PUCCH transmission</w:t>
      </w:r>
      <w:r w:rsidRPr="00445910">
        <w:rPr>
          <w:i/>
          <w:lang w:val="en-GB"/>
        </w:rPr>
        <w:t xml:space="preserve">, </w:t>
      </w:r>
      <w:r w:rsidRPr="008D4F84">
        <w:rPr>
          <w:bCs/>
          <w:i/>
          <w:lang w:val="en-GB"/>
        </w:rPr>
        <w:t>the order of the triggered SRS transmission on the serving cells follow the order of the serving cells in the indicated set of serving cells configured by higher layers</w:t>
      </w:r>
      <w:r w:rsidRPr="008D4F84">
        <w:rPr>
          <w:i/>
          <w:lang w:val="en-GB"/>
        </w:rPr>
        <w:t>.</w:t>
      </w:r>
      <w:r w:rsidRPr="00445910">
        <w:rPr>
          <w:i/>
          <w:lang w:val="en-GB"/>
        </w:rPr>
        <w:t xml:space="preserve"> </w:t>
      </w:r>
    </w:p>
    <w:p w14:paraId="1CCB7728" w14:textId="338A2246" w:rsidR="008D4F84" w:rsidRPr="00AD0998" w:rsidRDefault="00C24F7C" w:rsidP="009914F6">
      <w:pPr>
        <w:spacing w:after="0"/>
        <w:jc w:val="both"/>
        <w:rPr>
          <w:b/>
          <w:i/>
        </w:rPr>
      </w:pPr>
      <w:r w:rsidRPr="00445910">
        <w:rPr>
          <w:i/>
          <w:lang w:val="en-GB"/>
        </w:rPr>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w:t>
      </w:r>
      <w:r>
        <w:rPr>
          <w:b/>
          <w:i/>
        </w:rPr>
        <w:t>B</w:t>
      </w:r>
      <w:r w:rsidRPr="00F12326">
        <w:rPr>
          <w:b/>
          <w:i/>
        </w:rPr>
        <w:t>-SRS-TPC-PDCCH-Grou</w:t>
      </w:r>
      <w:r w:rsidRPr="0055729A">
        <w:rPr>
          <w:b/>
          <w:i/>
        </w:rPr>
        <w:t>p</w:t>
      </w:r>
      <w:r w:rsidRPr="00C24F7C">
        <w:rPr>
          <w:i/>
          <w:lang w:val="en-GB"/>
        </w:rPr>
        <w:t xml:space="preserve"> </w:t>
      </w:r>
      <w:r w:rsidRPr="00445910">
        <w:rPr>
          <w:i/>
          <w:lang w:val="en-GB"/>
        </w:rPr>
        <w:t>without PUSCH/PUCCH transmission</w:t>
      </w:r>
      <w:r w:rsidR="008D4F84" w:rsidRPr="00445910">
        <w:rPr>
          <w:i/>
          <w:lang w:val="en-GB"/>
        </w:rPr>
        <w:t xml:space="preserve">, </w:t>
      </w:r>
      <w:r w:rsidR="008D4F84" w:rsidRPr="008D4F84">
        <w:rPr>
          <w:bCs/>
          <w:i/>
          <w:lang w:val="en-GB"/>
        </w:rPr>
        <w:t xml:space="preserve">the order of the triggered SRS transmission on the serving cells follow the order of the serving cells with </w:t>
      </w:r>
      <w:r>
        <w:rPr>
          <w:bCs/>
          <w:i/>
          <w:lang w:val="en-GB"/>
        </w:rPr>
        <w:t xml:space="preserve">aperiodic </w:t>
      </w:r>
      <w:r w:rsidR="008D4F84" w:rsidRPr="008D4F84">
        <w:rPr>
          <w:bCs/>
          <w:i/>
          <w:lang w:val="en-GB"/>
        </w:rPr>
        <w:t>SRS triggered in the DCI</w:t>
      </w:r>
      <w:r w:rsidR="008D4F84" w:rsidRPr="008D4F84">
        <w:rPr>
          <w:i/>
          <w:lang w:val="en-GB"/>
        </w:rPr>
        <w:t xml:space="preserve">. </w:t>
      </w:r>
    </w:p>
    <w:p w14:paraId="19C96F9C" w14:textId="77777777" w:rsidR="009914F6" w:rsidRDefault="009914F6" w:rsidP="00C24F7C">
      <w:pPr>
        <w:jc w:val="both"/>
        <w:rPr>
          <w:b/>
          <w:i/>
        </w:rPr>
      </w:pPr>
    </w:p>
    <w:p w14:paraId="1C388810" w14:textId="7D063CF7" w:rsidR="009914F6" w:rsidRPr="00AD0998" w:rsidRDefault="00C24F7C" w:rsidP="004B3151">
      <w:pPr>
        <w:spacing w:after="0"/>
        <w:jc w:val="both"/>
        <w:rPr>
          <w:i/>
          <w:lang w:eastAsia="ko-KR"/>
        </w:rPr>
      </w:pPr>
      <w:r w:rsidRPr="004E15AD">
        <w:rPr>
          <w:b/>
          <w:i/>
        </w:rPr>
        <w:t>Proposal</w:t>
      </w:r>
      <w:r>
        <w:rPr>
          <w:b/>
          <w:i/>
        </w:rPr>
        <w:t xml:space="preserve"> </w:t>
      </w:r>
      <w:r w:rsidR="00B70F17">
        <w:rPr>
          <w:b/>
          <w:i/>
        </w:rPr>
        <w:t>7</w:t>
      </w:r>
      <w:r w:rsidR="004B3151">
        <w:rPr>
          <w:b/>
          <w:i/>
        </w:rPr>
        <w:t xml:space="preserve"> </w:t>
      </w:r>
      <w:r>
        <w:rPr>
          <w:b/>
          <w:i/>
        </w:rPr>
        <w:t>(Section 7.3.1.3.4, 38.212)</w:t>
      </w:r>
      <w:r w:rsidRPr="004E15AD">
        <w:rPr>
          <w:b/>
          <w:i/>
        </w:rPr>
        <w:t xml:space="preserve">: </w:t>
      </w:r>
      <w:r w:rsidR="009914F6" w:rsidRPr="009914F6">
        <w:rPr>
          <w:i/>
          <w:lang w:eastAsia="ko-KR"/>
        </w:rPr>
        <w:t xml:space="preserve"> </w:t>
      </w:r>
      <w:r w:rsidR="009914F6" w:rsidRPr="00B73B51">
        <w:rPr>
          <w:i/>
          <w:color w:val="4472C4" w:themeColor="accent5"/>
        </w:rPr>
        <w:t xml:space="preserve">If the </w:t>
      </w:r>
      <w:r w:rsidR="009914F6" w:rsidRPr="00B73B51">
        <w:rPr>
          <w:i/>
          <w:color w:val="4472C4" w:themeColor="accent5"/>
          <w:lang w:val="en-GB"/>
        </w:rPr>
        <w:t xml:space="preserve">UE is </w:t>
      </w:r>
      <w:r w:rsidR="009914F6" w:rsidRPr="00B73B51">
        <w:rPr>
          <w:i/>
          <w:color w:val="4472C4" w:themeColor="accent5"/>
        </w:rPr>
        <w:t>configured with higher layer parameter typeA-SRS-TPC-PDCCH-Group</w:t>
      </w:r>
      <w:r w:rsidR="009914F6" w:rsidRPr="00B73B51">
        <w:rPr>
          <w:i/>
          <w:color w:val="4472C4" w:themeColor="accent5"/>
          <w:lang w:eastAsia="zh-CN"/>
        </w:rPr>
        <w:t xml:space="preserve"> </w:t>
      </w:r>
      <w:r w:rsidR="009914F6">
        <w:rPr>
          <w:i/>
          <w:lang w:eastAsia="zh-CN"/>
        </w:rPr>
        <w:t>f</w:t>
      </w:r>
      <w:r w:rsidR="009914F6" w:rsidRPr="009914F6">
        <w:rPr>
          <w:rFonts w:hint="eastAsia"/>
          <w:i/>
          <w:lang w:eastAsia="zh-CN"/>
        </w:rPr>
        <w:t xml:space="preserve">or an UL </w:t>
      </w:r>
      <w:r w:rsidR="009914F6" w:rsidRPr="009914F6">
        <w:rPr>
          <w:i/>
        </w:rPr>
        <w:t xml:space="preserve">without PUCCH </w:t>
      </w:r>
      <w:r w:rsidR="009914F6" w:rsidRPr="009914F6">
        <w:rPr>
          <w:rFonts w:hint="eastAsia"/>
          <w:i/>
          <w:lang w:eastAsia="zh-CN"/>
        </w:rPr>
        <w:t>and</w:t>
      </w:r>
      <w:r w:rsidR="009914F6" w:rsidRPr="009914F6">
        <w:rPr>
          <w:i/>
        </w:rPr>
        <w:t xml:space="preserve"> PUSCH</w:t>
      </w:r>
      <w:r w:rsidR="009914F6" w:rsidRPr="009914F6">
        <w:rPr>
          <w:rFonts w:hint="eastAsia"/>
          <w:i/>
          <w:lang w:eastAsia="zh-CN"/>
        </w:rPr>
        <w:t xml:space="preserve"> </w:t>
      </w:r>
      <w:r w:rsidR="009914F6" w:rsidRPr="009914F6">
        <w:rPr>
          <w:i/>
        </w:rPr>
        <w:t xml:space="preserve">or </w:t>
      </w:r>
      <w:r w:rsidR="009914F6" w:rsidRPr="009914F6">
        <w:rPr>
          <w:rFonts w:hint="eastAsia"/>
          <w:i/>
          <w:lang w:eastAsia="zh-CN"/>
        </w:rPr>
        <w:t xml:space="preserve">an UL </w:t>
      </w:r>
      <w:r w:rsidR="009914F6" w:rsidRPr="009914F6">
        <w:rPr>
          <w:i/>
        </w:rPr>
        <w:t>on which the SRS power control is not tied with PUSCH power control, one block is configured for the UE by higher layers, with t</w:t>
      </w:r>
      <w:r w:rsidR="009914F6" w:rsidRPr="009914F6">
        <w:rPr>
          <w:i/>
          <w:lang w:eastAsia="ko-KR"/>
        </w:rPr>
        <w:t>he following fields defined for the block:</w:t>
      </w:r>
    </w:p>
    <w:p w14:paraId="3FC885B6" w14:textId="77777777" w:rsidR="009914F6" w:rsidRPr="009914F6" w:rsidRDefault="009914F6" w:rsidP="004B3151">
      <w:pPr>
        <w:pStyle w:val="B1"/>
        <w:spacing w:after="0"/>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14:paraId="46FC4D95" w14:textId="77777777" w:rsidR="00375366" w:rsidRPr="00B73B51" w:rsidRDefault="009914F6" w:rsidP="004B3151">
      <w:pPr>
        <w:pStyle w:val="B1"/>
        <w:spacing w:after="0"/>
        <w:rPr>
          <w:i/>
          <w:color w:val="4472C4" w:themeColor="accent5"/>
          <w:lang w:val="nb-NO"/>
        </w:rPr>
      </w:pPr>
      <w:r w:rsidRPr="009914F6">
        <w:rPr>
          <w:i/>
          <w:lang w:val="nb-NO"/>
        </w:rPr>
        <w:t>-</w:t>
      </w:r>
      <w:r w:rsidRPr="009914F6">
        <w:rPr>
          <w:i/>
          <w:lang w:val="nb-NO"/>
        </w:rPr>
        <w:tab/>
      </w:r>
      <w:r w:rsidRPr="00375366">
        <w:rPr>
          <w:i/>
          <w:strike/>
          <w:lang w:val="nb-NO"/>
        </w:rPr>
        <w:t>TPC command number –2 bits</w:t>
      </w:r>
      <w:r w:rsidR="00375366" w:rsidRPr="00B73B51">
        <w:rPr>
          <w:color w:val="4472C4" w:themeColor="accent5"/>
          <w:lang w:val="nb-NO"/>
        </w:rPr>
        <w:t xml:space="preserve">-     </w:t>
      </w:r>
      <w:r w:rsidR="00375366" w:rsidRPr="00B73B51">
        <w:rPr>
          <w:i/>
          <w:color w:val="4472C4" w:themeColor="accent5"/>
          <w:lang w:val="nb-NO"/>
        </w:rPr>
        <w:t xml:space="preserve">TPC command number 1, TPC command number 2, …, TPC command number n </w:t>
      </w:r>
    </w:p>
    <w:p w14:paraId="41109FCD" w14:textId="49A83AA3" w:rsidR="009914F6" w:rsidRPr="00B73B51" w:rsidRDefault="00375366" w:rsidP="004B3151">
      <w:pPr>
        <w:pStyle w:val="B1"/>
        <w:spacing w:after="0"/>
        <w:rPr>
          <w:i/>
          <w:color w:val="4472C4" w:themeColor="accent5"/>
        </w:rPr>
      </w:pPr>
      <w:r w:rsidRPr="00B73B51">
        <w:rPr>
          <w:i/>
          <w:color w:val="4472C4" w:themeColor="accent5"/>
        </w:rPr>
        <w:t xml:space="preserve">      </w:t>
      </w:r>
      <w:r w:rsidR="000517A2" w:rsidRPr="00B73B51">
        <w:rPr>
          <w:i/>
          <w:color w:val="4472C4" w:themeColor="accent5"/>
        </w:rPr>
        <w:t>where each TPC command applies to a respective serving cell index provided by higher layer parameter cc-IndexInOneCC-Set</w:t>
      </w:r>
      <w:r w:rsidR="006842D3" w:rsidRPr="00B73B51">
        <w:rPr>
          <w:i/>
          <w:color w:val="4472C4" w:themeColor="accent5"/>
        </w:rPr>
        <w:t>.</w:t>
      </w:r>
    </w:p>
    <w:p w14:paraId="55DE6079" w14:textId="77777777" w:rsidR="006F6A10" w:rsidRPr="000517A2" w:rsidRDefault="006F6A10" w:rsidP="004B3151">
      <w:pPr>
        <w:pStyle w:val="B1"/>
        <w:spacing w:after="0"/>
        <w:rPr>
          <w:i/>
          <w:color w:val="00B050"/>
        </w:rPr>
      </w:pPr>
    </w:p>
    <w:p w14:paraId="51C4CE03" w14:textId="5AD70A1E" w:rsidR="009914F6" w:rsidRPr="00B73B51" w:rsidRDefault="009914F6" w:rsidP="004B3151">
      <w:pPr>
        <w:spacing w:after="0"/>
        <w:jc w:val="both"/>
        <w:rPr>
          <w:i/>
          <w:color w:val="4472C4" w:themeColor="accent5"/>
        </w:rPr>
      </w:pPr>
      <w:r w:rsidRPr="00B73B51">
        <w:rPr>
          <w:i/>
          <w:color w:val="4472C4" w:themeColor="accent5"/>
        </w:rPr>
        <w:t xml:space="preserve">If the </w:t>
      </w:r>
      <w:r w:rsidRPr="00B73B51">
        <w:rPr>
          <w:i/>
          <w:color w:val="4472C4" w:themeColor="accent5"/>
          <w:lang w:val="en-GB"/>
        </w:rPr>
        <w:t xml:space="preserve">UE is </w:t>
      </w:r>
      <w:r w:rsidRPr="00B73B51">
        <w:rPr>
          <w:i/>
          <w:color w:val="4472C4" w:themeColor="accent5"/>
        </w:rPr>
        <w:t>configured with higher layer parameter typeB-SRS-TPC-PDCCH-Group</w:t>
      </w:r>
      <w:r w:rsidRPr="00B73B51">
        <w:rPr>
          <w:i/>
          <w:color w:val="4472C4" w:themeColor="accent5"/>
          <w:lang w:eastAsia="zh-CN"/>
        </w:rPr>
        <w:t xml:space="preserve"> f</w:t>
      </w:r>
      <w:r w:rsidRPr="00B73B51">
        <w:rPr>
          <w:rFonts w:hint="eastAsia"/>
          <w:i/>
          <w:color w:val="4472C4" w:themeColor="accent5"/>
          <w:lang w:eastAsia="zh-CN"/>
        </w:rPr>
        <w:t xml:space="preserve">or an UL </w:t>
      </w:r>
      <w:r w:rsidRPr="00B73B51">
        <w:rPr>
          <w:i/>
          <w:color w:val="4472C4" w:themeColor="accent5"/>
        </w:rPr>
        <w:t xml:space="preserve">without PUCCH </w:t>
      </w:r>
      <w:r w:rsidRPr="00B73B51">
        <w:rPr>
          <w:rFonts w:hint="eastAsia"/>
          <w:i/>
          <w:color w:val="4472C4" w:themeColor="accent5"/>
          <w:lang w:eastAsia="zh-CN"/>
        </w:rPr>
        <w:t>and</w:t>
      </w:r>
      <w:r w:rsidRPr="00B73B51">
        <w:rPr>
          <w:i/>
          <w:color w:val="4472C4" w:themeColor="accent5"/>
        </w:rPr>
        <w:t xml:space="preserve"> PUSCH</w:t>
      </w:r>
      <w:r w:rsidRPr="00B73B51">
        <w:rPr>
          <w:rFonts w:hint="eastAsia"/>
          <w:i/>
          <w:color w:val="4472C4" w:themeColor="accent5"/>
          <w:lang w:eastAsia="zh-CN"/>
        </w:rPr>
        <w:t xml:space="preserve"> </w:t>
      </w:r>
      <w:r w:rsidRPr="00B73B51">
        <w:rPr>
          <w:i/>
          <w:color w:val="4472C4" w:themeColor="accent5"/>
        </w:rPr>
        <w:t xml:space="preserve">or </w:t>
      </w:r>
      <w:r w:rsidRPr="00B73B51">
        <w:rPr>
          <w:rFonts w:hint="eastAsia"/>
          <w:i/>
          <w:color w:val="4472C4" w:themeColor="accent5"/>
          <w:lang w:eastAsia="zh-CN"/>
        </w:rPr>
        <w:t xml:space="preserve">an </w:t>
      </w:r>
      <w:r w:rsidRPr="00B73B51">
        <w:rPr>
          <w:rFonts w:hint="eastAsia"/>
          <w:i/>
          <w:color w:val="4472C4" w:themeColor="accent5"/>
        </w:rPr>
        <w:t xml:space="preserve">UL </w:t>
      </w:r>
      <w:r w:rsidRPr="00B73B51">
        <w:rPr>
          <w:i/>
          <w:color w:val="4472C4" w:themeColor="accent5"/>
        </w:rPr>
        <w:t xml:space="preserve">on which the SRS power control is not tied with PUSCH power control, </w:t>
      </w:r>
      <w:r w:rsidRPr="00B73B51">
        <w:rPr>
          <w:i/>
          <w:color w:val="4472C4" w:themeColor="accent5"/>
          <w:u w:val="single"/>
        </w:rPr>
        <w:t>one or more blocks</w:t>
      </w:r>
      <w:r w:rsidRPr="00B73B51">
        <w:rPr>
          <w:i/>
          <w:color w:val="4472C4" w:themeColor="accent5"/>
        </w:rPr>
        <w:t xml:space="preserve"> is configured for the UE by higher layers</w:t>
      </w:r>
      <w:r w:rsidR="00987AD0" w:rsidRPr="00B73B51">
        <w:rPr>
          <w:i/>
          <w:color w:val="4472C4" w:themeColor="accent5"/>
        </w:rPr>
        <w:t xml:space="preserve"> where each block applies to a serving cell</w:t>
      </w:r>
      <w:r w:rsidRPr="00B73B51">
        <w:rPr>
          <w:i/>
          <w:color w:val="4472C4" w:themeColor="accent5"/>
        </w:rPr>
        <w:t>, with t</w:t>
      </w:r>
      <w:r w:rsidRPr="00B73B51">
        <w:rPr>
          <w:i/>
          <w:color w:val="4472C4" w:themeColor="accent5"/>
          <w:lang w:eastAsia="ko-KR"/>
        </w:rPr>
        <w:t>he following fields defined for the block:</w:t>
      </w:r>
    </w:p>
    <w:p w14:paraId="06202D93" w14:textId="77777777" w:rsidR="009914F6" w:rsidRPr="00B73B51" w:rsidRDefault="009914F6" w:rsidP="004B3151">
      <w:pPr>
        <w:pStyle w:val="B1"/>
        <w:spacing w:after="0"/>
        <w:rPr>
          <w:i/>
          <w:color w:val="4472C4" w:themeColor="accent5"/>
        </w:rPr>
      </w:pPr>
      <w:r w:rsidRPr="00B73B51">
        <w:rPr>
          <w:i/>
          <w:color w:val="4472C4" w:themeColor="accent5"/>
          <w:lang w:val="nb-NO"/>
        </w:rPr>
        <w:t>-</w:t>
      </w:r>
      <w:r w:rsidRPr="00B73B51">
        <w:rPr>
          <w:i/>
          <w:color w:val="4472C4" w:themeColor="accent5"/>
          <w:lang w:val="nb-NO"/>
        </w:rPr>
        <w:tab/>
        <w:t xml:space="preserve">SRS request – 0 or 2 bits. The presence of </w:t>
      </w:r>
      <w:r w:rsidRPr="00B73B51">
        <w:rPr>
          <w:rFonts w:hint="eastAsia"/>
          <w:i/>
          <w:color w:val="4472C4" w:themeColor="accent5"/>
          <w:lang w:val="nb-NO" w:eastAsia="zh-CN"/>
        </w:rPr>
        <w:t>t</w:t>
      </w:r>
      <w:r w:rsidRPr="00B73B51">
        <w:rPr>
          <w:i/>
          <w:color w:val="4472C4" w:themeColor="accent5"/>
          <w:lang w:val="nb-NO"/>
        </w:rPr>
        <w:t xml:space="preserve">his field is according to the definition in </w:t>
      </w:r>
      <w:r w:rsidRPr="00B73B51">
        <w:rPr>
          <w:rFonts w:hint="eastAsia"/>
          <w:i/>
          <w:color w:val="4472C4" w:themeColor="accent5"/>
          <w:lang w:val="nb-NO" w:eastAsia="zh-CN"/>
        </w:rPr>
        <w:t>Subclause</w:t>
      </w:r>
      <w:r w:rsidRPr="00B73B51">
        <w:rPr>
          <w:i/>
          <w:color w:val="4472C4" w:themeColor="accent5"/>
          <w:lang w:val="nb-NO"/>
        </w:rPr>
        <w:t xml:space="preserve"> </w:t>
      </w:r>
      <w:r w:rsidRPr="00B73B51">
        <w:rPr>
          <w:rFonts w:hint="eastAsia"/>
          <w:i/>
          <w:color w:val="4472C4" w:themeColor="accent5"/>
          <w:lang w:val="nb-NO" w:eastAsia="zh-CN"/>
        </w:rPr>
        <w:t>x.x</w:t>
      </w:r>
      <w:r w:rsidRPr="00B73B51">
        <w:rPr>
          <w:i/>
          <w:color w:val="4472C4" w:themeColor="accent5"/>
          <w:lang w:val="nb-NO"/>
        </w:rPr>
        <w:t xml:space="preserve"> of [5</w:t>
      </w:r>
      <w:r w:rsidRPr="00B73B51">
        <w:rPr>
          <w:rFonts w:hint="eastAsia"/>
          <w:i/>
          <w:color w:val="4472C4" w:themeColor="accent5"/>
          <w:lang w:val="nb-NO" w:eastAsia="zh-CN"/>
        </w:rPr>
        <w:t>, TS38.213</w:t>
      </w:r>
      <w:r w:rsidRPr="00B73B51">
        <w:rPr>
          <w:i/>
          <w:color w:val="4472C4" w:themeColor="accent5"/>
          <w:lang w:val="nb-NO"/>
        </w:rPr>
        <w:t xml:space="preserve">]. If present, this field is interpreted </w:t>
      </w:r>
      <w:r w:rsidRPr="00B73B51">
        <w:rPr>
          <w:rFonts w:hint="eastAsia"/>
          <w:i/>
          <w:color w:val="4472C4" w:themeColor="accent5"/>
          <w:lang w:eastAsia="zh-CN"/>
        </w:rPr>
        <w:t>as defined by Table 7.3.1.1.2</w:t>
      </w:r>
      <w:r w:rsidRPr="00B73B51">
        <w:rPr>
          <w:i/>
          <w:color w:val="4472C4" w:themeColor="accent5"/>
        </w:rPr>
        <w:t>-</w:t>
      </w:r>
      <w:r w:rsidRPr="00B73B51">
        <w:rPr>
          <w:rFonts w:hint="eastAsia"/>
          <w:i/>
          <w:color w:val="4472C4" w:themeColor="accent5"/>
          <w:lang w:eastAsia="zh-CN"/>
        </w:rPr>
        <w:t>5</w:t>
      </w:r>
      <w:r w:rsidRPr="00B73B51">
        <w:rPr>
          <w:i/>
          <w:color w:val="4472C4" w:themeColor="accent5"/>
          <w:lang w:eastAsia="zh-CN"/>
        </w:rPr>
        <w:t>.</w:t>
      </w:r>
    </w:p>
    <w:p w14:paraId="7DBC4B89" w14:textId="78DBDE9F" w:rsidR="008F5E30" w:rsidRPr="00B73B51" w:rsidRDefault="009914F6" w:rsidP="004B3151">
      <w:pPr>
        <w:pStyle w:val="B1"/>
        <w:spacing w:after="0"/>
        <w:rPr>
          <w:i/>
          <w:color w:val="4472C4" w:themeColor="accent5"/>
          <w:lang w:val="nb-NO" w:eastAsia="zh-CN"/>
        </w:rPr>
      </w:pPr>
      <w:r w:rsidRPr="00B73B51">
        <w:rPr>
          <w:i/>
          <w:color w:val="4472C4" w:themeColor="accent5"/>
          <w:lang w:val="nb-NO"/>
        </w:rPr>
        <w:t>-</w:t>
      </w:r>
      <w:r w:rsidRPr="00B73B51">
        <w:rPr>
          <w:i/>
          <w:color w:val="4472C4" w:themeColor="accent5"/>
          <w:lang w:val="nb-NO"/>
        </w:rPr>
        <w:tab/>
        <w:t>TPC command number –2 bits</w:t>
      </w:r>
    </w:p>
    <w:p w14:paraId="7770F861" w14:textId="6592D33E" w:rsidR="000D39A5" w:rsidRDefault="00E3066B" w:rsidP="000D39A5">
      <w:pPr>
        <w:pStyle w:val="Heading1"/>
        <w:jc w:val="both"/>
      </w:pPr>
      <w:r w:rsidRPr="00E05A22">
        <w:t xml:space="preserve">Conclusions </w:t>
      </w:r>
    </w:p>
    <w:p w14:paraId="0FC535C6" w14:textId="77777777" w:rsidR="004B3151" w:rsidRDefault="004B3151" w:rsidP="004B3151">
      <w:pPr>
        <w:rPr>
          <w:i/>
          <w:color w:val="000000"/>
          <w:szCs w:val="24"/>
        </w:rPr>
      </w:pPr>
      <w:r w:rsidRPr="00F829AC">
        <w:rPr>
          <w:b/>
          <w:i/>
          <w:color w:val="000000"/>
          <w:szCs w:val="24"/>
        </w:rPr>
        <w:t>Proposal</w:t>
      </w:r>
      <w:r>
        <w:rPr>
          <w:b/>
          <w:i/>
          <w:color w:val="000000"/>
          <w:szCs w:val="24"/>
        </w:rPr>
        <w:t xml:space="preserve"> 1</w:t>
      </w:r>
      <w:r w:rsidRPr="00F829AC">
        <w:rPr>
          <w:b/>
          <w:i/>
          <w:color w:val="000000"/>
          <w:szCs w:val="24"/>
        </w:rPr>
        <w:t>:</w:t>
      </w:r>
      <w:r>
        <w:rPr>
          <w:i/>
          <w:color w:val="000000"/>
          <w:szCs w:val="24"/>
        </w:rPr>
        <w:t xml:space="preserve"> The max number of SRS resource sets per BWP should change 11: up to 8 SRS resource sets for BM and one resource set for each remaining SRS use-case (</w:t>
      </w:r>
      <w:r w:rsidRPr="00F829AC">
        <w:rPr>
          <w:i/>
          <w:color w:val="000000"/>
          <w:szCs w:val="24"/>
        </w:rPr>
        <w:t>codebook/non-codebook/antenna-switching)</w:t>
      </w:r>
      <w:r>
        <w:rPr>
          <w:i/>
          <w:color w:val="000000"/>
          <w:szCs w:val="24"/>
        </w:rPr>
        <w:t xml:space="preserve">. </w:t>
      </w:r>
    </w:p>
    <w:p w14:paraId="1BACB9A9" w14:textId="77777777" w:rsidR="004B3151" w:rsidRPr="0046052B" w:rsidRDefault="004B3151" w:rsidP="004B3151">
      <w:pPr>
        <w:rPr>
          <w:i/>
          <w:color w:val="000000"/>
          <w:szCs w:val="24"/>
        </w:rPr>
      </w:pPr>
      <w:r w:rsidRPr="00F829AC">
        <w:rPr>
          <w:b/>
          <w:i/>
          <w:color w:val="000000"/>
          <w:szCs w:val="24"/>
        </w:rPr>
        <w:t>Proposal</w:t>
      </w:r>
      <w:r>
        <w:rPr>
          <w:b/>
          <w:i/>
          <w:color w:val="000000"/>
          <w:szCs w:val="24"/>
        </w:rPr>
        <w:t xml:space="preserve"> 2</w:t>
      </w:r>
      <w:r w:rsidRPr="00F829AC">
        <w:rPr>
          <w:b/>
          <w:i/>
          <w:color w:val="000000"/>
          <w:szCs w:val="24"/>
        </w:rPr>
        <w:t>:</w:t>
      </w:r>
      <w:r>
        <w:rPr>
          <w:i/>
          <w:color w:val="000000"/>
          <w:szCs w:val="24"/>
        </w:rPr>
        <w:t xml:space="preserve"> The max number of SRS resources per BWP should change to 48: 16 periodic/semi-persistent/aperiodic SRS resources per BWP. </w:t>
      </w:r>
    </w:p>
    <w:p w14:paraId="4C5B3BDF" w14:textId="7CDE04B6" w:rsidR="004B3151" w:rsidRDefault="004B3151" w:rsidP="004B3151">
      <w:pPr>
        <w:rPr>
          <w:i/>
          <w:color w:val="000000"/>
          <w:szCs w:val="24"/>
        </w:rPr>
      </w:pPr>
      <w:r w:rsidRPr="00F829AC">
        <w:rPr>
          <w:b/>
          <w:i/>
          <w:color w:val="000000"/>
          <w:szCs w:val="24"/>
        </w:rPr>
        <w:t>Proposal</w:t>
      </w:r>
      <w:r>
        <w:rPr>
          <w:b/>
          <w:i/>
          <w:color w:val="000000"/>
          <w:szCs w:val="24"/>
        </w:rPr>
        <w:t xml:space="preserve"> 3</w:t>
      </w:r>
      <w:r w:rsidRPr="00F829AC">
        <w:rPr>
          <w:b/>
          <w:i/>
          <w:color w:val="000000"/>
          <w:szCs w:val="24"/>
        </w:rPr>
        <w:t>:</w:t>
      </w:r>
      <w:r>
        <w:rPr>
          <w:b/>
          <w:i/>
          <w:color w:val="000000"/>
          <w:szCs w:val="24"/>
        </w:rPr>
        <w:t xml:space="preserve"> </w:t>
      </w:r>
      <w:r w:rsidRPr="00CD4917">
        <w:rPr>
          <w:i/>
          <w:color w:val="000000"/>
          <w:szCs w:val="24"/>
        </w:rPr>
        <w:t>In the SRS-Config IE, the “resourceType” should be defined only in the SRS resource set level.</w:t>
      </w:r>
    </w:p>
    <w:p w14:paraId="632CE47B" w14:textId="77777777" w:rsidR="00777DB9" w:rsidRPr="00BF2866" w:rsidRDefault="00777DB9" w:rsidP="00BF2866">
      <w:pPr>
        <w:spacing w:after="0"/>
        <w:rPr>
          <w:i/>
          <w:color w:val="000000"/>
          <w:szCs w:val="24"/>
        </w:rPr>
      </w:pPr>
      <w:r w:rsidRPr="00BF2866">
        <w:rPr>
          <w:b/>
          <w:i/>
          <w:color w:val="000000"/>
          <w:szCs w:val="24"/>
        </w:rPr>
        <w:t>Text Proposal 1:</w:t>
      </w:r>
      <w:r>
        <w:rPr>
          <w:sz w:val="22"/>
        </w:rPr>
        <w:t xml:space="preserve"> </w:t>
      </w:r>
      <w:r w:rsidRPr="00BF2866">
        <w:rPr>
          <w:i/>
          <w:color w:val="000000"/>
          <w:szCs w:val="24"/>
        </w:rPr>
        <w:t>Revise Section 6.2.1.1 of 38.214 as follows:</w:t>
      </w:r>
    </w:p>
    <w:tbl>
      <w:tblPr>
        <w:tblStyle w:val="TableGrid"/>
        <w:tblW w:w="0" w:type="auto"/>
        <w:tblLook w:val="04A0" w:firstRow="1" w:lastRow="0" w:firstColumn="1" w:lastColumn="0" w:noHBand="0" w:noVBand="1"/>
      </w:tblPr>
      <w:tblGrid>
        <w:gridCol w:w="9962"/>
      </w:tblGrid>
      <w:tr w:rsidR="00777DB9" w14:paraId="41C80791" w14:textId="77777777" w:rsidTr="00CF2D2C">
        <w:tc>
          <w:tcPr>
            <w:tcW w:w="9962" w:type="dxa"/>
          </w:tcPr>
          <w:p w14:paraId="3C812728" w14:textId="11064FDA" w:rsidR="00777DB9" w:rsidRPr="00B54488" w:rsidRDefault="00777DB9" w:rsidP="00BF2866">
            <w:pPr>
              <w:spacing w:after="0" w:line="240" w:lineRule="auto"/>
              <w:rPr>
                <w:i/>
                <w:strike/>
                <w:color w:val="FF0000"/>
              </w:rPr>
            </w:pPr>
            <w:r w:rsidRPr="00BF2866">
              <w:rPr>
                <w:i/>
                <w:strike/>
                <w:color w:val="FF0000"/>
                <w:sz w:val="18"/>
              </w:rPr>
              <w:t xml:space="preserve">A UE is not expected to be configured with aperiodic SRS and PUCCH formats 0 or 2 with aperiodic CSI report in the same symbol. </w:t>
            </w:r>
          </w:p>
        </w:tc>
      </w:tr>
    </w:tbl>
    <w:p w14:paraId="285F4678" w14:textId="77777777" w:rsidR="00BF2866" w:rsidRDefault="00BF2866" w:rsidP="00BF2866">
      <w:pPr>
        <w:rPr>
          <w:b/>
          <w:i/>
          <w:sz w:val="22"/>
        </w:rPr>
      </w:pPr>
    </w:p>
    <w:p w14:paraId="0F5CC687" w14:textId="08F48A03" w:rsidR="00BF2866" w:rsidRPr="00B70F17" w:rsidRDefault="00BF2866" w:rsidP="00BF2866">
      <w:pPr>
        <w:rPr>
          <w:i/>
        </w:rPr>
      </w:pPr>
      <w:r w:rsidRPr="00B70F17">
        <w:rPr>
          <w:b/>
          <w:i/>
        </w:rPr>
        <w:t>Text Proposal 2:</w:t>
      </w:r>
      <w:r w:rsidRPr="00B70F17">
        <w:t xml:space="preserve"> </w:t>
      </w:r>
      <w:r w:rsidRPr="00B70F17">
        <w:rPr>
          <w:i/>
        </w:rPr>
        <w:t>Revise the following sentence of Section 6.2.1.1 of 38.214 as follows:</w:t>
      </w:r>
    </w:p>
    <w:tbl>
      <w:tblPr>
        <w:tblStyle w:val="TableGrid"/>
        <w:tblW w:w="0" w:type="auto"/>
        <w:tblLook w:val="04A0" w:firstRow="1" w:lastRow="0" w:firstColumn="1" w:lastColumn="0" w:noHBand="0" w:noVBand="1"/>
      </w:tblPr>
      <w:tblGrid>
        <w:gridCol w:w="9962"/>
      </w:tblGrid>
      <w:tr w:rsidR="00BF2866" w:rsidRPr="00B70F17" w14:paraId="1F73E2E2" w14:textId="77777777" w:rsidTr="003A53A2">
        <w:tc>
          <w:tcPr>
            <w:tcW w:w="9962" w:type="dxa"/>
          </w:tcPr>
          <w:p w14:paraId="7538CF41" w14:textId="366E4520" w:rsidR="00BF2866" w:rsidRPr="00B70F17" w:rsidRDefault="00BF2866" w:rsidP="003A53A2">
            <w:pPr>
              <w:rPr>
                <w:i/>
                <w:strike/>
                <w:color w:val="FF0000"/>
              </w:rPr>
            </w:pPr>
            <w:r w:rsidRPr="00B70F17">
              <w:t xml:space="preserve">“For PUCCH formats 0 and 2, a UE shall not transmit SRS when semi-persistent and periodic SRS are configured in the same symbol(s) with PUCCH carrying only CSI report(s), or only L1-RSRP report(s) or if aperiodic SRS is </w:t>
            </w:r>
            <w:r w:rsidRPr="00B73B51">
              <w:t>configured</w:t>
            </w:r>
            <w:r w:rsidRPr="00B70F17">
              <w:t xml:space="preserve"> and PUCCH consists of beam failure request. In the case that SRS is not transmitted due to overlap with PUCCH, only the SRS symbol(s) that overlap with PUCCH symbol(s) are dropped. PUCCH shall not be transmitted when aperiodic SRS </w:t>
            </w:r>
            <w:r w:rsidRPr="00B70F17">
              <w:rPr>
                <w:strike/>
                <w:highlight w:val="yellow"/>
              </w:rPr>
              <w:t>happens</w:t>
            </w:r>
            <w:r w:rsidRPr="00B70F17">
              <w:rPr>
                <w:highlight w:val="yellow"/>
              </w:rPr>
              <w:t xml:space="preserve"> </w:t>
            </w:r>
            <w:r w:rsidRPr="00B70F17">
              <w:rPr>
                <w:b/>
                <w:color w:val="0070C0"/>
              </w:rPr>
              <w:t>is triggered to be transmitted</w:t>
            </w:r>
            <w:r w:rsidRPr="00B70F17">
              <w:t xml:space="preserve"> to overlap in the same symbol with semi-persistent or periodic PUCCH carrying semi-persistent/periodic CSI report(s) or semi-persistent/periodic L1-RSRP report(s) only.”</w:t>
            </w:r>
          </w:p>
        </w:tc>
      </w:tr>
    </w:tbl>
    <w:p w14:paraId="40EFD5E6" w14:textId="69A65BFE" w:rsidR="00BF2866" w:rsidRDefault="00BF2866" w:rsidP="004B3151">
      <w:pPr>
        <w:rPr>
          <w:b/>
          <w:i/>
          <w:highlight w:val="yellow"/>
          <w:lang w:val="en-GB"/>
        </w:rPr>
      </w:pPr>
    </w:p>
    <w:p w14:paraId="390C71AF" w14:textId="77777777" w:rsidR="00E32FDF" w:rsidRPr="00E32FDF" w:rsidRDefault="00E32FDF" w:rsidP="00E32FDF">
      <w:pPr>
        <w:spacing w:after="0"/>
        <w:rPr>
          <w:i/>
          <w:lang w:val="en-GB"/>
        </w:rPr>
      </w:pPr>
      <w:r w:rsidRPr="00E32FDF">
        <w:rPr>
          <w:b/>
          <w:lang w:val="en-GB"/>
        </w:rPr>
        <w:t>Text Proposal 3:</w:t>
      </w:r>
      <w:r>
        <w:rPr>
          <w:b/>
          <w:lang w:val="en-GB"/>
        </w:rPr>
        <w:t xml:space="preserve"> </w:t>
      </w:r>
      <w:r w:rsidRPr="00E32FDF">
        <w:rPr>
          <w:i/>
          <w:lang w:val="en-GB"/>
        </w:rPr>
        <w:t>Revise the following sentence of Section 6.2.1.1 of 38214 as follows:</w:t>
      </w:r>
    </w:p>
    <w:p w14:paraId="2D722729" w14:textId="77777777" w:rsidR="00E32FDF" w:rsidRPr="00E32FDF" w:rsidRDefault="00E32FDF" w:rsidP="00E32FDF">
      <w:pPr>
        <w:pStyle w:val="ListParagraph"/>
        <w:numPr>
          <w:ilvl w:val="0"/>
          <w:numId w:val="29"/>
        </w:numPr>
        <w:rPr>
          <w:rFonts w:ascii="Times New Roman" w:eastAsia="SimSun" w:hAnsi="Times New Roman"/>
          <w:i/>
          <w:sz w:val="20"/>
          <w:szCs w:val="20"/>
          <w:lang w:val="en-GB"/>
        </w:rPr>
      </w:pPr>
      <w:r w:rsidRPr="00E32FDF">
        <w:rPr>
          <w:rFonts w:ascii="Times New Roman" w:eastAsia="SimSun" w:hAnsi="Times New Roman"/>
          <w:i/>
          <w:sz w:val="20"/>
          <w:szCs w:val="20"/>
          <w:lang w:val="en-GB"/>
        </w:rPr>
        <w:t>A UE is not expected to be configured with SRS and PUSCH/UL DM-RS/UL PT-RS/PUCCH formats 1, 3 or 4/</w:t>
      </w:r>
      <w:r w:rsidRPr="00E32FDF">
        <w:rPr>
          <w:rFonts w:ascii="Times New Roman" w:eastAsia="SimSun" w:hAnsi="Times New Roman"/>
          <w:b/>
          <w:i/>
          <w:color w:val="4472C4" w:themeColor="accent5"/>
          <w:sz w:val="20"/>
          <w:szCs w:val="20"/>
          <w:lang w:val="en-GB"/>
        </w:rPr>
        <w:t>PUCCH format 0,</w:t>
      </w:r>
      <w:r>
        <w:rPr>
          <w:rFonts w:ascii="Times New Roman" w:eastAsia="SimSun" w:hAnsi="Times New Roman"/>
          <w:b/>
          <w:i/>
          <w:color w:val="4472C4" w:themeColor="accent5"/>
          <w:sz w:val="20"/>
          <w:szCs w:val="20"/>
          <w:lang w:val="en-GB"/>
        </w:rPr>
        <w:t xml:space="preserve"> </w:t>
      </w:r>
      <w:r w:rsidRPr="00E32FDF">
        <w:rPr>
          <w:rFonts w:ascii="Times New Roman" w:eastAsia="SimSun" w:hAnsi="Times New Roman"/>
          <w:b/>
          <w:i/>
          <w:color w:val="4472C4" w:themeColor="accent5"/>
          <w:sz w:val="20"/>
          <w:szCs w:val="20"/>
          <w:lang w:val="en-GB"/>
        </w:rPr>
        <w:t>2</w:t>
      </w:r>
      <w:r w:rsidRPr="00E32FDF">
        <w:rPr>
          <w:rFonts w:ascii="Times New Roman" w:eastAsia="SimSun" w:hAnsi="Times New Roman"/>
          <w:i/>
          <w:color w:val="4472C4" w:themeColor="accent5"/>
          <w:sz w:val="20"/>
          <w:szCs w:val="20"/>
          <w:lang w:val="en-GB"/>
        </w:rPr>
        <w:t xml:space="preserve"> </w:t>
      </w:r>
      <w:r w:rsidRPr="00E32FDF">
        <w:rPr>
          <w:rFonts w:ascii="Times New Roman" w:eastAsia="SimSun" w:hAnsi="Times New Roman"/>
          <w:i/>
          <w:sz w:val="20"/>
          <w:szCs w:val="20"/>
          <w:lang w:val="en-GB"/>
        </w:rPr>
        <w:t xml:space="preserve">carrying ACK/NAK in the same symbol. </w:t>
      </w:r>
    </w:p>
    <w:p w14:paraId="2E24137D" w14:textId="77777777" w:rsidR="00E32FDF" w:rsidRDefault="00E32FDF" w:rsidP="004B3151">
      <w:pPr>
        <w:rPr>
          <w:b/>
          <w:i/>
          <w:highlight w:val="yellow"/>
          <w:lang w:val="en-GB"/>
        </w:rPr>
      </w:pPr>
    </w:p>
    <w:p w14:paraId="2B0B31F7" w14:textId="47267E49" w:rsidR="004B3151" w:rsidRDefault="004B3151" w:rsidP="004B3151">
      <w:pPr>
        <w:rPr>
          <w:i/>
          <w:lang w:val="en-GB"/>
        </w:rPr>
      </w:pPr>
      <w:r w:rsidRPr="00BF2866">
        <w:rPr>
          <w:b/>
          <w:i/>
          <w:lang w:val="en-GB"/>
        </w:rPr>
        <w:t xml:space="preserve">Proposal </w:t>
      </w:r>
      <w:r w:rsidR="00BF2866" w:rsidRPr="00BF2866">
        <w:rPr>
          <w:b/>
          <w:i/>
          <w:lang w:val="en-GB"/>
        </w:rPr>
        <w:t>4</w:t>
      </w:r>
      <w:r w:rsidRPr="00BF2866">
        <w:rPr>
          <w:b/>
          <w:i/>
          <w:lang w:val="en-GB"/>
        </w:rPr>
        <w:t xml:space="preserve">: </w:t>
      </w:r>
      <w:r w:rsidRPr="00BF2866">
        <w:rPr>
          <w:i/>
          <w:lang w:val="en-GB"/>
        </w:rPr>
        <w:t>When</w:t>
      </w:r>
      <w:r w:rsidRPr="00BF2866">
        <w:rPr>
          <w:b/>
          <w:i/>
          <w:lang w:val="en-GB"/>
        </w:rPr>
        <w:t xml:space="preserve"> </w:t>
      </w:r>
      <w:r w:rsidRPr="00BF2866">
        <w:rPr>
          <w:i/>
          <w:lang w:val="en-GB"/>
        </w:rPr>
        <w:t>a UE signals that it can perform “1T4R/2T4R” antenna switching, the UE expects to be configured to either with a SRS set performing the 1T4R or 2T4R  antenna switching under the following constraint: For an UL MIMO-capable UE not configured in UL MIMO mode, only the 1T4R is expected to be configured.</w:t>
      </w:r>
      <w:r>
        <w:rPr>
          <w:i/>
          <w:lang w:val="en-GB"/>
        </w:rPr>
        <w:t xml:space="preserve"> </w:t>
      </w:r>
    </w:p>
    <w:p w14:paraId="45056A94" w14:textId="77777777" w:rsidR="00B70F17" w:rsidRDefault="00B70F17" w:rsidP="00B70F17">
      <w:pPr>
        <w:spacing w:after="0"/>
        <w:jc w:val="both"/>
        <w:rPr>
          <w:i/>
        </w:rPr>
      </w:pPr>
      <w:r w:rsidRPr="004E15AD">
        <w:rPr>
          <w:b/>
          <w:i/>
        </w:rPr>
        <w:t>Proposal</w:t>
      </w:r>
      <w:r>
        <w:rPr>
          <w:b/>
          <w:i/>
        </w:rPr>
        <w:t xml:space="preserve"> 5 (New text in Section 6.2.1.3 in 38.214)</w:t>
      </w:r>
      <w:r w:rsidRPr="004E15AD">
        <w:rPr>
          <w:b/>
          <w:i/>
        </w:rPr>
        <w:t xml:space="preserve">: </w:t>
      </w:r>
      <w:r>
        <w:rPr>
          <w:i/>
        </w:rPr>
        <w:t xml:space="preserve">For n-th (n&gt;=1) aperiodic SRS transmission on a cell c, upon detection of a positive SRS request on a grant, the UE shall commence this SRS transmission on the configured symbol and slot provided </w:t>
      </w:r>
    </w:p>
    <w:p w14:paraId="7BD678AB" w14:textId="77777777" w:rsidR="00B70F17" w:rsidRDefault="00B70F17" w:rsidP="00B70F17">
      <w:pPr>
        <w:pStyle w:val="ListParagraph"/>
        <w:numPr>
          <w:ilvl w:val="0"/>
          <w:numId w:val="20"/>
        </w:numPr>
        <w:jc w:val="both"/>
        <w:rPr>
          <w:rFonts w:ascii="Times New Roman" w:eastAsia="SimSun" w:hAnsi="Times New Roman"/>
          <w:i/>
          <w:sz w:val="20"/>
          <w:szCs w:val="20"/>
        </w:rPr>
      </w:pPr>
      <w:r>
        <w:rPr>
          <w:rFonts w:ascii="Times New Roman" w:eastAsia="SimSun" w:hAnsi="Times New Roman" w:cs="Calibri"/>
          <w:i/>
          <w:sz w:val="20"/>
          <w:szCs w:val="20"/>
        </w:rPr>
        <w:t xml:space="preserve">it is no earlier than the </w:t>
      </w:r>
      <w:r w:rsidRPr="00932322">
        <w:rPr>
          <w:rFonts w:ascii="Times New Roman" w:eastAsia="SimSun" w:hAnsi="Times New Roman"/>
          <w:i/>
          <w:sz w:val="20"/>
          <w:szCs w:val="20"/>
        </w:rPr>
        <w:t xml:space="preserve">summation </w:t>
      </w:r>
      <w:r>
        <w:rPr>
          <w:rFonts w:ascii="Times New Roman" w:eastAsia="SimSun" w:hAnsi="Times New Roman" w:cs="Calibri"/>
          <w:i/>
          <w:sz w:val="20"/>
          <w:szCs w:val="20"/>
        </w:rPr>
        <w:t xml:space="preserve">of the time duration needed for PUSCH preparation time according to Table 6.4-1 and 6.4-2 for the numerology used in the cell c, </w:t>
      </w:r>
      <w:r w:rsidRPr="00932322">
        <w:rPr>
          <w:rFonts w:ascii="Times New Roman" w:eastAsia="SimSun" w:hAnsi="Times New Roman"/>
          <w:i/>
          <w:sz w:val="20"/>
          <w:szCs w:val="20"/>
        </w:rPr>
        <w:t xml:space="preserve">and </w:t>
      </w:r>
      <w:r>
        <w:rPr>
          <w:rFonts w:ascii="Times New Roman" w:eastAsia="SimSun" w:hAnsi="Times New Roman" w:cs="Calibri"/>
          <w:i/>
          <w:sz w:val="20"/>
          <w:szCs w:val="20"/>
        </w:rPr>
        <w:t xml:space="preserve">the UL or DL RF retuning time [11, TS 38.133] as defined by higher layer parameters rf-RetuningTimeUL and rf-RetuningTimeDL, </w:t>
      </w:r>
    </w:p>
    <w:p w14:paraId="6DE02E35" w14:textId="77777777" w:rsidR="00B70F17" w:rsidRDefault="00B70F17" w:rsidP="00B70F17">
      <w:pPr>
        <w:pStyle w:val="ListParagraph"/>
        <w:numPr>
          <w:ilvl w:val="0"/>
          <w:numId w:val="20"/>
        </w:numPr>
        <w:jc w:val="both"/>
        <w:rPr>
          <w:rFonts w:ascii="Times New Roman" w:eastAsia="SimSun" w:hAnsi="Times New Roman"/>
          <w:i/>
          <w:sz w:val="20"/>
          <w:szCs w:val="20"/>
        </w:rPr>
      </w:pPr>
      <w:r>
        <w:rPr>
          <w:rFonts w:ascii="Times New Roman" w:eastAsia="SimSun" w:hAnsi="Times New Roman"/>
          <w:i/>
          <w:sz w:val="20"/>
          <w:szCs w:val="20"/>
        </w:rPr>
        <w:t xml:space="preserve">it does not collide with any previous SRS transmissions, </w:t>
      </w:r>
      <w:r w:rsidRPr="00932322">
        <w:rPr>
          <w:rFonts w:ascii="Times New Roman" w:eastAsia="SimSun" w:hAnsi="Times New Roman"/>
          <w:i/>
          <w:sz w:val="20"/>
          <w:szCs w:val="20"/>
        </w:rPr>
        <w:t>or interruption due to UL or DL RF retuning time.</w:t>
      </w:r>
    </w:p>
    <w:p w14:paraId="2AC790A9" w14:textId="76608688" w:rsidR="00B70F17" w:rsidRPr="00B70F17" w:rsidRDefault="00B70F17" w:rsidP="00B70F17">
      <w:pPr>
        <w:jc w:val="both"/>
      </w:pPr>
      <w:r>
        <w:rPr>
          <w:i/>
        </w:rPr>
        <w:t>otherwise, n-th SRS transmission is dropped.</w:t>
      </w:r>
    </w:p>
    <w:p w14:paraId="7BE6AA06" w14:textId="1A4A7ADF" w:rsidR="004B3151" w:rsidRDefault="004B3151" w:rsidP="004B3151">
      <w:pPr>
        <w:spacing w:after="0"/>
        <w:jc w:val="both"/>
        <w:rPr>
          <w:b/>
          <w:i/>
          <w:lang w:val="en-GB"/>
        </w:rPr>
      </w:pPr>
      <w:r w:rsidRPr="004E15AD">
        <w:rPr>
          <w:b/>
          <w:i/>
        </w:rPr>
        <w:t>Proposal</w:t>
      </w:r>
      <w:r>
        <w:rPr>
          <w:b/>
          <w:i/>
        </w:rPr>
        <w:t xml:space="preserve"> </w:t>
      </w:r>
      <w:r w:rsidR="00B70F17">
        <w:rPr>
          <w:b/>
          <w:i/>
        </w:rPr>
        <w:t>6</w:t>
      </w:r>
      <w:r>
        <w:rPr>
          <w:b/>
          <w:i/>
        </w:rPr>
        <w:t xml:space="preserve"> (New text in Section 6.2.1.3, 38.214)</w:t>
      </w:r>
      <w:r w:rsidRPr="004E15AD">
        <w:rPr>
          <w:b/>
          <w:i/>
        </w:rPr>
        <w:t>:</w:t>
      </w:r>
      <w:r w:rsidRPr="00445910">
        <w:rPr>
          <w:i/>
          <w:lang w:val="en-GB"/>
        </w:rPr>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typeA-SRS-TPC-PDCCH-Grou</w:t>
      </w:r>
      <w:r w:rsidRPr="0055729A">
        <w:rPr>
          <w:b/>
          <w:i/>
        </w:rPr>
        <w:t>p</w:t>
      </w:r>
      <w:r w:rsidRPr="00C24F7C">
        <w:rPr>
          <w:i/>
          <w:lang w:val="en-GB"/>
        </w:rPr>
        <w:t xml:space="preserve"> </w:t>
      </w:r>
      <w:r w:rsidRPr="00445910">
        <w:rPr>
          <w:i/>
          <w:lang w:val="en-GB"/>
        </w:rPr>
        <w:t xml:space="preserve">without PUSCH/PUCCH transmission, </w:t>
      </w:r>
      <w:r w:rsidRPr="008D4F84">
        <w:rPr>
          <w:bCs/>
          <w:i/>
          <w:lang w:val="en-GB"/>
        </w:rPr>
        <w:t>the order of the triggered SRS transmission on the serving cells follow the order of the serving cells in the indicated set of serving cells configured by higher layers</w:t>
      </w:r>
      <w:r w:rsidRPr="008D4F84">
        <w:rPr>
          <w:i/>
          <w:lang w:val="en-GB"/>
        </w:rPr>
        <w:t>.</w:t>
      </w:r>
      <w:r w:rsidRPr="00445910">
        <w:rPr>
          <w:i/>
          <w:lang w:val="en-GB"/>
        </w:rPr>
        <w:t xml:space="preserve"> </w:t>
      </w:r>
    </w:p>
    <w:p w14:paraId="5B15B14C" w14:textId="77777777" w:rsidR="004B3151" w:rsidRPr="00AD0998" w:rsidRDefault="004B3151" w:rsidP="004B3151">
      <w:pPr>
        <w:spacing w:after="0"/>
        <w:jc w:val="both"/>
        <w:rPr>
          <w:b/>
          <w:i/>
        </w:rPr>
      </w:pPr>
      <w:r w:rsidRPr="00445910">
        <w:rPr>
          <w:i/>
          <w:lang w:val="en-GB"/>
        </w:rPr>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w:t>
      </w:r>
      <w:r>
        <w:rPr>
          <w:b/>
          <w:i/>
        </w:rPr>
        <w:t>B</w:t>
      </w:r>
      <w:r w:rsidRPr="00F12326">
        <w:rPr>
          <w:b/>
          <w:i/>
        </w:rPr>
        <w:t>-SRS-TPC-PDCCH-Grou</w:t>
      </w:r>
      <w:r w:rsidRPr="0055729A">
        <w:rPr>
          <w:b/>
          <w:i/>
        </w:rPr>
        <w:t>p</w:t>
      </w:r>
      <w:r w:rsidRPr="00C24F7C">
        <w:rPr>
          <w:i/>
          <w:lang w:val="en-GB"/>
        </w:rPr>
        <w:t xml:space="preserve"> </w:t>
      </w:r>
      <w:r w:rsidRPr="00445910">
        <w:rPr>
          <w:i/>
          <w:lang w:val="en-GB"/>
        </w:rPr>
        <w:t xml:space="preserve">without PUSCH/PUCCH transmission, </w:t>
      </w:r>
      <w:r w:rsidRPr="008D4F84">
        <w:rPr>
          <w:bCs/>
          <w:i/>
          <w:lang w:val="en-GB"/>
        </w:rPr>
        <w:t xml:space="preserve">the order of the triggered SRS transmission on the serving cells follow the order of the serving cells with </w:t>
      </w:r>
      <w:r>
        <w:rPr>
          <w:bCs/>
          <w:i/>
          <w:lang w:val="en-GB"/>
        </w:rPr>
        <w:t xml:space="preserve">aperiodic </w:t>
      </w:r>
      <w:r w:rsidRPr="008D4F84">
        <w:rPr>
          <w:bCs/>
          <w:i/>
          <w:lang w:val="en-GB"/>
        </w:rPr>
        <w:t>SRS triggered in the DCI</w:t>
      </w:r>
      <w:r w:rsidRPr="008D4F84">
        <w:rPr>
          <w:i/>
          <w:lang w:val="en-GB"/>
        </w:rPr>
        <w:t xml:space="preserve">. </w:t>
      </w:r>
    </w:p>
    <w:p w14:paraId="6A3F9A08" w14:textId="77777777" w:rsidR="004B3151" w:rsidRDefault="004B3151" w:rsidP="004B3151">
      <w:pPr>
        <w:jc w:val="both"/>
        <w:rPr>
          <w:b/>
          <w:i/>
        </w:rPr>
      </w:pPr>
    </w:p>
    <w:p w14:paraId="450E3FA1" w14:textId="77777777" w:rsidR="00B73B51" w:rsidRPr="00AD0998" w:rsidRDefault="00B73B51" w:rsidP="00B73B51">
      <w:pPr>
        <w:spacing w:after="0"/>
        <w:jc w:val="both"/>
        <w:rPr>
          <w:i/>
          <w:lang w:eastAsia="ko-KR"/>
        </w:rPr>
      </w:pPr>
      <w:r w:rsidRPr="004E15AD">
        <w:rPr>
          <w:b/>
          <w:i/>
        </w:rPr>
        <w:t>Proposal</w:t>
      </w:r>
      <w:r>
        <w:rPr>
          <w:b/>
          <w:i/>
        </w:rPr>
        <w:t xml:space="preserve"> 7 (Section 7.3.1.3.4, 38.212)</w:t>
      </w:r>
      <w:r w:rsidRPr="004E15AD">
        <w:rPr>
          <w:b/>
          <w:i/>
        </w:rPr>
        <w:t xml:space="preserve">: </w:t>
      </w:r>
      <w:r w:rsidRPr="009914F6">
        <w:rPr>
          <w:i/>
          <w:lang w:eastAsia="ko-KR"/>
        </w:rPr>
        <w:t xml:space="preserve"> </w:t>
      </w:r>
      <w:r w:rsidRPr="00B73B51">
        <w:rPr>
          <w:i/>
          <w:color w:val="4472C4" w:themeColor="accent5"/>
        </w:rPr>
        <w:t xml:space="preserve">If the </w:t>
      </w:r>
      <w:r w:rsidRPr="00B73B51">
        <w:rPr>
          <w:i/>
          <w:color w:val="4472C4" w:themeColor="accent5"/>
          <w:lang w:val="en-GB"/>
        </w:rPr>
        <w:t xml:space="preserve">UE is </w:t>
      </w:r>
      <w:r w:rsidRPr="00B73B51">
        <w:rPr>
          <w:i/>
          <w:color w:val="4472C4" w:themeColor="accent5"/>
        </w:rPr>
        <w:t>configured with higher layer parameter typeA-SRS-TPC-PDCCH-Group</w:t>
      </w:r>
      <w:r w:rsidRPr="00B73B51">
        <w:rPr>
          <w:i/>
          <w:color w:val="4472C4" w:themeColor="accent5"/>
          <w:lang w:eastAsia="zh-CN"/>
        </w:rPr>
        <w:t xml:space="preserve"> </w:t>
      </w:r>
      <w:r>
        <w:rPr>
          <w:i/>
          <w:lang w:eastAsia="zh-CN"/>
        </w:rPr>
        <w:t>f</w:t>
      </w:r>
      <w:r w:rsidRPr="009914F6">
        <w:rPr>
          <w:rFonts w:hint="eastAsia"/>
          <w:i/>
          <w:lang w:eastAsia="zh-CN"/>
        </w:rPr>
        <w:t xml:space="preserve">or an UL </w:t>
      </w:r>
      <w:r w:rsidRPr="009914F6">
        <w:rPr>
          <w:i/>
        </w:rPr>
        <w:t xml:space="preserve">without PUCCH </w:t>
      </w:r>
      <w:r w:rsidRPr="009914F6">
        <w:rPr>
          <w:rFonts w:hint="eastAsia"/>
          <w:i/>
          <w:lang w:eastAsia="zh-CN"/>
        </w:rPr>
        <w:t>and</w:t>
      </w:r>
      <w:r w:rsidRPr="009914F6">
        <w:rPr>
          <w:i/>
        </w:rPr>
        <w:t xml:space="preserve"> PUSCH</w:t>
      </w:r>
      <w:r w:rsidRPr="009914F6">
        <w:rPr>
          <w:rFonts w:hint="eastAsia"/>
          <w:i/>
          <w:lang w:eastAsia="zh-CN"/>
        </w:rPr>
        <w:t xml:space="preserve"> </w:t>
      </w:r>
      <w:r w:rsidRPr="009914F6">
        <w:rPr>
          <w:i/>
        </w:rPr>
        <w:t xml:space="preserve">or </w:t>
      </w:r>
      <w:r w:rsidRPr="009914F6">
        <w:rPr>
          <w:rFonts w:hint="eastAsia"/>
          <w:i/>
          <w:lang w:eastAsia="zh-CN"/>
        </w:rPr>
        <w:t xml:space="preserve">an UL </w:t>
      </w:r>
      <w:r w:rsidRPr="009914F6">
        <w:rPr>
          <w:i/>
        </w:rPr>
        <w:t>on which the SRS power control is not tied with PUSCH power control, one block is configured for the UE by higher layers, with t</w:t>
      </w:r>
      <w:r w:rsidRPr="009914F6">
        <w:rPr>
          <w:i/>
          <w:lang w:eastAsia="ko-KR"/>
        </w:rPr>
        <w:t>he following fields defined for the block:</w:t>
      </w:r>
    </w:p>
    <w:p w14:paraId="4EABDB01" w14:textId="77777777" w:rsidR="00B73B51" w:rsidRPr="009914F6" w:rsidRDefault="00B73B51" w:rsidP="00B73B51">
      <w:pPr>
        <w:pStyle w:val="B1"/>
        <w:spacing w:after="0"/>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14:paraId="31FD9533" w14:textId="77777777" w:rsidR="00B73B51" w:rsidRPr="00B73B51" w:rsidRDefault="00B73B51" w:rsidP="00B73B51">
      <w:pPr>
        <w:pStyle w:val="B1"/>
        <w:spacing w:after="0"/>
        <w:rPr>
          <w:i/>
          <w:color w:val="4472C4" w:themeColor="accent5"/>
          <w:lang w:val="nb-NO"/>
        </w:rPr>
      </w:pPr>
      <w:r w:rsidRPr="009914F6">
        <w:rPr>
          <w:i/>
          <w:lang w:val="nb-NO"/>
        </w:rPr>
        <w:t>-</w:t>
      </w:r>
      <w:r w:rsidRPr="009914F6">
        <w:rPr>
          <w:i/>
          <w:lang w:val="nb-NO"/>
        </w:rPr>
        <w:tab/>
      </w:r>
      <w:r w:rsidRPr="00375366">
        <w:rPr>
          <w:i/>
          <w:strike/>
          <w:lang w:val="nb-NO"/>
        </w:rPr>
        <w:t>TPC command number –2 bits</w:t>
      </w:r>
      <w:r w:rsidRPr="00B73B51">
        <w:rPr>
          <w:color w:val="4472C4" w:themeColor="accent5"/>
          <w:lang w:val="nb-NO"/>
        </w:rPr>
        <w:t xml:space="preserve">-     </w:t>
      </w:r>
      <w:r w:rsidRPr="00B73B51">
        <w:rPr>
          <w:i/>
          <w:color w:val="4472C4" w:themeColor="accent5"/>
          <w:lang w:val="nb-NO"/>
        </w:rPr>
        <w:t xml:space="preserve">TPC command number 1, TPC command number 2, …, TPC command number n </w:t>
      </w:r>
    </w:p>
    <w:p w14:paraId="68518537" w14:textId="77777777" w:rsidR="00B73B51" w:rsidRPr="00B73B51" w:rsidRDefault="00B73B51" w:rsidP="00B73B51">
      <w:pPr>
        <w:pStyle w:val="B1"/>
        <w:spacing w:after="0"/>
        <w:rPr>
          <w:i/>
          <w:color w:val="4472C4" w:themeColor="accent5"/>
        </w:rPr>
      </w:pPr>
      <w:r w:rsidRPr="00B73B51">
        <w:rPr>
          <w:i/>
          <w:color w:val="4472C4" w:themeColor="accent5"/>
        </w:rPr>
        <w:t>      where each TPC command applies to a respective serving cell index provided by higher layer parameter cc-IndexInOneCC-Set.</w:t>
      </w:r>
    </w:p>
    <w:p w14:paraId="1A7077F5" w14:textId="77777777" w:rsidR="00B73B51" w:rsidRPr="000517A2" w:rsidRDefault="00B73B51" w:rsidP="00B73B51">
      <w:pPr>
        <w:pStyle w:val="B1"/>
        <w:spacing w:after="0"/>
        <w:rPr>
          <w:i/>
          <w:color w:val="00B050"/>
        </w:rPr>
      </w:pPr>
    </w:p>
    <w:p w14:paraId="67B6B7D6" w14:textId="77777777" w:rsidR="00B73B51" w:rsidRPr="00B73B51" w:rsidRDefault="00B73B51" w:rsidP="00B73B51">
      <w:pPr>
        <w:spacing w:after="0"/>
        <w:jc w:val="both"/>
        <w:rPr>
          <w:i/>
          <w:color w:val="4472C4" w:themeColor="accent5"/>
        </w:rPr>
      </w:pPr>
      <w:r w:rsidRPr="00B73B51">
        <w:rPr>
          <w:i/>
          <w:color w:val="4472C4" w:themeColor="accent5"/>
        </w:rPr>
        <w:t xml:space="preserve">If the </w:t>
      </w:r>
      <w:r w:rsidRPr="00B73B51">
        <w:rPr>
          <w:i/>
          <w:color w:val="4472C4" w:themeColor="accent5"/>
          <w:lang w:val="en-GB"/>
        </w:rPr>
        <w:t xml:space="preserve">UE is </w:t>
      </w:r>
      <w:r w:rsidRPr="00B73B51">
        <w:rPr>
          <w:i/>
          <w:color w:val="4472C4" w:themeColor="accent5"/>
        </w:rPr>
        <w:t>configured with higher layer parameter typeB-SRS-TPC-PDCCH-Group</w:t>
      </w:r>
      <w:r w:rsidRPr="00B73B51">
        <w:rPr>
          <w:i/>
          <w:color w:val="4472C4" w:themeColor="accent5"/>
          <w:lang w:eastAsia="zh-CN"/>
        </w:rPr>
        <w:t xml:space="preserve"> f</w:t>
      </w:r>
      <w:r w:rsidRPr="00B73B51">
        <w:rPr>
          <w:rFonts w:hint="eastAsia"/>
          <w:i/>
          <w:color w:val="4472C4" w:themeColor="accent5"/>
          <w:lang w:eastAsia="zh-CN"/>
        </w:rPr>
        <w:t xml:space="preserve">or an UL </w:t>
      </w:r>
      <w:r w:rsidRPr="00B73B51">
        <w:rPr>
          <w:i/>
          <w:color w:val="4472C4" w:themeColor="accent5"/>
        </w:rPr>
        <w:t xml:space="preserve">without PUCCH </w:t>
      </w:r>
      <w:r w:rsidRPr="00B73B51">
        <w:rPr>
          <w:rFonts w:hint="eastAsia"/>
          <w:i/>
          <w:color w:val="4472C4" w:themeColor="accent5"/>
          <w:lang w:eastAsia="zh-CN"/>
        </w:rPr>
        <w:t>and</w:t>
      </w:r>
      <w:r w:rsidRPr="00B73B51">
        <w:rPr>
          <w:i/>
          <w:color w:val="4472C4" w:themeColor="accent5"/>
        </w:rPr>
        <w:t xml:space="preserve"> PUSCH</w:t>
      </w:r>
      <w:r w:rsidRPr="00B73B51">
        <w:rPr>
          <w:rFonts w:hint="eastAsia"/>
          <w:i/>
          <w:color w:val="4472C4" w:themeColor="accent5"/>
          <w:lang w:eastAsia="zh-CN"/>
        </w:rPr>
        <w:t xml:space="preserve"> </w:t>
      </w:r>
      <w:r w:rsidRPr="00B73B51">
        <w:rPr>
          <w:i/>
          <w:color w:val="4472C4" w:themeColor="accent5"/>
        </w:rPr>
        <w:t xml:space="preserve">or </w:t>
      </w:r>
      <w:r w:rsidRPr="00B73B51">
        <w:rPr>
          <w:rFonts w:hint="eastAsia"/>
          <w:i/>
          <w:color w:val="4472C4" w:themeColor="accent5"/>
          <w:lang w:eastAsia="zh-CN"/>
        </w:rPr>
        <w:t xml:space="preserve">an </w:t>
      </w:r>
      <w:r w:rsidRPr="00B73B51">
        <w:rPr>
          <w:rFonts w:hint="eastAsia"/>
          <w:i/>
          <w:color w:val="4472C4" w:themeColor="accent5"/>
        </w:rPr>
        <w:t xml:space="preserve">UL </w:t>
      </w:r>
      <w:r w:rsidRPr="00B73B51">
        <w:rPr>
          <w:i/>
          <w:color w:val="4472C4" w:themeColor="accent5"/>
        </w:rPr>
        <w:t xml:space="preserve">on which the SRS power control is not tied with PUSCH power control, </w:t>
      </w:r>
      <w:r w:rsidRPr="00B73B51">
        <w:rPr>
          <w:i/>
          <w:color w:val="4472C4" w:themeColor="accent5"/>
          <w:u w:val="single"/>
        </w:rPr>
        <w:t>one or more blocks</w:t>
      </w:r>
      <w:r w:rsidRPr="00B73B51">
        <w:rPr>
          <w:i/>
          <w:color w:val="4472C4" w:themeColor="accent5"/>
        </w:rPr>
        <w:t xml:space="preserve"> is configured for the UE by higher layers where each block applies to a serving cell, with t</w:t>
      </w:r>
      <w:r w:rsidRPr="00B73B51">
        <w:rPr>
          <w:i/>
          <w:color w:val="4472C4" w:themeColor="accent5"/>
          <w:lang w:eastAsia="ko-KR"/>
        </w:rPr>
        <w:t>he following fields defined for the block:</w:t>
      </w:r>
    </w:p>
    <w:p w14:paraId="67B771AB" w14:textId="77777777" w:rsidR="00B73B51" w:rsidRPr="00B73B51" w:rsidRDefault="00B73B51" w:rsidP="00B73B51">
      <w:pPr>
        <w:pStyle w:val="B1"/>
        <w:spacing w:after="0"/>
        <w:rPr>
          <w:i/>
          <w:color w:val="4472C4" w:themeColor="accent5"/>
        </w:rPr>
      </w:pPr>
      <w:r w:rsidRPr="00B73B51">
        <w:rPr>
          <w:i/>
          <w:color w:val="4472C4" w:themeColor="accent5"/>
          <w:lang w:val="nb-NO"/>
        </w:rPr>
        <w:t>-</w:t>
      </w:r>
      <w:r w:rsidRPr="00B73B51">
        <w:rPr>
          <w:i/>
          <w:color w:val="4472C4" w:themeColor="accent5"/>
          <w:lang w:val="nb-NO"/>
        </w:rPr>
        <w:tab/>
        <w:t xml:space="preserve">SRS request – 0 or 2 bits. The presence of </w:t>
      </w:r>
      <w:r w:rsidRPr="00B73B51">
        <w:rPr>
          <w:rFonts w:hint="eastAsia"/>
          <w:i/>
          <w:color w:val="4472C4" w:themeColor="accent5"/>
          <w:lang w:val="nb-NO" w:eastAsia="zh-CN"/>
        </w:rPr>
        <w:t>t</w:t>
      </w:r>
      <w:r w:rsidRPr="00B73B51">
        <w:rPr>
          <w:i/>
          <w:color w:val="4472C4" w:themeColor="accent5"/>
          <w:lang w:val="nb-NO"/>
        </w:rPr>
        <w:t xml:space="preserve">his field is according to the definition in </w:t>
      </w:r>
      <w:r w:rsidRPr="00B73B51">
        <w:rPr>
          <w:rFonts w:hint="eastAsia"/>
          <w:i/>
          <w:color w:val="4472C4" w:themeColor="accent5"/>
          <w:lang w:val="nb-NO" w:eastAsia="zh-CN"/>
        </w:rPr>
        <w:t>Subclause</w:t>
      </w:r>
      <w:r w:rsidRPr="00B73B51">
        <w:rPr>
          <w:i/>
          <w:color w:val="4472C4" w:themeColor="accent5"/>
          <w:lang w:val="nb-NO"/>
        </w:rPr>
        <w:t xml:space="preserve"> </w:t>
      </w:r>
      <w:r w:rsidRPr="00B73B51">
        <w:rPr>
          <w:rFonts w:hint="eastAsia"/>
          <w:i/>
          <w:color w:val="4472C4" w:themeColor="accent5"/>
          <w:lang w:val="nb-NO" w:eastAsia="zh-CN"/>
        </w:rPr>
        <w:t>x.x</w:t>
      </w:r>
      <w:r w:rsidRPr="00B73B51">
        <w:rPr>
          <w:i/>
          <w:color w:val="4472C4" w:themeColor="accent5"/>
          <w:lang w:val="nb-NO"/>
        </w:rPr>
        <w:t xml:space="preserve"> of [5</w:t>
      </w:r>
      <w:r w:rsidRPr="00B73B51">
        <w:rPr>
          <w:rFonts w:hint="eastAsia"/>
          <w:i/>
          <w:color w:val="4472C4" w:themeColor="accent5"/>
          <w:lang w:val="nb-NO" w:eastAsia="zh-CN"/>
        </w:rPr>
        <w:t>, TS38.213</w:t>
      </w:r>
      <w:r w:rsidRPr="00B73B51">
        <w:rPr>
          <w:i/>
          <w:color w:val="4472C4" w:themeColor="accent5"/>
          <w:lang w:val="nb-NO"/>
        </w:rPr>
        <w:t xml:space="preserve">]. If present, this field is interpreted </w:t>
      </w:r>
      <w:r w:rsidRPr="00B73B51">
        <w:rPr>
          <w:rFonts w:hint="eastAsia"/>
          <w:i/>
          <w:color w:val="4472C4" w:themeColor="accent5"/>
          <w:lang w:eastAsia="zh-CN"/>
        </w:rPr>
        <w:t>as defined by Table 7.3.1.1.2</w:t>
      </w:r>
      <w:r w:rsidRPr="00B73B51">
        <w:rPr>
          <w:i/>
          <w:color w:val="4472C4" w:themeColor="accent5"/>
        </w:rPr>
        <w:t>-</w:t>
      </w:r>
      <w:r w:rsidRPr="00B73B51">
        <w:rPr>
          <w:rFonts w:hint="eastAsia"/>
          <w:i/>
          <w:color w:val="4472C4" w:themeColor="accent5"/>
          <w:lang w:eastAsia="zh-CN"/>
        </w:rPr>
        <w:t>5</w:t>
      </w:r>
      <w:r w:rsidRPr="00B73B51">
        <w:rPr>
          <w:i/>
          <w:color w:val="4472C4" w:themeColor="accent5"/>
          <w:lang w:eastAsia="zh-CN"/>
        </w:rPr>
        <w:t>.</w:t>
      </w:r>
    </w:p>
    <w:p w14:paraId="0390A0AA" w14:textId="77777777" w:rsidR="00B73B51" w:rsidRPr="00B73B51" w:rsidRDefault="00B73B51" w:rsidP="00B73B51">
      <w:pPr>
        <w:pStyle w:val="B1"/>
        <w:spacing w:after="0"/>
        <w:rPr>
          <w:i/>
          <w:color w:val="4472C4" w:themeColor="accent5"/>
          <w:lang w:val="nb-NO" w:eastAsia="zh-CN"/>
        </w:rPr>
      </w:pPr>
      <w:r w:rsidRPr="00B73B51">
        <w:rPr>
          <w:i/>
          <w:color w:val="4472C4" w:themeColor="accent5"/>
          <w:lang w:val="nb-NO"/>
        </w:rPr>
        <w:t>-</w:t>
      </w:r>
      <w:r w:rsidRPr="00B73B51">
        <w:rPr>
          <w:i/>
          <w:color w:val="4472C4" w:themeColor="accent5"/>
          <w:lang w:val="nb-NO"/>
        </w:rPr>
        <w:tab/>
        <w:t>TPC command number –2 bits</w:t>
      </w:r>
    </w:p>
    <w:p w14:paraId="4CBEDAA6" w14:textId="77777777" w:rsidR="000D39A5" w:rsidRPr="004B3151" w:rsidRDefault="000D39A5" w:rsidP="000D39A5"/>
    <w:p w14:paraId="511C9E0A" w14:textId="30E90BA8" w:rsidR="00C71F47" w:rsidRDefault="00E3066B" w:rsidP="00C71F47">
      <w:pPr>
        <w:pStyle w:val="Heading1"/>
        <w:spacing w:before="0" w:after="0"/>
        <w:jc w:val="both"/>
        <w:textAlignment w:val="auto"/>
        <w:rPr>
          <w:lang w:val="en-US"/>
        </w:rPr>
      </w:pPr>
      <w:r>
        <w:rPr>
          <w:lang w:val="en-US"/>
        </w:rPr>
        <w:t>References</w:t>
      </w:r>
    </w:p>
    <w:p w14:paraId="33AE7C01" w14:textId="77777777" w:rsidR="00A2265B" w:rsidRPr="00F66DAA" w:rsidRDefault="00A2265B" w:rsidP="00A2265B">
      <w:pPr>
        <w:pStyle w:val="ListParagraph"/>
        <w:numPr>
          <w:ilvl w:val="0"/>
          <w:numId w:val="10"/>
        </w:numPr>
        <w:rPr>
          <w:rFonts w:ascii="Times New Roman" w:eastAsia="SimSun" w:hAnsi="Times New Roman"/>
          <w:sz w:val="20"/>
          <w:szCs w:val="20"/>
          <w:lang w:val="en-GB" w:eastAsia="zh-CN"/>
        </w:rPr>
      </w:pPr>
      <w:bookmarkStart w:id="12" w:name="_Ref503281159"/>
      <w:r>
        <w:rPr>
          <w:rFonts w:ascii="Times New Roman" w:eastAsia="SimSun" w:hAnsi="Times New Roman"/>
          <w:sz w:val="20"/>
          <w:szCs w:val="20"/>
          <w:lang w:val="en-GB" w:eastAsia="zh-CN"/>
        </w:rPr>
        <w:t>R1-1803552, “</w:t>
      </w:r>
      <w:r w:rsidRPr="00F66DAA">
        <w:rPr>
          <w:i/>
          <w:noProof/>
        </w:rPr>
        <w:t>CR to 38.211 capturing the Jan18 ad-hoc and RAN1#92 meeting agreements</w:t>
      </w:r>
      <w:bookmarkEnd w:id="12"/>
      <w:r>
        <w:rPr>
          <w:noProof/>
        </w:rPr>
        <w:t>”</w:t>
      </w:r>
      <w:r>
        <w:rPr>
          <w:rFonts w:ascii="Times New Roman" w:eastAsia="SimSun" w:hAnsi="Times New Roman"/>
          <w:sz w:val="20"/>
          <w:szCs w:val="20"/>
          <w:lang w:val="en-GB" w:eastAsia="zh-CN"/>
        </w:rPr>
        <w:t xml:space="preserve">, </w:t>
      </w:r>
      <w:r>
        <w:rPr>
          <w:noProof/>
        </w:rPr>
        <w:t>Ericsson</w:t>
      </w:r>
    </w:p>
    <w:p w14:paraId="47D7F08E" w14:textId="77777777" w:rsidR="00A2265B" w:rsidRPr="00FB01C2" w:rsidRDefault="00A2265B" w:rsidP="00A2265B">
      <w:pPr>
        <w:pStyle w:val="ListParagraph"/>
        <w:numPr>
          <w:ilvl w:val="0"/>
          <w:numId w:val="1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R1-1803554,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42344849" w14:textId="4D9F3926" w:rsidR="00A2265B" w:rsidRPr="00A2265B" w:rsidRDefault="00A2265B" w:rsidP="00A2265B">
      <w:pPr>
        <w:pStyle w:val="ListParagraph"/>
        <w:numPr>
          <w:ilvl w:val="0"/>
          <w:numId w:val="1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R1-1803555,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p w14:paraId="397164EC" w14:textId="06936DD7" w:rsidR="00A2265B" w:rsidRPr="001001F7" w:rsidRDefault="00A2265B" w:rsidP="00A2265B">
      <w:pPr>
        <w:pStyle w:val="ListParagraph"/>
        <w:numPr>
          <w:ilvl w:val="0"/>
          <w:numId w:val="10"/>
        </w:numPr>
        <w:rPr>
          <w:rFonts w:ascii="Times New Roman" w:eastAsia="SimSun" w:hAnsi="Times New Roman"/>
          <w:sz w:val="20"/>
          <w:szCs w:val="20"/>
          <w:lang w:val="en-GB" w:eastAsia="zh-CN"/>
        </w:rPr>
      </w:pPr>
      <w:bookmarkStart w:id="13" w:name="_Hlk510614774"/>
      <w:r>
        <w:rPr>
          <w:rFonts w:ascii="Times New Roman" w:eastAsia="SimSun" w:hAnsi="Times New Roman"/>
          <w:sz w:val="20"/>
          <w:szCs w:val="20"/>
          <w:lang w:val="en-GB" w:eastAsia="zh-CN"/>
        </w:rPr>
        <w:t>R1-1803478, “</w:t>
      </w:r>
      <w:r>
        <w:rPr>
          <w:i/>
          <w:noProof/>
          <w:lang w:eastAsia="zh-CN"/>
        </w:rPr>
        <w:t>Rel-15 NR UE feature List</w:t>
      </w:r>
      <w:r>
        <w:rPr>
          <w:noProof/>
        </w:rPr>
        <w:t>”</w:t>
      </w:r>
      <w:r>
        <w:rPr>
          <w:rFonts w:ascii="Times New Roman" w:eastAsia="SimSun" w:hAnsi="Times New Roman"/>
          <w:sz w:val="20"/>
          <w:szCs w:val="20"/>
          <w:lang w:val="en-GB" w:eastAsia="zh-CN"/>
        </w:rPr>
        <w:t xml:space="preserve">, </w:t>
      </w:r>
      <w:r w:rsidRPr="00AF1A70">
        <w:rPr>
          <w:rFonts w:eastAsia="MS Mincho"/>
          <w:iCs/>
          <w:szCs w:val="20"/>
          <w:lang w:eastAsia="ja-JP"/>
        </w:rPr>
        <w:t>NTT DOCOMO, ATT</w:t>
      </w:r>
    </w:p>
    <w:bookmarkEnd w:id="13"/>
    <w:p w14:paraId="70604CDB" w14:textId="77777777" w:rsidR="00A2265B" w:rsidRPr="00A2265B" w:rsidRDefault="00A2265B" w:rsidP="00A2265B">
      <w:pPr>
        <w:rPr>
          <w:lang w:val="en-GB" w:eastAsia="zh-CN"/>
        </w:rPr>
      </w:pPr>
    </w:p>
    <w:p w14:paraId="0BE3660B" w14:textId="09FFC17D" w:rsidR="00C05E9B" w:rsidRPr="00A2265B" w:rsidRDefault="00C05E9B" w:rsidP="00A2265B">
      <w:pPr>
        <w:spacing w:before="120"/>
        <w:rPr>
          <w:lang w:val="en-GB" w:eastAsia="zh-CN"/>
        </w:rPr>
      </w:pPr>
    </w:p>
    <w:sectPr w:rsidR="00C05E9B" w:rsidRPr="00A2265B"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F19B6" w14:textId="77777777" w:rsidR="00B62534" w:rsidRDefault="00B62534">
      <w:r>
        <w:separator/>
      </w:r>
    </w:p>
  </w:endnote>
  <w:endnote w:type="continuationSeparator" w:id="0">
    <w:p w14:paraId="64624B74" w14:textId="77777777" w:rsidR="00B62534" w:rsidRDefault="00B62534">
      <w:r>
        <w:continuationSeparator/>
      </w:r>
    </w:p>
  </w:endnote>
  <w:endnote w:type="continuationNotice" w:id="1">
    <w:p w14:paraId="4CAC1C20" w14:textId="77777777" w:rsidR="00B62534" w:rsidRDefault="00B62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880A59" w:rsidRDefault="00880A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880A59" w:rsidRDefault="00880A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729680A" w:rsidR="00880A59" w:rsidRDefault="00880A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5B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B9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0E3F" w14:textId="77777777" w:rsidR="00B62534" w:rsidRDefault="00B62534">
      <w:r>
        <w:separator/>
      </w:r>
    </w:p>
  </w:footnote>
  <w:footnote w:type="continuationSeparator" w:id="0">
    <w:p w14:paraId="7FF69324" w14:textId="77777777" w:rsidR="00B62534" w:rsidRDefault="00B62534">
      <w:r>
        <w:continuationSeparator/>
      </w:r>
    </w:p>
  </w:footnote>
  <w:footnote w:type="continuationNotice" w:id="1">
    <w:p w14:paraId="59F36E5A" w14:textId="77777777" w:rsidR="00B62534" w:rsidRDefault="00B62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880A59" w:rsidRDefault="00880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70FA8"/>
    <w:multiLevelType w:val="hybridMultilevel"/>
    <w:tmpl w:val="8FAC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D08B1"/>
    <w:multiLevelType w:val="hybridMultilevel"/>
    <w:tmpl w:val="2C260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B2933"/>
    <w:multiLevelType w:val="hybridMultilevel"/>
    <w:tmpl w:val="673E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7F7270"/>
    <w:multiLevelType w:val="hybridMultilevel"/>
    <w:tmpl w:val="B5D88E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75D94"/>
    <w:multiLevelType w:val="hybridMultilevel"/>
    <w:tmpl w:val="8AFED22A"/>
    <w:lvl w:ilvl="0" w:tplc="13786854">
      <w:start w:val="1"/>
      <w:numFmt w:val="bullet"/>
      <w:lvlText w:val=""/>
      <w:lvlJc w:val="left"/>
      <w:pPr>
        <w:tabs>
          <w:tab w:val="num" w:pos="720"/>
        </w:tabs>
        <w:ind w:left="720" w:hanging="360"/>
      </w:pPr>
      <w:rPr>
        <w:rFonts w:ascii="Symbol" w:hAnsi="Symbol" w:hint="default"/>
      </w:rPr>
    </w:lvl>
    <w:lvl w:ilvl="1" w:tplc="F53E1100">
      <w:start w:val="30"/>
      <w:numFmt w:val="bullet"/>
      <w:lvlText w:val="−"/>
      <w:lvlJc w:val="left"/>
      <w:pPr>
        <w:tabs>
          <w:tab w:val="num" w:pos="1440"/>
        </w:tabs>
        <w:ind w:left="1440" w:hanging="360"/>
      </w:pPr>
      <w:rPr>
        <w:rFonts w:ascii="Calibre Regular" w:hAnsi="Calibre Regular" w:hint="default"/>
      </w:rPr>
    </w:lvl>
    <w:lvl w:ilvl="2" w:tplc="81FABFD0" w:tentative="1">
      <w:start w:val="1"/>
      <w:numFmt w:val="bullet"/>
      <w:lvlText w:val=""/>
      <w:lvlJc w:val="left"/>
      <w:pPr>
        <w:tabs>
          <w:tab w:val="num" w:pos="2160"/>
        </w:tabs>
        <w:ind w:left="2160" w:hanging="360"/>
      </w:pPr>
      <w:rPr>
        <w:rFonts w:ascii="Symbol" w:hAnsi="Symbol" w:hint="default"/>
      </w:rPr>
    </w:lvl>
    <w:lvl w:ilvl="3" w:tplc="12B0385A" w:tentative="1">
      <w:start w:val="1"/>
      <w:numFmt w:val="bullet"/>
      <w:lvlText w:val=""/>
      <w:lvlJc w:val="left"/>
      <w:pPr>
        <w:tabs>
          <w:tab w:val="num" w:pos="2880"/>
        </w:tabs>
        <w:ind w:left="2880" w:hanging="360"/>
      </w:pPr>
      <w:rPr>
        <w:rFonts w:ascii="Symbol" w:hAnsi="Symbol" w:hint="default"/>
      </w:rPr>
    </w:lvl>
    <w:lvl w:ilvl="4" w:tplc="5B66BE44" w:tentative="1">
      <w:start w:val="1"/>
      <w:numFmt w:val="bullet"/>
      <w:lvlText w:val=""/>
      <w:lvlJc w:val="left"/>
      <w:pPr>
        <w:tabs>
          <w:tab w:val="num" w:pos="3600"/>
        </w:tabs>
        <w:ind w:left="3600" w:hanging="360"/>
      </w:pPr>
      <w:rPr>
        <w:rFonts w:ascii="Symbol" w:hAnsi="Symbol" w:hint="default"/>
      </w:rPr>
    </w:lvl>
    <w:lvl w:ilvl="5" w:tplc="EE340894" w:tentative="1">
      <w:start w:val="1"/>
      <w:numFmt w:val="bullet"/>
      <w:lvlText w:val=""/>
      <w:lvlJc w:val="left"/>
      <w:pPr>
        <w:tabs>
          <w:tab w:val="num" w:pos="4320"/>
        </w:tabs>
        <w:ind w:left="4320" w:hanging="360"/>
      </w:pPr>
      <w:rPr>
        <w:rFonts w:ascii="Symbol" w:hAnsi="Symbol" w:hint="default"/>
      </w:rPr>
    </w:lvl>
    <w:lvl w:ilvl="6" w:tplc="7FD47618" w:tentative="1">
      <w:start w:val="1"/>
      <w:numFmt w:val="bullet"/>
      <w:lvlText w:val=""/>
      <w:lvlJc w:val="left"/>
      <w:pPr>
        <w:tabs>
          <w:tab w:val="num" w:pos="5040"/>
        </w:tabs>
        <w:ind w:left="5040" w:hanging="360"/>
      </w:pPr>
      <w:rPr>
        <w:rFonts w:ascii="Symbol" w:hAnsi="Symbol" w:hint="default"/>
      </w:rPr>
    </w:lvl>
    <w:lvl w:ilvl="7" w:tplc="D6285C16" w:tentative="1">
      <w:start w:val="1"/>
      <w:numFmt w:val="bullet"/>
      <w:lvlText w:val=""/>
      <w:lvlJc w:val="left"/>
      <w:pPr>
        <w:tabs>
          <w:tab w:val="num" w:pos="5760"/>
        </w:tabs>
        <w:ind w:left="5760" w:hanging="360"/>
      </w:pPr>
      <w:rPr>
        <w:rFonts w:ascii="Symbol" w:hAnsi="Symbol" w:hint="default"/>
      </w:rPr>
    </w:lvl>
    <w:lvl w:ilvl="8" w:tplc="4DF0674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B15E85"/>
    <w:multiLevelType w:val="hybridMultilevel"/>
    <w:tmpl w:val="C3CC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69126CA"/>
    <w:multiLevelType w:val="hybridMultilevel"/>
    <w:tmpl w:val="8B1E8EE4"/>
    <w:lvl w:ilvl="0" w:tplc="3460903C">
      <w:start w:val="1"/>
      <w:numFmt w:val="bullet"/>
      <w:lvlText w:val="›"/>
      <w:lvlJc w:val="left"/>
      <w:pPr>
        <w:tabs>
          <w:tab w:val="num" w:pos="720"/>
        </w:tabs>
        <w:ind w:left="720" w:hanging="360"/>
      </w:pPr>
      <w:rPr>
        <w:rFonts w:ascii="Arial" w:hAnsi="Arial" w:hint="default"/>
      </w:rPr>
    </w:lvl>
    <w:lvl w:ilvl="1" w:tplc="D8640166">
      <w:numFmt w:val="bullet"/>
      <w:lvlText w:val="–"/>
      <w:lvlJc w:val="left"/>
      <w:pPr>
        <w:tabs>
          <w:tab w:val="num" w:pos="1440"/>
        </w:tabs>
        <w:ind w:left="1440" w:hanging="360"/>
      </w:pPr>
      <w:rPr>
        <w:rFonts w:ascii="Ericsson Capital TT" w:hAnsi="Ericsson Capital TT" w:hint="default"/>
      </w:rPr>
    </w:lvl>
    <w:lvl w:ilvl="2" w:tplc="0D6AF60E">
      <w:numFmt w:val="bullet"/>
      <w:lvlText w:val="›"/>
      <w:lvlJc w:val="left"/>
      <w:pPr>
        <w:tabs>
          <w:tab w:val="num" w:pos="2160"/>
        </w:tabs>
        <w:ind w:left="2160" w:hanging="360"/>
      </w:pPr>
      <w:rPr>
        <w:rFonts w:ascii="Ericsson Capital TT" w:hAnsi="Ericsson Capital TT" w:hint="default"/>
      </w:rPr>
    </w:lvl>
    <w:lvl w:ilvl="3" w:tplc="2B304DE6" w:tentative="1">
      <w:start w:val="1"/>
      <w:numFmt w:val="bullet"/>
      <w:lvlText w:val="›"/>
      <w:lvlJc w:val="left"/>
      <w:pPr>
        <w:tabs>
          <w:tab w:val="num" w:pos="2880"/>
        </w:tabs>
        <w:ind w:left="2880" w:hanging="360"/>
      </w:pPr>
      <w:rPr>
        <w:rFonts w:ascii="Arial" w:hAnsi="Arial" w:hint="default"/>
      </w:rPr>
    </w:lvl>
    <w:lvl w:ilvl="4" w:tplc="CA8E57AC" w:tentative="1">
      <w:start w:val="1"/>
      <w:numFmt w:val="bullet"/>
      <w:lvlText w:val="›"/>
      <w:lvlJc w:val="left"/>
      <w:pPr>
        <w:tabs>
          <w:tab w:val="num" w:pos="3600"/>
        </w:tabs>
        <w:ind w:left="3600" w:hanging="360"/>
      </w:pPr>
      <w:rPr>
        <w:rFonts w:ascii="Arial" w:hAnsi="Arial" w:hint="default"/>
      </w:rPr>
    </w:lvl>
    <w:lvl w:ilvl="5" w:tplc="C4DCD5BA" w:tentative="1">
      <w:start w:val="1"/>
      <w:numFmt w:val="bullet"/>
      <w:lvlText w:val="›"/>
      <w:lvlJc w:val="left"/>
      <w:pPr>
        <w:tabs>
          <w:tab w:val="num" w:pos="4320"/>
        </w:tabs>
        <w:ind w:left="4320" w:hanging="360"/>
      </w:pPr>
      <w:rPr>
        <w:rFonts w:ascii="Arial" w:hAnsi="Arial" w:hint="default"/>
      </w:rPr>
    </w:lvl>
    <w:lvl w:ilvl="6" w:tplc="D5F6BF8A" w:tentative="1">
      <w:start w:val="1"/>
      <w:numFmt w:val="bullet"/>
      <w:lvlText w:val="›"/>
      <w:lvlJc w:val="left"/>
      <w:pPr>
        <w:tabs>
          <w:tab w:val="num" w:pos="5040"/>
        </w:tabs>
        <w:ind w:left="5040" w:hanging="360"/>
      </w:pPr>
      <w:rPr>
        <w:rFonts w:ascii="Arial" w:hAnsi="Arial" w:hint="default"/>
      </w:rPr>
    </w:lvl>
    <w:lvl w:ilvl="7" w:tplc="9A74BC42" w:tentative="1">
      <w:start w:val="1"/>
      <w:numFmt w:val="bullet"/>
      <w:lvlText w:val="›"/>
      <w:lvlJc w:val="left"/>
      <w:pPr>
        <w:tabs>
          <w:tab w:val="num" w:pos="5760"/>
        </w:tabs>
        <w:ind w:left="5760" w:hanging="360"/>
      </w:pPr>
      <w:rPr>
        <w:rFonts w:ascii="Arial" w:hAnsi="Arial" w:hint="default"/>
      </w:rPr>
    </w:lvl>
    <w:lvl w:ilvl="8" w:tplc="E7621D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1F5566"/>
    <w:multiLevelType w:val="hybridMultilevel"/>
    <w:tmpl w:val="06E0339C"/>
    <w:lvl w:ilvl="0" w:tplc="44BC3E56">
      <w:start w:val="1"/>
      <w:numFmt w:val="bullet"/>
      <w:lvlText w:val=""/>
      <w:lvlJc w:val="left"/>
      <w:pPr>
        <w:tabs>
          <w:tab w:val="num" w:pos="648"/>
        </w:tabs>
        <w:ind w:left="648" w:hanging="360"/>
      </w:pPr>
      <w:rPr>
        <w:rFonts w:ascii="Symbol" w:hAnsi="Symbol" w:hint="default"/>
      </w:rPr>
    </w:lvl>
    <w:lvl w:ilvl="1" w:tplc="E65CE214">
      <w:start w:val="1"/>
      <w:numFmt w:val="bullet"/>
      <w:lvlText w:val=""/>
      <w:lvlJc w:val="left"/>
      <w:pPr>
        <w:tabs>
          <w:tab w:val="num" w:pos="1368"/>
        </w:tabs>
        <w:ind w:left="1368" w:hanging="360"/>
      </w:pPr>
      <w:rPr>
        <w:rFonts w:ascii="Symbol" w:hAnsi="Symbol" w:hint="default"/>
      </w:rPr>
    </w:lvl>
    <w:lvl w:ilvl="2" w:tplc="956E09EA">
      <w:start w:val="30"/>
      <w:numFmt w:val="bullet"/>
      <w:lvlText w:val="−"/>
      <w:lvlJc w:val="left"/>
      <w:pPr>
        <w:tabs>
          <w:tab w:val="num" w:pos="2088"/>
        </w:tabs>
        <w:ind w:left="2088" w:hanging="360"/>
      </w:pPr>
      <w:rPr>
        <w:rFonts w:ascii="Calibre Regular" w:hAnsi="Calibre Regular" w:hint="default"/>
      </w:rPr>
    </w:lvl>
    <w:lvl w:ilvl="3" w:tplc="BE38DBB4" w:tentative="1">
      <w:start w:val="1"/>
      <w:numFmt w:val="bullet"/>
      <w:lvlText w:val=""/>
      <w:lvlJc w:val="left"/>
      <w:pPr>
        <w:tabs>
          <w:tab w:val="num" w:pos="2808"/>
        </w:tabs>
        <w:ind w:left="2808" w:hanging="360"/>
      </w:pPr>
      <w:rPr>
        <w:rFonts w:ascii="Symbol" w:hAnsi="Symbol" w:hint="default"/>
      </w:rPr>
    </w:lvl>
    <w:lvl w:ilvl="4" w:tplc="014C2B4E" w:tentative="1">
      <w:start w:val="1"/>
      <w:numFmt w:val="bullet"/>
      <w:lvlText w:val=""/>
      <w:lvlJc w:val="left"/>
      <w:pPr>
        <w:tabs>
          <w:tab w:val="num" w:pos="3528"/>
        </w:tabs>
        <w:ind w:left="3528" w:hanging="360"/>
      </w:pPr>
      <w:rPr>
        <w:rFonts w:ascii="Symbol" w:hAnsi="Symbol" w:hint="default"/>
      </w:rPr>
    </w:lvl>
    <w:lvl w:ilvl="5" w:tplc="9DE49CBC" w:tentative="1">
      <w:start w:val="1"/>
      <w:numFmt w:val="bullet"/>
      <w:lvlText w:val=""/>
      <w:lvlJc w:val="left"/>
      <w:pPr>
        <w:tabs>
          <w:tab w:val="num" w:pos="4248"/>
        </w:tabs>
        <w:ind w:left="4248" w:hanging="360"/>
      </w:pPr>
      <w:rPr>
        <w:rFonts w:ascii="Symbol" w:hAnsi="Symbol" w:hint="default"/>
      </w:rPr>
    </w:lvl>
    <w:lvl w:ilvl="6" w:tplc="49D0420E" w:tentative="1">
      <w:start w:val="1"/>
      <w:numFmt w:val="bullet"/>
      <w:lvlText w:val=""/>
      <w:lvlJc w:val="left"/>
      <w:pPr>
        <w:tabs>
          <w:tab w:val="num" w:pos="4968"/>
        </w:tabs>
        <w:ind w:left="4968" w:hanging="360"/>
      </w:pPr>
      <w:rPr>
        <w:rFonts w:ascii="Symbol" w:hAnsi="Symbol" w:hint="default"/>
      </w:rPr>
    </w:lvl>
    <w:lvl w:ilvl="7" w:tplc="A82045DE" w:tentative="1">
      <w:start w:val="1"/>
      <w:numFmt w:val="bullet"/>
      <w:lvlText w:val=""/>
      <w:lvlJc w:val="left"/>
      <w:pPr>
        <w:tabs>
          <w:tab w:val="num" w:pos="5688"/>
        </w:tabs>
        <w:ind w:left="5688" w:hanging="360"/>
      </w:pPr>
      <w:rPr>
        <w:rFonts w:ascii="Symbol" w:hAnsi="Symbol" w:hint="default"/>
      </w:rPr>
    </w:lvl>
    <w:lvl w:ilvl="8" w:tplc="B8FE9BA8" w:tentative="1">
      <w:start w:val="1"/>
      <w:numFmt w:val="bullet"/>
      <w:lvlText w:val=""/>
      <w:lvlJc w:val="left"/>
      <w:pPr>
        <w:tabs>
          <w:tab w:val="num" w:pos="6408"/>
        </w:tabs>
        <w:ind w:left="6408" w:hanging="360"/>
      </w:pPr>
      <w:rPr>
        <w:rFonts w:ascii="Symbol" w:hAnsi="Symbol" w:hint="default"/>
      </w:rPr>
    </w:lvl>
  </w:abstractNum>
  <w:abstractNum w:abstractNumId="26" w15:restartNumberingAfterBreak="0">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8" w15:restartNumberingAfterBreak="0">
    <w:nsid w:val="751B6A10"/>
    <w:multiLevelType w:val="hybridMultilevel"/>
    <w:tmpl w:val="8950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3"/>
    <w:lvlOverride w:ilvl="0">
      <w:startOverride w:val="1"/>
    </w:lvlOverride>
  </w:num>
  <w:num w:numId="4">
    <w:abstractNumId w:val="16"/>
  </w:num>
  <w:num w:numId="5">
    <w:abstractNumId w:val="11"/>
  </w:num>
  <w:num w:numId="6">
    <w:abstractNumId w:val="23"/>
  </w:num>
  <w:num w:numId="7">
    <w:abstractNumId w:val="29"/>
  </w:num>
  <w:num w:numId="8">
    <w:abstractNumId w:val="1"/>
  </w:num>
  <w:num w:numId="9">
    <w:abstractNumId w:val="20"/>
  </w:num>
  <w:num w:numId="10">
    <w:abstractNumId w:val="27"/>
    <w:lvlOverride w:ilvl="0">
      <w:startOverride w:val="1"/>
    </w:lvlOverride>
  </w:num>
  <w:num w:numId="11">
    <w:abstractNumId w:val="24"/>
  </w:num>
  <w:num w:numId="12">
    <w:abstractNumId w:val="21"/>
  </w:num>
  <w:num w:numId="13">
    <w:abstractNumId w:val="17"/>
  </w:num>
  <w:num w:numId="14">
    <w:abstractNumId w:val="7"/>
  </w:num>
  <w:num w:numId="15">
    <w:abstractNumId w:val="19"/>
  </w:num>
  <w:num w:numId="16">
    <w:abstractNumId w:val="12"/>
  </w:num>
  <w:num w:numId="17">
    <w:abstractNumId w:val="25"/>
  </w:num>
  <w:num w:numId="18">
    <w:abstractNumId w:val="18"/>
  </w:num>
  <w:num w:numId="19">
    <w:abstractNumId w:val="3"/>
  </w:num>
  <w:num w:numId="20">
    <w:abstractNumId w:val="28"/>
  </w:num>
  <w:num w:numId="21">
    <w:abstractNumId w:val="26"/>
  </w:num>
  <w:num w:numId="22">
    <w:abstractNumId w:val="22"/>
  </w:num>
  <w:num w:numId="23">
    <w:abstractNumId w:val="4"/>
  </w:num>
  <w:num w:numId="24">
    <w:abstractNumId w:val="8"/>
  </w:num>
  <w:num w:numId="25">
    <w:abstractNumId w:val="10"/>
  </w:num>
  <w:num w:numId="26">
    <w:abstractNumId w:val="2"/>
  </w:num>
  <w:num w:numId="27">
    <w:abstractNumId w:val="15"/>
  </w:num>
  <w:num w:numId="28">
    <w:abstractNumId w:val="6"/>
  </w:num>
  <w:num w:numId="2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32B"/>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04"/>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47C0E"/>
    <w:rsid w:val="00050335"/>
    <w:rsid w:val="0005055B"/>
    <w:rsid w:val="000505E0"/>
    <w:rsid w:val="00051135"/>
    <w:rsid w:val="000515F7"/>
    <w:rsid w:val="000517A2"/>
    <w:rsid w:val="00051D51"/>
    <w:rsid w:val="0005201C"/>
    <w:rsid w:val="0005241E"/>
    <w:rsid w:val="00052422"/>
    <w:rsid w:val="0005282B"/>
    <w:rsid w:val="0005291A"/>
    <w:rsid w:val="00052AE3"/>
    <w:rsid w:val="000531A8"/>
    <w:rsid w:val="000532C1"/>
    <w:rsid w:val="00053849"/>
    <w:rsid w:val="00053A47"/>
    <w:rsid w:val="00053C18"/>
    <w:rsid w:val="0005456E"/>
    <w:rsid w:val="00054A8B"/>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B26"/>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078D"/>
    <w:rsid w:val="0009188C"/>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05B"/>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5B7"/>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9A5"/>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86E"/>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1F92"/>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FA"/>
    <w:rsid w:val="001141CF"/>
    <w:rsid w:val="00114379"/>
    <w:rsid w:val="001146A3"/>
    <w:rsid w:val="001146C6"/>
    <w:rsid w:val="001147B8"/>
    <w:rsid w:val="00114949"/>
    <w:rsid w:val="00114A7C"/>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32"/>
    <w:rsid w:val="00152066"/>
    <w:rsid w:val="00152559"/>
    <w:rsid w:val="00152A3B"/>
    <w:rsid w:val="0015347E"/>
    <w:rsid w:val="00153A48"/>
    <w:rsid w:val="00153A6B"/>
    <w:rsid w:val="00153E69"/>
    <w:rsid w:val="00153EEF"/>
    <w:rsid w:val="00153F29"/>
    <w:rsid w:val="001540EC"/>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61"/>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CC5"/>
    <w:rsid w:val="001A2D98"/>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39D"/>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A26"/>
    <w:rsid w:val="001C7F47"/>
    <w:rsid w:val="001D006C"/>
    <w:rsid w:val="001D056C"/>
    <w:rsid w:val="001D0578"/>
    <w:rsid w:val="001D0593"/>
    <w:rsid w:val="001D1258"/>
    <w:rsid w:val="001D125F"/>
    <w:rsid w:val="001D19F8"/>
    <w:rsid w:val="001D1CFF"/>
    <w:rsid w:val="001D2B3C"/>
    <w:rsid w:val="001D2E6C"/>
    <w:rsid w:val="001D327D"/>
    <w:rsid w:val="001D35DC"/>
    <w:rsid w:val="001D43C0"/>
    <w:rsid w:val="001D448E"/>
    <w:rsid w:val="001D4969"/>
    <w:rsid w:val="001D4A3F"/>
    <w:rsid w:val="001D4AF0"/>
    <w:rsid w:val="001D4F24"/>
    <w:rsid w:val="001D506F"/>
    <w:rsid w:val="001D57BC"/>
    <w:rsid w:val="001D69ED"/>
    <w:rsid w:val="001D6A14"/>
    <w:rsid w:val="001D6C31"/>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787"/>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395"/>
    <w:rsid w:val="0020087C"/>
    <w:rsid w:val="00200A92"/>
    <w:rsid w:val="00200BF9"/>
    <w:rsid w:val="0020142D"/>
    <w:rsid w:val="00201488"/>
    <w:rsid w:val="002016C0"/>
    <w:rsid w:val="00201A5F"/>
    <w:rsid w:val="00201DEC"/>
    <w:rsid w:val="002024E6"/>
    <w:rsid w:val="002026C9"/>
    <w:rsid w:val="002029AB"/>
    <w:rsid w:val="00202AD2"/>
    <w:rsid w:val="00202D2E"/>
    <w:rsid w:val="00203159"/>
    <w:rsid w:val="00203A6E"/>
    <w:rsid w:val="00203F00"/>
    <w:rsid w:val="00203F29"/>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B25"/>
    <w:rsid w:val="00241C7B"/>
    <w:rsid w:val="00241D6D"/>
    <w:rsid w:val="0024208E"/>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9E"/>
    <w:rsid w:val="00271EEF"/>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1B0"/>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796"/>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CF"/>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C5E"/>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60"/>
    <w:rsid w:val="00341087"/>
    <w:rsid w:val="00341706"/>
    <w:rsid w:val="0034246D"/>
    <w:rsid w:val="0034305B"/>
    <w:rsid w:val="00343C24"/>
    <w:rsid w:val="00343FA6"/>
    <w:rsid w:val="0034444B"/>
    <w:rsid w:val="00344725"/>
    <w:rsid w:val="00344901"/>
    <w:rsid w:val="00344BC0"/>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366"/>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ACB"/>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2D"/>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95F"/>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DA6"/>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874"/>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75"/>
    <w:rsid w:val="0041249C"/>
    <w:rsid w:val="00412697"/>
    <w:rsid w:val="004131C0"/>
    <w:rsid w:val="00413369"/>
    <w:rsid w:val="004145AE"/>
    <w:rsid w:val="004147F4"/>
    <w:rsid w:val="00414C3F"/>
    <w:rsid w:val="0041539C"/>
    <w:rsid w:val="0041577E"/>
    <w:rsid w:val="004157F6"/>
    <w:rsid w:val="0041591A"/>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CDC"/>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484"/>
    <w:rsid w:val="004425C2"/>
    <w:rsid w:val="004426FE"/>
    <w:rsid w:val="00442824"/>
    <w:rsid w:val="00442FFB"/>
    <w:rsid w:val="004430FD"/>
    <w:rsid w:val="00443586"/>
    <w:rsid w:val="004435E2"/>
    <w:rsid w:val="004437AC"/>
    <w:rsid w:val="004439AB"/>
    <w:rsid w:val="00443A73"/>
    <w:rsid w:val="004442A7"/>
    <w:rsid w:val="00444901"/>
    <w:rsid w:val="00444934"/>
    <w:rsid w:val="00444F5E"/>
    <w:rsid w:val="00445513"/>
    <w:rsid w:val="00445625"/>
    <w:rsid w:val="00445907"/>
    <w:rsid w:val="00445910"/>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2B"/>
    <w:rsid w:val="004605CC"/>
    <w:rsid w:val="0046072D"/>
    <w:rsid w:val="00460921"/>
    <w:rsid w:val="00460925"/>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0CA"/>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548"/>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379"/>
    <w:rsid w:val="0049653E"/>
    <w:rsid w:val="00496BEF"/>
    <w:rsid w:val="00496E38"/>
    <w:rsid w:val="00497C03"/>
    <w:rsid w:val="004A01E1"/>
    <w:rsid w:val="004A0E00"/>
    <w:rsid w:val="004A0FE5"/>
    <w:rsid w:val="004A15F7"/>
    <w:rsid w:val="004A1600"/>
    <w:rsid w:val="004A178E"/>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7E"/>
    <w:rsid w:val="004A3CB9"/>
    <w:rsid w:val="004A3DB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151"/>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B7"/>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499"/>
    <w:rsid w:val="004D4968"/>
    <w:rsid w:val="004D4A8A"/>
    <w:rsid w:val="004D4ABF"/>
    <w:rsid w:val="004D50CC"/>
    <w:rsid w:val="004D58D1"/>
    <w:rsid w:val="004D5F02"/>
    <w:rsid w:val="004D602D"/>
    <w:rsid w:val="004D6233"/>
    <w:rsid w:val="004D65BA"/>
    <w:rsid w:val="004D68C0"/>
    <w:rsid w:val="004D6F21"/>
    <w:rsid w:val="004D70E1"/>
    <w:rsid w:val="004D710C"/>
    <w:rsid w:val="004D799A"/>
    <w:rsid w:val="004E0033"/>
    <w:rsid w:val="004E00F1"/>
    <w:rsid w:val="004E03BE"/>
    <w:rsid w:val="004E071E"/>
    <w:rsid w:val="004E0CD0"/>
    <w:rsid w:val="004E1260"/>
    <w:rsid w:val="004E15AD"/>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24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0983"/>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C1E"/>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29A"/>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19E"/>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217"/>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2A4"/>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706"/>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DFC"/>
    <w:rsid w:val="006062BB"/>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3B2C"/>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DC4"/>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D15"/>
    <w:rsid w:val="00680F30"/>
    <w:rsid w:val="00680F81"/>
    <w:rsid w:val="0068102D"/>
    <w:rsid w:val="006820C0"/>
    <w:rsid w:val="0068226B"/>
    <w:rsid w:val="00682A8B"/>
    <w:rsid w:val="00682E47"/>
    <w:rsid w:val="00682ED3"/>
    <w:rsid w:val="00683D7F"/>
    <w:rsid w:val="00684258"/>
    <w:rsid w:val="006842D3"/>
    <w:rsid w:val="006845C9"/>
    <w:rsid w:val="00684CE2"/>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55"/>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0EB"/>
    <w:rsid w:val="006B5111"/>
    <w:rsid w:val="006B583D"/>
    <w:rsid w:val="006B6346"/>
    <w:rsid w:val="006B6AD0"/>
    <w:rsid w:val="006B6BA3"/>
    <w:rsid w:val="006B6C83"/>
    <w:rsid w:val="006B6C95"/>
    <w:rsid w:val="006B725C"/>
    <w:rsid w:val="006B7864"/>
    <w:rsid w:val="006B797F"/>
    <w:rsid w:val="006B7DE3"/>
    <w:rsid w:val="006B7F6C"/>
    <w:rsid w:val="006C03B2"/>
    <w:rsid w:val="006C09DD"/>
    <w:rsid w:val="006C1142"/>
    <w:rsid w:val="006C1185"/>
    <w:rsid w:val="006C1748"/>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2ABB"/>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3D5"/>
    <w:rsid w:val="006F6689"/>
    <w:rsid w:val="006F6740"/>
    <w:rsid w:val="006F6A1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016"/>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0E0"/>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3A0"/>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4F0"/>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031"/>
    <w:rsid w:val="0077536C"/>
    <w:rsid w:val="00775BAA"/>
    <w:rsid w:val="00775EFD"/>
    <w:rsid w:val="00775F11"/>
    <w:rsid w:val="00776564"/>
    <w:rsid w:val="00776679"/>
    <w:rsid w:val="007768F2"/>
    <w:rsid w:val="007769C8"/>
    <w:rsid w:val="00776C10"/>
    <w:rsid w:val="00776E9E"/>
    <w:rsid w:val="00776F98"/>
    <w:rsid w:val="00777053"/>
    <w:rsid w:val="007775DE"/>
    <w:rsid w:val="00777B46"/>
    <w:rsid w:val="00777DB9"/>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7C9"/>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42D"/>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6F3E"/>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21"/>
    <w:rsid w:val="007E0162"/>
    <w:rsid w:val="007E05CC"/>
    <w:rsid w:val="007E0986"/>
    <w:rsid w:val="007E0C8C"/>
    <w:rsid w:val="007E11D0"/>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5F7"/>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01"/>
    <w:rsid w:val="00813CE0"/>
    <w:rsid w:val="00814056"/>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95B"/>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6DAC"/>
    <w:rsid w:val="00827015"/>
    <w:rsid w:val="00827109"/>
    <w:rsid w:val="008272E9"/>
    <w:rsid w:val="0082734F"/>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082"/>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A88"/>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A59"/>
    <w:rsid w:val="00880D84"/>
    <w:rsid w:val="00880E95"/>
    <w:rsid w:val="008810DF"/>
    <w:rsid w:val="008810FA"/>
    <w:rsid w:val="00881842"/>
    <w:rsid w:val="00881F28"/>
    <w:rsid w:val="008829DC"/>
    <w:rsid w:val="00882BB1"/>
    <w:rsid w:val="00883004"/>
    <w:rsid w:val="0088312D"/>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D06"/>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4A3"/>
    <w:rsid w:val="008D29E7"/>
    <w:rsid w:val="008D3208"/>
    <w:rsid w:val="008D349D"/>
    <w:rsid w:val="008D3D3B"/>
    <w:rsid w:val="008D4318"/>
    <w:rsid w:val="008D453F"/>
    <w:rsid w:val="008D4F84"/>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5E30"/>
    <w:rsid w:val="008F60F1"/>
    <w:rsid w:val="008F6188"/>
    <w:rsid w:val="008F6649"/>
    <w:rsid w:val="008F692B"/>
    <w:rsid w:val="008F6CD1"/>
    <w:rsid w:val="008F6FBB"/>
    <w:rsid w:val="008F7365"/>
    <w:rsid w:val="008F7522"/>
    <w:rsid w:val="008F7A33"/>
    <w:rsid w:val="008F7BD6"/>
    <w:rsid w:val="008F7CEF"/>
    <w:rsid w:val="009000FD"/>
    <w:rsid w:val="009002D8"/>
    <w:rsid w:val="00900B17"/>
    <w:rsid w:val="00900B60"/>
    <w:rsid w:val="00900DDE"/>
    <w:rsid w:val="00900DF1"/>
    <w:rsid w:val="00900E2E"/>
    <w:rsid w:val="009011F3"/>
    <w:rsid w:val="009012ED"/>
    <w:rsid w:val="009017E2"/>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4AF"/>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322"/>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964"/>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4D0"/>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3B"/>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82"/>
    <w:rsid w:val="0096392B"/>
    <w:rsid w:val="0096397B"/>
    <w:rsid w:val="00964A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BD3"/>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470"/>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D0"/>
    <w:rsid w:val="00987E33"/>
    <w:rsid w:val="0099005F"/>
    <w:rsid w:val="00990E93"/>
    <w:rsid w:val="009914F6"/>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944"/>
    <w:rsid w:val="009B4C1C"/>
    <w:rsid w:val="009B4C24"/>
    <w:rsid w:val="009B5608"/>
    <w:rsid w:val="009B566D"/>
    <w:rsid w:val="009B5821"/>
    <w:rsid w:val="009B6D6E"/>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796"/>
    <w:rsid w:val="009E2BE6"/>
    <w:rsid w:val="009E2DD3"/>
    <w:rsid w:val="009E2EAE"/>
    <w:rsid w:val="009E2F97"/>
    <w:rsid w:val="009E3644"/>
    <w:rsid w:val="009E3790"/>
    <w:rsid w:val="009E3C31"/>
    <w:rsid w:val="009E40BE"/>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731"/>
    <w:rsid w:val="00A01EFE"/>
    <w:rsid w:val="00A02B26"/>
    <w:rsid w:val="00A02BEC"/>
    <w:rsid w:val="00A02C96"/>
    <w:rsid w:val="00A02D52"/>
    <w:rsid w:val="00A02FBC"/>
    <w:rsid w:val="00A03643"/>
    <w:rsid w:val="00A03A1D"/>
    <w:rsid w:val="00A043B9"/>
    <w:rsid w:val="00A04541"/>
    <w:rsid w:val="00A04A92"/>
    <w:rsid w:val="00A04ADC"/>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058"/>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5B"/>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6A2"/>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9B8"/>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7FB"/>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07C"/>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C78"/>
    <w:rsid w:val="00A7141F"/>
    <w:rsid w:val="00A71D6B"/>
    <w:rsid w:val="00A71F00"/>
    <w:rsid w:val="00A723CA"/>
    <w:rsid w:val="00A726A3"/>
    <w:rsid w:val="00A726DE"/>
    <w:rsid w:val="00A73242"/>
    <w:rsid w:val="00A73873"/>
    <w:rsid w:val="00A739AB"/>
    <w:rsid w:val="00A73C34"/>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ED9"/>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36C"/>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518"/>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1CA2"/>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099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6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142"/>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20F"/>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68"/>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DFD"/>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488"/>
    <w:rsid w:val="00B545BA"/>
    <w:rsid w:val="00B54870"/>
    <w:rsid w:val="00B54989"/>
    <w:rsid w:val="00B54CC5"/>
    <w:rsid w:val="00B55292"/>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534"/>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02"/>
    <w:rsid w:val="00B6796C"/>
    <w:rsid w:val="00B67B2B"/>
    <w:rsid w:val="00B7021B"/>
    <w:rsid w:val="00B70333"/>
    <w:rsid w:val="00B70A03"/>
    <w:rsid w:val="00B70A49"/>
    <w:rsid w:val="00B70EDB"/>
    <w:rsid w:val="00B70F17"/>
    <w:rsid w:val="00B71A5D"/>
    <w:rsid w:val="00B71DDC"/>
    <w:rsid w:val="00B7273B"/>
    <w:rsid w:val="00B727B8"/>
    <w:rsid w:val="00B73453"/>
    <w:rsid w:val="00B737C7"/>
    <w:rsid w:val="00B73B51"/>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4C00"/>
    <w:rsid w:val="00B855A8"/>
    <w:rsid w:val="00B85837"/>
    <w:rsid w:val="00B8583A"/>
    <w:rsid w:val="00B85F67"/>
    <w:rsid w:val="00B86557"/>
    <w:rsid w:val="00B87BF8"/>
    <w:rsid w:val="00B87C60"/>
    <w:rsid w:val="00B90165"/>
    <w:rsid w:val="00B90DF2"/>
    <w:rsid w:val="00B91356"/>
    <w:rsid w:val="00B91607"/>
    <w:rsid w:val="00B91E9D"/>
    <w:rsid w:val="00B922C4"/>
    <w:rsid w:val="00B9255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535"/>
    <w:rsid w:val="00BC38B8"/>
    <w:rsid w:val="00BC3CF8"/>
    <w:rsid w:val="00BC43F0"/>
    <w:rsid w:val="00BC4B9C"/>
    <w:rsid w:val="00BC5181"/>
    <w:rsid w:val="00BC56C1"/>
    <w:rsid w:val="00BC5CE2"/>
    <w:rsid w:val="00BC5E6A"/>
    <w:rsid w:val="00BC642E"/>
    <w:rsid w:val="00BC6742"/>
    <w:rsid w:val="00BC71C5"/>
    <w:rsid w:val="00BC7659"/>
    <w:rsid w:val="00BC791C"/>
    <w:rsid w:val="00BC7A42"/>
    <w:rsid w:val="00BC7E6E"/>
    <w:rsid w:val="00BD013E"/>
    <w:rsid w:val="00BD0383"/>
    <w:rsid w:val="00BD082C"/>
    <w:rsid w:val="00BD0FC4"/>
    <w:rsid w:val="00BD139C"/>
    <w:rsid w:val="00BD13ED"/>
    <w:rsid w:val="00BD140B"/>
    <w:rsid w:val="00BD1749"/>
    <w:rsid w:val="00BD18AF"/>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74D"/>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516"/>
    <w:rsid w:val="00BF18B9"/>
    <w:rsid w:val="00BF1B70"/>
    <w:rsid w:val="00BF220D"/>
    <w:rsid w:val="00BF2762"/>
    <w:rsid w:val="00BF2817"/>
    <w:rsid w:val="00BF2866"/>
    <w:rsid w:val="00BF2AB2"/>
    <w:rsid w:val="00BF2C65"/>
    <w:rsid w:val="00BF2CFA"/>
    <w:rsid w:val="00BF31CB"/>
    <w:rsid w:val="00BF3727"/>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2F"/>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4F7C"/>
    <w:rsid w:val="00C250CF"/>
    <w:rsid w:val="00C2544D"/>
    <w:rsid w:val="00C264CC"/>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50"/>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73A"/>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772"/>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8CE"/>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BE"/>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CAC"/>
    <w:rsid w:val="00CC0E0F"/>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DA4"/>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17"/>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4F"/>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961"/>
    <w:rsid w:val="00D10E6B"/>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806"/>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053"/>
    <w:rsid w:val="00D421D9"/>
    <w:rsid w:val="00D42223"/>
    <w:rsid w:val="00D422E4"/>
    <w:rsid w:val="00D424E7"/>
    <w:rsid w:val="00D42A6C"/>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16E"/>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0A8"/>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9CF"/>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6894"/>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27B"/>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6C1"/>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977"/>
    <w:rsid w:val="00E06AF4"/>
    <w:rsid w:val="00E0722D"/>
    <w:rsid w:val="00E07271"/>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2FDF"/>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7F7"/>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45"/>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1DD"/>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876"/>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326"/>
    <w:rsid w:val="00F12B3D"/>
    <w:rsid w:val="00F1323A"/>
    <w:rsid w:val="00F13242"/>
    <w:rsid w:val="00F13555"/>
    <w:rsid w:val="00F1403E"/>
    <w:rsid w:val="00F140FE"/>
    <w:rsid w:val="00F1415B"/>
    <w:rsid w:val="00F14372"/>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B96"/>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403"/>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5F4"/>
    <w:rsid w:val="00F62862"/>
    <w:rsid w:val="00F63005"/>
    <w:rsid w:val="00F63289"/>
    <w:rsid w:val="00F639FA"/>
    <w:rsid w:val="00F63A49"/>
    <w:rsid w:val="00F63CD2"/>
    <w:rsid w:val="00F63F71"/>
    <w:rsid w:val="00F6433C"/>
    <w:rsid w:val="00F648A2"/>
    <w:rsid w:val="00F64928"/>
    <w:rsid w:val="00F64966"/>
    <w:rsid w:val="00F64B18"/>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AC"/>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944"/>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706"/>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F7591381-6DE8-4004-AAC5-CE8959A4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qFormat/>
    <w:locked/>
    <w:rsid w:val="00DD5140"/>
    <w:rPr>
      <w:rFonts w:ascii="Arial" w:hAnsi="Arial"/>
      <w:b/>
      <w:sz w:val="18"/>
      <w:lang w:eastAsia="en-US"/>
    </w:rPr>
  </w:style>
  <w:style w:type="paragraph" w:customStyle="1" w:styleId="a">
    <w:name w:val="佐藤２"/>
    <w:basedOn w:val="Normal"/>
    <w:rsid w:val="00CA4512"/>
    <w:pPr>
      <w:numPr>
        <w:numId w:val="5"/>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6"/>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 w:type="paragraph" w:customStyle="1" w:styleId="RAN1text">
    <w:name w:val="RAN1 text"/>
    <w:basedOn w:val="BodyText"/>
    <w:link w:val="RAN1textChar"/>
    <w:qFormat/>
    <w:rsid w:val="00A527FB"/>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A527FB"/>
    <w:rPr>
      <w:rFonts w:ascii="Times New Roman" w:eastAsia="MS Mincho" w:hAnsi="Times New Roman"/>
      <w:szCs w:val="24"/>
      <w:lang w:val="x-none" w:eastAsia="x-none"/>
    </w:rPr>
  </w:style>
  <w:style w:type="paragraph" w:customStyle="1" w:styleId="RAN1tdoc">
    <w:name w:val="RAN1 tdoc"/>
    <w:basedOn w:val="Normal"/>
    <w:link w:val="RAN1tdocChar"/>
    <w:qFormat/>
    <w:rsid w:val="00A527FB"/>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527FB"/>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A527F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A527FB"/>
    <w:pPr>
      <w:numPr>
        <w:ilvl w:val="1"/>
        <w:numId w:val="8"/>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A527FB"/>
    <w:rPr>
      <w:rFonts w:ascii="Times" w:eastAsia="Batang" w:hAnsi="Times"/>
      <w:szCs w:val="24"/>
      <w:lang w:val="en-GB" w:eastAsia="x-none"/>
    </w:rPr>
  </w:style>
  <w:style w:type="paragraph" w:customStyle="1" w:styleId="RAN1bullet3">
    <w:name w:val="RAN1 bullet3"/>
    <w:basedOn w:val="RAN1bullet2"/>
    <w:link w:val="RAN1bullet3Char"/>
    <w:qFormat/>
    <w:rsid w:val="00A527FB"/>
    <w:pPr>
      <w:numPr>
        <w:ilvl w:val="2"/>
        <w:numId w:val="7"/>
      </w:numPr>
    </w:pPr>
  </w:style>
  <w:style w:type="character" w:customStyle="1" w:styleId="RAN1bullet2Char">
    <w:name w:val="RAN1 bullet2 Char"/>
    <w:link w:val="RAN1bullet2"/>
    <w:rsid w:val="00A527FB"/>
    <w:rPr>
      <w:rFonts w:ascii="Times" w:eastAsia="Batang" w:hAnsi="Times"/>
      <w:lang w:eastAsia="en-US"/>
    </w:rPr>
  </w:style>
  <w:style w:type="character" w:customStyle="1" w:styleId="RAN1bullet3Char">
    <w:name w:val="RAN1 bullet3 Char"/>
    <w:link w:val="RAN1bullet3"/>
    <w:rsid w:val="00A527FB"/>
    <w:rPr>
      <w:rFonts w:ascii="Times" w:eastAsia="Batang" w:hAnsi="Times"/>
      <w:lang w:eastAsia="en-US"/>
    </w:rPr>
  </w:style>
  <w:style w:type="paragraph" w:customStyle="1" w:styleId="Style1">
    <w:name w:val="_Style 1"/>
    <w:basedOn w:val="Normal"/>
    <w:uiPriority w:val="34"/>
    <w:qFormat/>
    <w:rsid w:val="00A449B8"/>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paragraph" w:customStyle="1" w:styleId="3">
    <w:name w:val="列出段落3"/>
    <w:basedOn w:val="Normal"/>
    <w:uiPriority w:val="99"/>
    <w:qFormat/>
    <w:rsid w:val="00A449B8"/>
    <w:pPr>
      <w:overflowPunct/>
      <w:autoSpaceDE/>
      <w:autoSpaceDN/>
      <w:adjustRightInd/>
      <w:spacing w:after="200" w:line="276" w:lineRule="auto"/>
      <w:ind w:firstLineChars="200" w:firstLine="420"/>
      <w:textAlignment w:val="auto"/>
    </w:pPr>
    <w:rPr>
      <w:rFonts w:ascii="Calibri" w:eastAsiaTheme="minorEastAsia" w:hAnsi="Calibri"/>
      <w:sz w:val="22"/>
      <w:szCs w:val="22"/>
      <w:lang w:eastAsia="zh-CN"/>
    </w:rPr>
  </w:style>
  <w:style w:type="character" w:customStyle="1" w:styleId="B1Char1">
    <w:name w:val="B1 Char1"/>
    <w:link w:val="B1"/>
    <w:rsid w:val="009914F6"/>
    <w:rPr>
      <w:rFonts w:ascii="Times New Roman" w:hAnsi="Times New Roman"/>
      <w:lang w:eastAsia="en-US"/>
    </w:rPr>
  </w:style>
  <w:style w:type="character" w:customStyle="1" w:styleId="B10">
    <w:name w:val="B1 (文字)"/>
    <w:qFormat/>
    <w:locked/>
    <w:rsid w:val="008F5E30"/>
    <w:rPr>
      <w:rFonts w:ascii="Times New Roman" w:hAnsi="Times New Roman"/>
      <w:lang w:val="en-GB" w:eastAsia="en-US"/>
    </w:rPr>
  </w:style>
  <w:style w:type="character" w:customStyle="1" w:styleId="PLChar">
    <w:name w:val="PL Char"/>
    <w:link w:val="PL"/>
    <w:rsid w:val="00A2265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397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151611">
      <w:bodyDiv w:val="1"/>
      <w:marLeft w:val="0"/>
      <w:marRight w:val="0"/>
      <w:marTop w:val="0"/>
      <w:marBottom w:val="0"/>
      <w:divBdr>
        <w:top w:val="none" w:sz="0" w:space="0" w:color="auto"/>
        <w:left w:val="none" w:sz="0" w:space="0" w:color="auto"/>
        <w:bottom w:val="none" w:sz="0" w:space="0" w:color="auto"/>
        <w:right w:val="none" w:sz="0" w:space="0" w:color="auto"/>
      </w:divBdr>
      <w:divsChild>
        <w:div w:id="1974940266">
          <w:marLeft w:val="274"/>
          <w:marRight w:val="0"/>
          <w:marTop w:val="67"/>
          <w:marBottom w:val="0"/>
          <w:divBdr>
            <w:top w:val="none" w:sz="0" w:space="0" w:color="auto"/>
            <w:left w:val="none" w:sz="0" w:space="0" w:color="auto"/>
            <w:bottom w:val="none" w:sz="0" w:space="0" w:color="auto"/>
            <w:right w:val="none" w:sz="0" w:space="0" w:color="auto"/>
          </w:divBdr>
        </w:div>
        <w:div w:id="864487955">
          <w:marLeft w:val="835"/>
          <w:marRight w:val="0"/>
          <w:marTop w:val="58"/>
          <w:marBottom w:val="0"/>
          <w:divBdr>
            <w:top w:val="none" w:sz="0" w:space="0" w:color="auto"/>
            <w:left w:val="none" w:sz="0" w:space="0" w:color="auto"/>
            <w:bottom w:val="none" w:sz="0" w:space="0" w:color="auto"/>
            <w:right w:val="none" w:sz="0" w:space="0" w:color="auto"/>
          </w:divBdr>
        </w:div>
        <w:div w:id="179242712">
          <w:marLeft w:val="1411"/>
          <w:marRight w:val="0"/>
          <w:marTop w:val="58"/>
          <w:marBottom w:val="0"/>
          <w:divBdr>
            <w:top w:val="none" w:sz="0" w:space="0" w:color="auto"/>
            <w:left w:val="none" w:sz="0" w:space="0" w:color="auto"/>
            <w:bottom w:val="none" w:sz="0" w:space="0" w:color="auto"/>
            <w:right w:val="none" w:sz="0" w:space="0" w:color="auto"/>
          </w:divBdr>
        </w:div>
        <w:div w:id="839275238">
          <w:marLeft w:val="1411"/>
          <w:marRight w:val="0"/>
          <w:marTop w:val="58"/>
          <w:marBottom w:val="0"/>
          <w:divBdr>
            <w:top w:val="none" w:sz="0" w:space="0" w:color="auto"/>
            <w:left w:val="none" w:sz="0" w:space="0" w:color="auto"/>
            <w:bottom w:val="none" w:sz="0" w:space="0" w:color="auto"/>
            <w:right w:val="none" w:sz="0" w:space="0" w:color="auto"/>
          </w:divBdr>
        </w:div>
        <w:div w:id="2129619343">
          <w:marLeft w:val="835"/>
          <w:marRight w:val="0"/>
          <w:marTop w:val="58"/>
          <w:marBottom w:val="0"/>
          <w:divBdr>
            <w:top w:val="none" w:sz="0" w:space="0" w:color="auto"/>
            <w:left w:val="none" w:sz="0" w:space="0" w:color="auto"/>
            <w:bottom w:val="none" w:sz="0" w:space="0" w:color="auto"/>
            <w:right w:val="none" w:sz="0" w:space="0" w:color="auto"/>
          </w:divBdr>
        </w:div>
        <w:div w:id="928611589">
          <w:marLeft w:val="835"/>
          <w:marRight w:val="0"/>
          <w:marTop w:val="58"/>
          <w:marBottom w:val="0"/>
          <w:divBdr>
            <w:top w:val="none" w:sz="0" w:space="0" w:color="auto"/>
            <w:left w:val="none" w:sz="0" w:space="0" w:color="auto"/>
            <w:bottom w:val="none" w:sz="0" w:space="0" w:color="auto"/>
            <w:right w:val="none" w:sz="0" w:space="0" w:color="auto"/>
          </w:divBdr>
        </w:div>
        <w:div w:id="1660570151">
          <w:marLeft w:val="1411"/>
          <w:marRight w:val="0"/>
          <w:marTop w:val="58"/>
          <w:marBottom w:val="0"/>
          <w:divBdr>
            <w:top w:val="none" w:sz="0" w:space="0" w:color="auto"/>
            <w:left w:val="none" w:sz="0" w:space="0" w:color="auto"/>
            <w:bottom w:val="none" w:sz="0" w:space="0" w:color="auto"/>
            <w:right w:val="none" w:sz="0" w:space="0" w:color="auto"/>
          </w:divBdr>
        </w:div>
        <w:div w:id="1105543363">
          <w:marLeft w:val="835"/>
          <w:marRight w:val="0"/>
          <w:marTop w:val="58"/>
          <w:marBottom w:val="0"/>
          <w:divBdr>
            <w:top w:val="none" w:sz="0" w:space="0" w:color="auto"/>
            <w:left w:val="none" w:sz="0" w:space="0" w:color="auto"/>
            <w:bottom w:val="none" w:sz="0" w:space="0" w:color="auto"/>
            <w:right w:val="none" w:sz="0" w:space="0" w:color="auto"/>
          </w:divBdr>
        </w:div>
        <w:div w:id="1364477060">
          <w:marLeft w:val="274"/>
          <w:marRight w:val="0"/>
          <w:marTop w:val="67"/>
          <w:marBottom w:val="0"/>
          <w:divBdr>
            <w:top w:val="none" w:sz="0" w:space="0" w:color="auto"/>
            <w:left w:val="none" w:sz="0" w:space="0" w:color="auto"/>
            <w:bottom w:val="none" w:sz="0" w:space="0" w:color="auto"/>
            <w:right w:val="none" w:sz="0" w:space="0" w:color="auto"/>
          </w:divBdr>
        </w:div>
        <w:div w:id="2032099039">
          <w:marLeft w:val="835"/>
          <w:marRight w:val="0"/>
          <w:marTop w:val="58"/>
          <w:marBottom w:val="0"/>
          <w:divBdr>
            <w:top w:val="none" w:sz="0" w:space="0" w:color="auto"/>
            <w:left w:val="none" w:sz="0" w:space="0" w:color="auto"/>
            <w:bottom w:val="none" w:sz="0" w:space="0" w:color="auto"/>
            <w:right w:val="none" w:sz="0" w:space="0" w:color="auto"/>
          </w:divBdr>
        </w:div>
        <w:div w:id="1464738696">
          <w:marLeft w:val="1411"/>
          <w:marRight w:val="0"/>
          <w:marTop w:val="58"/>
          <w:marBottom w:val="0"/>
          <w:divBdr>
            <w:top w:val="none" w:sz="0" w:space="0" w:color="auto"/>
            <w:left w:val="none" w:sz="0" w:space="0" w:color="auto"/>
            <w:bottom w:val="none" w:sz="0" w:space="0" w:color="auto"/>
            <w:right w:val="none" w:sz="0" w:space="0" w:color="auto"/>
          </w:divBdr>
        </w:div>
        <w:div w:id="1076131103">
          <w:marLeft w:val="835"/>
          <w:marRight w:val="0"/>
          <w:marTop w:val="58"/>
          <w:marBottom w:val="0"/>
          <w:divBdr>
            <w:top w:val="none" w:sz="0" w:space="0" w:color="auto"/>
            <w:left w:val="none" w:sz="0" w:space="0" w:color="auto"/>
            <w:bottom w:val="none" w:sz="0" w:space="0" w:color="auto"/>
            <w:right w:val="none" w:sz="0" w:space="0" w:color="auto"/>
          </w:divBdr>
        </w:div>
        <w:div w:id="1417828538">
          <w:marLeft w:val="835"/>
          <w:marRight w:val="0"/>
          <w:marTop w:val="58"/>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72365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8436509">
      <w:bodyDiv w:val="1"/>
      <w:marLeft w:val="0"/>
      <w:marRight w:val="0"/>
      <w:marTop w:val="0"/>
      <w:marBottom w:val="0"/>
      <w:divBdr>
        <w:top w:val="none" w:sz="0" w:space="0" w:color="auto"/>
        <w:left w:val="none" w:sz="0" w:space="0" w:color="auto"/>
        <w:bottom w:val="none" w:sz="0" w:space="0" w:color="auto"/>
        <w:right w:val="none" w:sz="0" w:space="0" w:color="auto"/>
      </w:divBdr>
      <w:divsChild>
        <w:div w:id="134839506">
          <w:marLeft w:val="1411"/>
          <w:marRight w:val="0"/>
          <w:marTop w:val="96"/>
          <w:marBottom w:val="0"/>
          <w:divBdr>
            <w:top w:val="none" w:sz="0" w:space="0" w:color="auto"/>
            <w:left w:val="none" w:sz="0" w:space="0" w:color="auto"/>
            <w:bottom w:val="none" w:sz="0" w:space="0" w:color="auto"/>
            <w:right w:val="none" w:sz="0" w:space="0" w:color="auto"/>
          </w:divBdr>
        </w:div>
        <w:div w:id="336423073">
          <w:marLeft w:val="1411"/>
          <w:marRight w:val="0"/>
          <w:marTop w:val="96"/>
          <w:marBottom w:val="0"/>
          <w:divBdr>
            <w:top w:val="none" w:sz="0" w:space="0" w:color="auto"/>
            <w:left w:val="none" w:sz="0" w:space="0" w:color="auto"/>
            <w:bottom w:val="none" w:sz="0" w:space="0" w:color="auto"/>
            <w:right w:val="none" w:sz="0" w:space="0" w:color="auto"/>
          </w:divBdr>
        </w:div>
        <w:div w:id="640310440">
          <w:marLeft w:val="1411"/>
          <w:marRight w:val="0"/>
          <w:marTop w:val="96"/>
          <w:marBottom w:val="0"/>
          <w:divBdr>
            <w:top w:val="none" w:sz="0" w:space="0" w:color="auto"/>
            <w:left w:val="none" w:sz="0" w:space="0" w:color="auto"/>
            <w:bottom w:val="none" w:sz="0" w:space="0" w:color="auto"/>
            <w:right w:val="none" w:sz="0" w:space="0" w:color="auto"/>
          </w:divBdr>
        </w:div>
        <w:div w:id="828443082">
          <w:marLeft w:val="1411"/>
          <w:marRight w:val="0"/>
          <w:marTop w:val="96"/>
          <w:marBottom w:val="0"/>
          <w:divBdr>
            <w:top w:val="none" w:sz="0" w:space="0" w:color="auto"/>
            <w:left w:val="none" w:sz="0" w:space="0" w:color="auto"/>
            <w:bottom w:val="none" w:sz="0" w:space="0" w:color="auto"/>
            <w:right w:val="none" w:sz="0" w:space="0" w:color="auto"/>
          </w:divBdr>
        </w:div>
        <w:div w:id="839733779">
          <w:marLeft w:val="835"/>
          <w:marRight w:val="0"/>
          <w:marTop w:val="96"/>
          <w:marBottom w:val="0"/>
          <w:divBdr>
            <w:top w:val="none" w:sz="0" w:space="0" w:color="auto"/>
            <w:left w:val="none" w:sz="0" w:space="0" w:color="auto"/>
            <w:bottom w:val="none" w:sz="0" w:space="0" w:color="auto"/>
            <w:right w:val="none" w:sz="0" w:space="0" w:color="auto"/>
          </w:divBdr>
        </w:div>
        <w:div w:id="1484472840">
          <w:marLeft w:val="835"/>
          <w:marRight w:val="0"/>
          <w:marTop w:val="96"/>
          <w:marBottom w:val="0"/>
          <w:divBdr>
            <w:top w:val="none" w:sz="0" w:space="0" w:color="auto"/>
            <w:left w:val="none" w:sz="0" w:space="0" w:color="auto"/>
            <w:bottom w:val="none" w:sz="0" w:space="0" w:color="auto"/>
            <w:right w:val="none" w:sz="0" w:space="0" w:color="auto"/>
          </w:divBdr>
        </w:div>
        <w:div w:id="1681156237">
          <w:marLeft w:val="1973"/>
          <w:marRight w:val="0"/>
          <w:marTop w:val="96"/>
          <w:marBottom w:val="0"/>
          <w:divBdr>
            <w:top w:val="none" w:sz="0" w:space="0" w:color="auto"/>
            <w:left w:val="none" w:sz="0" w:space="0" w:color="auto"/>
            <w:bottom w:val="none" w:sz="0" w:space="0" w:color="auto"/>
            <w:right w:val="none" w:sz="0" w:space="0" w:color="auto"/>
          </w:divBdr>
        </w:div>
        <w:div w:id="2058160258">
          <w:marLeft w:val="274"/>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44330278">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 w:id="833179337">
          <w:marLeft w:val="403"/>
          <w:marRight w:val="0"/>
          <w:marTop w:val="96"/>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sChild>
    </w:div>
    <w:div w:id="3975543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1479818">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340938557">
          <w:marLeft w:val="1210"/>
          <w:marRight w:val="0"/>
          <w:marTop w:val="6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972951813">
          <w:marLeft w:val="403"/>
          <w:marRight w:val="0"/>
          <w:marTop w:val="86"/>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9104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217270">
      <w:bodyDiv w:val="1"/>
      <w:marLeft w:val="0"/>
      <w:marRight w:val="0"/>
      <w:marTop w:val="0"/>
      <w:marBottom w:val="0"/>
      <w:divBdr>
        <w:top w:val="none" w:sz="0" w:space="0" w:color="auto"/>
        <w:left w:val="none" w:sz="0" w:space="0" w:color="auto"/>
        <w:bottom w:val="none" w:sz="0" w:space="0" w:color="auto"/>
        <w:right w:val="none" w:sz="0" w:space="0" w:color="auto"/>
      </w:divBdr>
      <w:divsChild>
        <w:div w:id="267128360">
          <w:marLeft w:val="274"/>
          <w:marRight w:val="0"/>
          <w:marTop w:val="67"/>
          <w:marBottom w:val="0"/>
          <w:divBdr>
            <w:top w:val="none" w:sz="0" w:space="0" w:color="auto"/>
            <w:left w:val="none" w:sz="0" w:space="0" w:color="auto"/>
            <w:bottom w:val="none" w:sz="0" w:space="0" w:color="auto"/>
            <w:right w:val="none" w:sz="0" w:space="0" w:color="auto"/>
          </w:divBdr>
        </w:div>
        <w:div w:id="314915873">
          <w:marLeft w:val="835"/>
          <w:marRight w:val="0"/>
          <w:marTop w:val="58"/>
          <w:marBottom w:val="0"/>
          <w:divBdr>
            <w:top w:val="none" w:sz="0" w:space="0" w:color="auto"/>
            <w:left w:val="none" w:sz="0" w:space="0" w:color="auto"/>
            <w:bottom w:val="none" w:sz="0" w:space="0" w:color="auto"/>
            <w:right w:val="none" w:sz="0" w:space="0" w:color="auto"/>
          </w:divBdr>
        </w:div>
        <w:div w:id="409425490">
          <w:marLeft w:val="835"/>
          <w:marRight w:val="0"/>
          <w:marTop w:val="58"/>
          <w:marBottom w:val="0"/>
          <w:divBdr>
            <w:top w:val="none" w:sz="0" w:space="0" w:color="auto"/>
            <w:left w:val="none" w:sz="0" w:space="0" w:color="auto"/>
            <w:bottom w:val="none" w:sz="0" w:space="0" w:color="auto"/>
            <w:right w:val="none" w:sz="0" w:space="0" w:color="auto"/>
          </w:divBdr>
        </w:div>
        <w:div w:id="747731204">
          <w:marLeft w:val="835"/>
          <w:marRight w:val="0"/>
          <w:marTop w:val="58"/>
          <w:marBottom w:val="0"/>
          <w:divBdr>
            <w:top w:val="none" w:sz="0" w:space="0" w:color="auto"/>
            <w:left w:val="none" w:sz="0" w:space="0" w:color="auto"/>
            <w:bottom w:val="none" w:sz="0" w:space="0" w:color="auto"/>
            <w:right w:val="none" w:sz="0" w:space="0" w:color="auto"/>
          </w:divBdr>
        </w:div>
        <w:div w:id="752777913">
          <w:marLeft w:val="274"/>
          <w:marRight w:val="0"/>
          <w:marTop w:val="67"/>
          <w:marBottom w:val="0"/>
          <w:divBdr>
            <w:top w:val="none" w:sz="0" w:space="0" w:color="auto"/>
            <w:left w:val="none" w:sz="0" w:space="0" w:color="auto"/>
            <w:bottom w:val="none" w:sz="0" w:space="0" w:color="auto"/>
            <w:right w:val="none" w:sz="0" w:space="0" w:color="auto"/>
          </w:divBdr>
        </w:div>
        <w:div w:id="849487277">
          <w:marLeft w:val="835"/>
          <w:marRight w:val="0"/>
          <w:marTop w:val="58"/>
          <w:marBottom w:val="0"/>
          <w:divBdr>
            <w:top w:val="none" w:sz="0" w:space="0" w:color="auto"/>
            <w:left w:val="none" w:sz="0" w:space="0" w:color="auto"/>
            <w:bottom w:val="none" w:sz="0" w:space="0" w:color="auto"/>
            <w:right w:val="none" w:sz="0" w:space="0" w:color="auto"/>
          </w:divBdr>
        </w:div>
        <w:div w:id="1065185788">
          <w:marLeft w:val="1411"/>
          <w:marRight w:val="0"/>
          <w:marTop w:val="58"/>
          <w:marBottom w:val="0"/>
          <w:divBdr>
            <w:top w:val="none" w:sz="0" w:space="0" w:color="auto"/>
            <w:left w:val="none" w:sz="0" w:space="0" w:color="auto"/>
            <w:bottom w:val="none" w:sz="0" w:space="0" w:color="auto"/>
            <w:right w:val="none" w:sz="0" w:space="0" w:color="auto"/>
          </w:divBdr>
        </w:div>
        <w:div w:id="1152865553">
          <w:marLeft w:val="835"/>
          <w:marRight w:val="0"/>
          <w:marTop w:val="58"/>
          <w:marBottom w:val="0"/>
          <w:divBdr>
            <w:top w:val="none" w:sz="0" w:space="0" w:color="auto"/>
            <w:left w:val="none" w:sz="0" w:space="0" w:color="auto"/>
            <w:bottom w:val="none" w:sz="0" w:space="0" w:color="auto"/>
            <w:right w:val="none" w:sz="0" w:space="0" w:color="auto"/>
          </w:divBdr>
        </w:div>
        <w:div w:id="1264727049">
          <w:marLeft w:val="835"/>
          <w:marRight w:val="0"/>
          <w:marTop w:val="58"/>
          <w:marBottom w:val="0"/>
          <w:divBdr>
            <w:top w:val="none" w:sz="0" w:space="0" w:color="auto"/>
            <w:left w:val="none" w:sz="0" w:space="0" w:color="auto"/>
            <w:bottom w:val="none" w:sz="0" w:space="0" w:color="auto"/>
            <w:right w:val="none" w:sz="0" w:space="0" w:color="auto"/>
          </w:divBdr>
        </w:div>
        <w:div w:id="1404646492">
          <w:marLeft w:val="1411"/>
          <w:marRight w:val="0"/>
          <w:marTop w:val="58"/>
          <w:marBottom w:val="0"/>
          <w:divBdr>
            <w:top w:val="none" w:sz="0" w:space="0" w:color="auto"/>
            <w:left w:val="none" w:sz="0" w:space="0" w:color="auto"/>
            <w:bottom w:val="none" w:sz="0" w:space="0" w:color="auto"/>
            <w:right w:val="none" w:sz="0" w:space="0" w:color="auto"/>
          </w:divBdr>
        </w:div>
        <w:div w:id="1540824787">
          <w:marLeft w:val="1411"/>
          <w:marRight w:val="0"/>
          <w:marTop w:val="58"/>
          <w:marBottom w:val="0"/>
          <w:divBdr>
            <w:top w:val="none" w:sz="0" w:space="0" w:color="auto"/>
            <w:left w:val="none" w:sz="0" w:space="0" w:color="auto"/>
            <w:bottom w:val="none" w:sz="0" w:space="0" w:color="auto"/>
            <w:right w:val="none" w:sz="0" w:space="0" w:color="auto"/>
          </w:divBdr>
        </w:div>
        <w:div w:id="1763527646">
          <w:marLeft w:val="274"/>
          <w:marRight w:val="0"/>
          <w:marTop w:val="67"/>
          <w:marBottom w:val="0"/>
          <w:divBdr>
            <w:top w:val="none" w:sz="0" w:space="0" w:color="auto"/>
            <w:left w:val="none" w:sz="0" w:space="0" w:color="auto"/>
            <w:bottom w:val="none" w:sz="0" w:space="0" w:color="auto"/>
            <w:right w:val="none" w:sz="0" w:space="0" w:color="auto"/>
          </w:divBdr>
        </w:div>
        <w:div w:id="1879900228">
          <w:marLeft w:val="274"/>
          <w:marRight w:val="0"/>
          <w:marTop w:val="67"/>
          <w:marBottom w:val="0"/>
          <w:divBdr>
            <w:top w:val="none" w:sz="0" w:space="0" w:color="auto"/>
            <w:left w:val="none" w:sz="0" w:space="0" w:color="auto"/>
            <w:bottom w:val="none" w:sz="0" w:space="0" w:color="auto"/>
            <w:right w:val="none" w:sz="0" w:space="0" w:color="auto"/>
          </w:divBdr>
        </w:div>
        <w:div w:id="2125883540">
          <w:marLeft w:val="835"/>
          <w:marRight w:val="0"/>
          <w:marTop w:val="58"/>
          <w:marBottom w:val="0"/>
          <w:divBdr>
            <w:top w:val="none" w:sz="0" w:space="0" w:color="auto"/>
            <w:left w:val="none" w:sz="0" w:space="0" w:color="auto"/>
            <w:bottom w:val="none" w:sz="0" w:space="0" w:color="auto"/>
            <w:right w:val="none" w:sz="0" w:space="0" w:color="auto"/>
          </w:divBdr>
        </w:div>
        <w:div w:id="2140099906">
          <w:marLeft w:val="1411"/>
          <w:marRight w:val="0"/>
          <w:marTop w:val="58"/>
          <w:marBottom w:val="0"/>
          <w:divBdr>
            <w:top w:val="none" w:sz="0" w:space="0" w:color="auto"/>
            <w:left w:val="none" w:sz="0" w:space="0" w:color="auto"/>
            <w:bottom w:val="none" w:sz="0" w:space="0" w:color="auto"/>
            <w:right w:val="none" w:sz="0" w:space="0" w:color="auto"/>
          </w:divBdr>
        </w:div>
      </w:divsChild>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433192">
      <w:bodyDiv w:val="1"/>
      <w:marLeft w:val="0"/>
      <w:marRight w:val="0"/>
      <w:marTop w:val="0"/>
      <w:marBottom w:val="0"/>
      <w:divBdr>
        <w:top w:val="none" w:sz="0" w:space="0" w:color="auto"/>
        <w:left w:val="none" w:sz="0" w:space="0" w:color="auto"/>
        <w:bottom w:val="none" w:sz="0" w:space="0" w:color="auto"/>
        <w:right w:val="none" w:sz="0" w:space="0" w:color="auto"/>
      </w:divBdr>
      <w:divsChild>
        <w:div w:id="156531179">
          <w:marLeft w:val="403"/>
          <w:marRight w:val="0"/>
          <w:marTop w:val="96"/>
          <w:marBottom w:val="0"/>
          <w:divBdr>
            <w:top w:val="none" w:sz="0" w:space="0" w:color="auto"/>
            <w:left w:val="none" w:sz="0" w:space="0" w:color="auto"/>
            <w:bottom w:val="none" w:sz="0" w:space="0" w:color="auto"/>
            <w:right w:val="none" w:sz="0" w:space="0" w:color="auto"/>
          </w:divBdr>
        </w:div>
        <w:div w:id="1227573031">
          <w:marLeft w:val="878"/>
          <w:marRight w:val="0"/>
          <w:marTop w:val="58"/>
          <w:marBottom w:val="0"/>
          <w:divBdr>
            <w:top w:val="none" w:sz="0" w:space="0" w:color="auto"/>
            <w:left w:val="none" w:sz="0" w:space="0" w:color="auto"/>
            <w:bottom w:val="none" w:sz="0" w:space="0" w:color="auto"/>
            <w:right w:val="none" w:sz="0" w:space="0" w:color="auto"/>
          </w:divBdr>
        </w:div>
        <w:div w:id="2096704118">
          <w:marLeft w:val="878"/>
          <w:marRight w:val="0"/>
          <w:marTop w:val="58"/>
          <w:marBottom w:val="0"/>
          <w:divBdr>
            <w:top w:val="none" w:sz="0" w:space="0" w:color="auto"/>
            <w:left w:val="none" w:sz="0" w:space="0" w:color="auto"/>
            <w:bottom w:val="none" w:sz="0" w:space="0" w:color="auto"/>
            <w:right w:val="none" w:sz="0" w:space="0" w:color="auto"/>
          </w:divBdr>
        </w:div>
        <w:div w:id="1710911708">
          <w:marLeft w:val="878"/>
          <w:marRight w:val="0"/>
          <w:marTop w:val="58"/>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430681">
      <w:bodyDiv w:val="1"/>
      <w:marLeft w:val="0"/>
      <w:marRight w:val="0"/>
      <w:marTop w:val="0"/>
      <w:marBottom w:val="0"/>
      <w:divBdr>
        <w:top w:val="none" w:sz="0" w:space="0" w:color="auto"/>
        <w:left w:val="none" w:sz="0" w:space="0" w:color="auto"/>
        <w:bottom w:val="none" w:sz="0" w:space="0" w:color="auto"/>
        <w:right w:val="none" w:sz="0" w:space="0" w:color="auto"/>
      </w:divBdr>
      <w:divsChild>
        <w:div w:id="1341353403">
          <w:marLeft w:val="403"/>
          <w:marRight w:val="0"/>
          <w:marTop w:val="86"/>
          <w:marBottom w:val="0"/>
          <w:divBdr>
            <w:top w:val="none" w:sz="0" w:space="0" w:color="auto"/>
            <w:left w:val="none" w:sz="0" w:space="0" w:color="auto"/>
            <w:bottom w:val="none" w:sz="0" w:space="0" w:color="auto"/>
            <w:right w:val="none" w:sz="0" w:space="0" w:color="auto"/>
          </w:divBdr>
        </w:div>
        <w:div w:id="107626104">
          <w:marLeft w:val="1210"/>
          <w:marRight w:val="0"/>
          <w:marTop w:val="86"/>
          <w:marBottom w:val="0"/>
          <w:divBdr>
            <w:top w:val="none" w:sz="0" w:space="0" w:color="auto"/>
            <w:left w:val="none" w:sz="0" w:space="0" w:color="auto"/>
            <w:bottom w:val="none" w:sz="0" w:space="0" w:color="auto"/>
            <w:right w:val="none" w:sz="0" w:space="0" w:color="auto"/>
          </w:divBdr>
        </w:div>
        <w:div w:id="1911302382">
          <w:marLeft w:val="1210"/>
          <w:marRight w:val="0"/>
          <w:marTop w:val="86"/>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0236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892158404">
          <w:marLeft w:val="1210"/>
          <w:marRight w:val="0"/>
          <w:marTop w:val="86"/>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53099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957008">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13208015">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548903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HR33RHYHUWRF-4-6679</_dlc_DocId>
    <_dlc_DocIdUrl xmlns="c06861ca-3f08-4d07-bff7-bb15bac121f4">
      <Url>https://projects.qualcomm.com/sites/pentari/_layouts/15/DocIdRedir.aspx?ID=HR33RHYHUWRF-4-6679</Url>
      <Description>HR33RHYHUWRF-4-6679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FAB07C2B-E558-4068-9459-E9565B7A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2268</TotalTime>
  <Pages>7</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Qualcomm</cp:lastModifiedBy>
  <cp:revision>127</cp:revision>
  <cp:lastPrinted>2017-01-02T07:16:00Z</cp:lastPrinted>
  <dcterms:created xsi:type="dcterms:W3CDTF">2017-11-18T02:50:00Z</dcterms:created>
  <dcterms:modified xsi:type="dcterms:W3CDTF">2018-04-07T00:33:00Z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e968369f-e86d-4590-a6cd-dffca9c65963</vt:lpwstr>
  </property>
</Properties>
</file>