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62A76" w14:textId="19FEDE49" w:rsidR="00177B88" w:rsidRPr="00E106C5" w:rsidRDefault="00177B88" w:rsidP="00177B88">
      <w:pPr>
        <w:tabs>
          <w:tab w:val="center" w:pos="4536"/>
          <w:tab w:val="right" w:pos="9356"/>
          <w:tab w:val="right" w:pos="9639"/>
        </w:tabs>
        <w:spacing w:after="0"/>
        <w:rPr>
          <w:rFonts w:ascii="Arial" w:hAnsi="Arial" w:cs="Arial"/>
          <w:b/>
          <w:bCs/>
          <w:sz w:val="24"/>
        </w:rPr>
      </w:pPr>
      <w:r w:rsidRPr="00E106C5">
        <w:rPr>
          <w:rFonts w:ascii="Arial" w:hAnsi="Arial" w:cs="Arial"/>
          <w:b/>
          <w:bCs/>
          <w:sz w:val="24"/>
        </w:rPr>
        <w:t xml:space="preserve">3GPP TSG RAN WG1 Meeting </w:t>
      </w:r>
      <w:r w:rsidR="00EA004B">
        <w:rPr>
          <w:rFonts w:ascii="Arial" w:hAnsi="Arial" w:cs="Arial"/>
          <w:b/>
          <w:bCs/>
          <w:sz w:val="24"/>
        </w:rPr>
        <w:t>#</w:t>
      </w:r>
      <w:bookmarkStart w:id="0" w:name="_GoBack"/>
      <w:bookmarkEnd w:id="0"/>
      <w:r w:rsidR="004A30C2" w:rsidRPr="00E106C5">
        <w:rPr>
          <w:rFonts w:ascii="Arial" w:hAnsi="Arial" w:cs="Arial"/>
          <w:b/>
          <w:bCs/>
          <w:sz w:val="24"/>
        </w:rPr>
        <w:t>9</w:t>
      </w:r>
      <w:r w:rsidR="004A466E">
        <w:rPr>
          <w:rFonts w:ascii="Arial" w:hAnsi="Arial" w:cs="Arial"/>
          <w:b/>
          <w:bCs/>
          <w:sz w:val="24"/>
        </w:rPr>
        <w:t>2bis</w:t>
      </w:r>
      <w:r w:rsidRPr="00E106C5">
        <w:rPr>
          <w:rFonts w:ascii="Arial" w:eastAsia="MS Mincho" w:hAnsi="Arial" w:cs="Arial"/>
          <w:b/>
          <w:bCs/>
          <w:sz w:val="24"/>
          <w:lang w:eastAsia="ja-JP"/>
        </w:rPr>
        <w:tab/>
      </w:r>
      <w:r w:rsidRPr="00E106C5">
        <w:rPr>
          <w:rFonts w:ascii="Arial" w:hAnsi="Arial" w:cs="Arial"/>
          <w:b/>
          <w:bCs/>
          <w:sz w:val="24"/>
        </w:rPr>
        <w:t xml:space="preserve">           </w:t>
      </w:r>
      <w:r w:rsidR="00E106C5">
        <w:rPr>
          <w:rFonts w:ascii="Arial" w:hAnsi="Arial" w:cs="Arial"/>
          <w:b/>
          <w:bCs/>
          <w:sz w:val="24"/>
        </w:rPr>
        <w:tab/>
      </w:r>
      <w:r w:rsidRPr="00216B2E">
        <w:rPr>
          <w:rFonts w:ascii="Arial" w:hAnsi="Arial" w:cs="Arial"/>
          <w:b/>
          <w:bCs/>
          <w:sz w:val="24"/>
        </w:rPr>
        <w:t>R1-</w:t>
      </w:r>
      <w:r w:rsidR="00990894" w:rsidRPr="00216B2E">
        <w:rPr>
          <w:rFonts w:ascii="Arial" w:hAnsi="Arial" w:cs="Arial"/>
          <w:b/>
          <w:bCs/>
          <w:sz w:val="24"/>
        </w:rPr>
        <w:t>1</w:t>
      </w:r>
      <w:r w:rsidR="00EE1F1A" w:rsidRPr="00216B2E">
        <w:rPr>
          <w:rFonts w:ascii="Arial" w:eastAsia="MS Mincho" w:hAnsi="Arial" w:cs="Arial"/>
          <w:b/>
          <w:bCs/>
          <w:sz w:val="24"/>
          <w:lang w:eastAsia="ja-JP"/>
        </w:rPr>
        <w:t>8</w:t>
      </w:r>
      <w:r w:rsidR="0035536A" w:rsidRPr="0035536A">
        <w:rPr>
          <w:rFonts w:ascii="Arial" w:eastAsia="MS Mincho" w:hAnsi="Arial" w:cs="Arial"/>
          <w:b/>
          <w:bCs/>
          <w:sz w:val="24"/>
          <w:lang w:eastAsia="ja-JP"/>
        </w:rPr>
        <w:t>04624</w:t>
      </w:r>
    </w:p>
    <w:p w14:paraId="56A8114B" w14:textId="3CE6C103" w:rsidR="00CA26CE" w:rsidRDefault="004A466E" w:rsidP="00CA26CE">
      <w:pPr>
        <w:pStyle w:val="Header"/>
        <w:rPr>
          <w:rFonts w:eastAsia="MS Mincho" w:cs="Arial"/>
          <w:bCs/>
          <w:noProof w:val="0"/>
          <w:sz w:val="24"/>
          <w:lang w:val="en-GB" w:eastAsia="ja-JP"/>
        </w:rPr>
      </w:pPr>
      <w:r>
        <w:rPr>
          <w:rFonts w:eastAsia="MS Mincho" w:cs="Arial"/>
          <w:bCs/>
          <w:noProof w:val="0"/>
          <w:sz w:val="24"/>
          <w:lang w:val="en-GB" w:eastAsia="ja-JP"/>
        </w:rPr>
        <w:t>Sanya</w:t>
      </w:r>
      <w:r w:rsidR="005601AC" w:rsidRPr="005601AC">
        <w:rPr>
          <w:rFonts w:eastAsia="MS Mincho" w:cs="Arial"/>
          <w:bCs/>
          <w:noProof w:val="0"/>
          <w:sz w:val="24"/>
          <w:lang w:val="en-GB" w:eastAsia="ja-JP"/>
        </w:rPr>
        <w:t>,</w:t>
      </w:r>
      <w:r>
        <w:rPr>
          <w:rFonts w:eastAsia="MS Mincho" w:cs="Arial"/>
          <w:bCs/>
          <w:noProof w:val="0"/>
          <w:sz w:val="24"/>
          <w:lang w:val="en-GB" w:eastAsia="ja-JP"/>
        </w:rPr>
        <w:t xml:space="preserve"> </w:t>
      </w:r>
      <w:r w:rsidR="00E566C2">
        <w:rPr>
          <w:rFonts w:eastAsia="MS Mincho" w:cs="Arial"/>
          <w:bCs/>
          <w:noProof w:val="0"/>
          <w:sz w:val="24"/>
          <w:lang w:val="en-GB" w:eastAsia="ja-JP"/>
        </w:rPr>
        <w:t xml:space="preserve">P.R. </w:t>
      </w:r>
      <w:r>
        <w:rPr>
          <w:rFonts w:eastAsia="MS Mincho" w:cs="Arial"/>
          <w:bCs/>
          <w:noProof w:val="0"/>
          <w:sz w:val="24"/>
          <w:lang w:val="en-GB" w:eastAsia="ja-JP"/>
        </w:rPr>
        <w:t>China</w:t>
      </w:r>
      <w:r w:rsidR="005601AC" w:rsidRPr="005601AC">
        <w:rPr>
          <w:rFonts w:eastAsia="MS Mincho" w:cs="Arial"/>
          <w:bCs/>
          <w:noProof w:val="0"/>
          <w:sz w:val="24"/>
          <w:lang w:val="en-GB" w:eastAsia="ja-JP"/>
        </w:rPr>
        <w:t xml:space="preserve">, </w:t>
      </w:r>
      <w:r>
        <w:rPr>
          <w:rFonts w:eastAsia="MS Mincho" w:cs="Arial"/>
          <w:bCs/>
          <w:noProof w:val="0"/>
          <w:sz w:val="24"/>
          <w:lang w:val="en-GB" w:eastAsia="ja-JP"/>
        </w:rPr>
        <w:t>April</w:t>
      </w:r>
      <w:r w:rsidR="005601AC" w:rsidRPr="005601AC">
        <w:rPr>
          <w:rFonts w:eastAsia="MS Mincho" w:cs="Arial"/>
          <w:bCs/>
          <w:noProof w:val="0"/>
          <w:sz w:val="24"/>
          <w:lang w:val="en-GB" w:eastAsia="ja-JP"/>
        </w:rPr>
        <w:t xml:space="preserve"> </w:t>
      </w:r>
      <w:r>
        <w:rPr>
          <w:rFonts w:eastAsia="MS Mincho" w:cs="Arial"/>
          <w:bCs/>
          <w:noProof w:val="0"/>
          <w:sz w:val="24"/>
          <w:lang w:val="en-GB" w:eastAsia="ja-JP"/>
        </w:rPr>
        <w:t>16</w:t>
      </w:r>
      <w:r w:rsidR="005601AC" w:rsidRPr="005601AC">
        <w:rPr>
          <w:rFonts w:eastAsia="MS Mincho" w:cs="Arial"/>
          <w:bCs/>
          <w:noProof w:val="0"/>
          <w:sz w:val="24"/>
          <w:lang w:val="en-GB" w:eastAsia="ja-JP"/>
        </w:rPr>
        <w:t xml:space="preserve">th – </w:t>
      </w:r>
      <w:r>
        <w:rPr>
          <w:rFonts w:eastAsia="MS Mincho" w:cs="Arial"/>
          <w:bCs/>
          <w:noProof w:val="0"/>
          <w:sz w:val="24"/>
          <w:lang w:val="en-GB" w:eastAsia="ja-JP"/>
        </w:rPr>
        <w:t>April 20th, 2018</w:t>
      </w:r>
    </w:p>
    <w:p w14:paraId="16D0C5EC" w14:textId="77777777" w:rsidR="005601AC" w:rsidRPr="0016316A" w:rsidRDefault="005601AC" w:rsidP="00CA26CE">
      <w:pPr>
        <w:pStyle w:val="Header"/>
        <w:rPr>
          <w:bCs/>
          <w:noProof w:val="0"/>
          <w:sz w:val="24"/>
          <w:lang w:val="en-GB" w:eastAsia="ja-JP"/>
        </w:rPr>
      </w:pPr>
    </w:p>
    <w:p w14:paraId="08AC4AD5" w14:textId="2FE19DFF"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F1707">
        <w:rPr>
          <w:rFonts w:cs="Arial"/>
          <w:b/>
          <w:bCs/>
          <w:sz w:val="24"/>
        </w:rPr>
        <w:t>7.7.</w:t>
      </w:r>
      <w:r w:rsidR="00FF42A0">
        <w:rPr>
          <w:rFonts w:cs="Arial"/>
          <w:b/>
          <w:bCs/>
          <w:sz w:val="24"/>
        </w:rPr>
        <w:t>3</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0601E1F4"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EE1F1A">
        <w:rPr>
          <w:rFonts w:ascii="Arial" w:hAnsi="Arial" w:cs="Arial"/>
          <w:b/>
          <w:bCs/>
          <w:sz w:val="24"/>
        </w:rPr>
        <w:t>IAB timing</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3CDDAFB7" w14:textId="1F7C509D" w:rsidR="00FF42A0" w:rsidRDefault="004A466E" w:rsidP="00E566C2">
      <w:pPr>
        <w:spacing w:after="120"/>
        <w:jc w:val="both"/>
      </w:pPr>
      <w:r w:rsidRPr="00CE1280">
        <w:t>The Integra</w:t>
      </w:r>
      <w:r w:rsidR="00FF42A0">
        <w:t>ted Access and Backhaul (IAB) is applicable especially on the mmWave and TDD bands. The assumption is that the network is synchronized and therefore also wirelessly connected IAB nodes need to comply with the synchronization requirements defined for the network. This paper discusses the ways how the synchronization can be done and what kind of requirements will be set for the operation.</w:t>
      </w:r>
    </w:p>
    <w:p w14:paraId="10FD11CC" w14:textId="0A0E6622" w:rsidR="00062630" w:rsidRDefault="00062630" w:rsidP="00062630">
      <w:pPr>
        <w:pStyle w:val="Heading1"/>
      </w:pPr>
      <w:r>
        <w:rPr>
          <w:color w:val="000000"/>
        </w:rPr>
        <w:t>2</w:t>
      </w:r>
      <w:r w:rsidRPr="00A51522">
        <w:rPr>
          <w:color w:val="000000"/>
        </w:rPr>
        <w:tab/>
      </w:r>
      <w:r w:rsidR="005E7117">
        <w:t>Discussion</w:t>
      </w:r>
    </w:p>
    <w:p w14:paraId="3B014134" w14:textId="47122A97" w:rsidR="005E7117" w:rsidRDefault="005F5241" w:rsidP="00E566C2">
      <w:pPr>
        <w:spacing w:after="120"/>
        <w:jc w:val="both"/>
      </w:pPr>
      <w:r>
        <w:t>Network synchronization has been studied in the past</w:t>
      </w:r>
      <w:r w:rsidR="00A73C9A">
        <w:t>, and</w:t>
      </w:r>
      <w:r>
        <w:t xml:space="preserve"> there are certain obvious alternatives that can be considered:</w:t>
      </w:r>
    </w:p>
    <w:p w14:paraId="47145BC5" w14:textId="54CC4EED" w:rsidR="005F5241" w:rsidRPr="00CB3C8E" w:rsidRDefault="00CB3C8E" w:rsidP="00E566C2">
      <w:pPr>
        <w:pStyle w:val="ListParagraph"/>
        <w:numPr>
          <w:ilvl w:val="0"/>
          <w:numId w:val="39"/>
        </w:numPr>
        <w:jc w:val="both"/>
      </w:pPr>
      <w:r>
        <w:rPr>
          <w:sz w:val="20"/>
        </w:rPr>
        <w:t>GNSS based timing</w:t>
      </w:r>
    </w:p>
    <w:p w14:paraId="3CFCB6EF" w14:textId="347A7842" w:rsidR="00CB3C8E" w:rsidRPr="00CB3C8E" w:rsidRDefault="00CB3C8E" w:rsidP="00E566C2">
      <w:pPr>
        <w:pStyle w:val="ListParagraph"/>
        <w:numPr>
          <w:ilvl w:val="0"/>
          <w:numId w:val="39"/>
        </w:numPr>
        <w:jc w:val="both"/>
        <w:rPr>
          <w:lang w:val="en-US"/>
        </w:rPr>
      </w:pPr>
      <w:r w:rsidRPr="00CB3C8E">
        <w:rPr>
          <w:sz w:val="20"/>
          <w:lang w:val="en-US"/>
        </w:rPr>
        <w:t>Over-the-air (OTA) measurements between network nodes</w:t>
      </w:r>
    </w:p>
    <w:p w14:paraId="59645BCF" w14:textId="65EECD9F" w:rsidR="00CB3C8E" w:rsidRPr="00CB3C8E" w:rsidRDefault="00CB3C8E" w:rsidP="00E566C2">
      <w:pPr>
        <w:pStyle w:val="ListParagraph"/>
        <w:numPr>
          <w:ilvl w:val="0"/>
          <w:numId w:val="39"/>
        </w:numPr>
        <w:spacing w:after="120"/>
        <w:jc w:val="both"/>
        <w:rPr>
          <w:lang w:val="en-US"/>
        </w:rPr>
      </w:pPr>
      <w:r>
        <w:rPr>
          <w:sz w:val="20"/>
          <w:lang w:val="en-US"/>
        </w:rPr>
        <w:t xml:space="preserve">Utilization of UE reporting and transmission of suitable signals like </w:t>
      </w:r>
      <w:r w:rsidR="00A73C9A">
        <w:rPr>
          <w:sz w:val="20"/>
          <w:lang w:val="en-US"/>
        </w:rPr>
        <w:t>P</w:t>
      </w:r>
      <w:r>
        <w:rPr>
          <w:sz w:val="20"/>
          <w:lang w:val="en-US"/>
        </w:rPr>
        <w:t>RACH</w:t>
      </w:r>
      <w:r w:rsidR="00A73C9A">
        <w:rPr>
          <w:sz w:val="20"/>
          <w:lang w:val="en-US"/>
        </w:rPr>
        <w:t xml:space="preserve"> preambles</w:t>
      </w:r>
    </w:p>
    <w:p w14:paraId="12452E09" w14:textId="74997BE0" w:rsidR="00CB3C8E" w:rsidRDefault="00CB3C8E" w:rsidP="00E566C2">
      <w:pPr>
        <w:spacing w:after="120"/>
        <w:jc w:val="both"/>
        <w:rPr>
          <w:lang w:val="en-US"/>
        </w:rPr>
      </w:pPr>
      <w:r>
        <w:rPr>
          <w:lang w:val="en-US"/>
        </w:rPr>
        <w:t xml:space="preserve">Usage of satellite based systems (GNSS) would require dedicated receivers, possibly separate antennas and feeders to implement </w:t>
      </w:r>
      <w:r w:rsidR="00A73C9A">
        <w:rPr>
          <w:lang w:val="en-US"/>
        </w:rPr>
        <w:t xml:space="preserve">the </w:t>
      </w:r>
      <w:r>
        <w:rPr>
          <w:lang w:val="en-US"/>
        </w:rPr>
        <w:t xml:space="preserve">solution. This would be a cost and deployment issue. Furthermore, the GNSS coverage may not be guaranteed in all cases like indoors or deep street canyons which could result in specific installations and implementation/deployment issues. From standards perspective, GNSS can be considered purely a choice for implementation </w:t>
      </w:r>
      <w:r w:rsidR="00A73C9A">
        <w:rPr>
          <w:lang w:val="en-US"/>
        </w:rPr>
        <w:t>to meet</w:t>
      </w:r>
      <w:r>
        <w:rPr>
          <w:lang w:val="en-US"/>
        </w:rPr>
        <w:t xml:space="preserve"> the performance requirements. Therefore, this option can be excluded in the standardization discussion and is not treated in detail here.</w:t>
      </w:r>
    </w:p>
    <w:p w14:paraId="32370B46" w14:textId="33E6C204" w:rsidR="006C2A59" w:rsidRPr="006D668E" w:rsidRDefault="006C2A59" w:rsidP="00E566C2">
      <w:pPr>
        <w:spacing w:after="120"/>
        <w:jc w:val="both"/>
        <w:rPr>
          <w:b/>
          <w:lang w:val="en-US"/>
        </w:rPr>
      </w:pPr>
      <w:r w:rsidRPr="006D668E">
        <w:rPr>
          <w:b/>
          <w:lang w:val="en-US"/>
        </w:rPr>
        <w:t>Observation 1. Usage of GNSS for IAB synchronization ha</w:t>
      </w:r>
      <w:r w:rsidR="009E4AB3">
        <w:rPr>
          <w:b/>
          <w:lang w:val="en-US"/>
        </w:rPr>
        <w:t>s</w:t>
      </w:r>
      <w:r w:rsidRPr="006D668E">
        <w:rPr>
          <w:b/>
          <w:lang w:val="en-US"/>
        </w:rPr>
        <w:t xml:space="preserve"> implementation impacts and can require specific site installations. </w:t>
      </w:r>
      <w:r w:rsidR="009E4AB3">
        <w:rPr>
          <w:b/>
          <w:lang w:val="en-US"/>
        </w:rPr>
        <w:t>It</w:t>
      </w:r>
      <w:r w:rsidR="009E4AB3" w:rsidRPr="006D668E">
        <w:rPr>
          <w:b/>
          <w:lang w:val="en-US"/>
        </w:rPr>
        <w:t xml:space="preserve"> </w:t>
      </w:r>
      <w:r w:rsidR="003F53EE">
        <w:rPr>
          <w:b/>
          <w:lang w:val="en-US"/>
        </w:rPr>
        <w:t xml:space="preserve">can be considered </w:t>
      </w:r>
      <w:r w:rsidRPr="006D668E">
        <w:rPr>
          <w:b/>
          <w:lang w:val="en-US"/>
        </w:rPr>
        <w:t>an implementation option and would not require specific standards support.</w:t>
      </w:r>
    </w:p>
    <w:p w14:paraId="3941F4A2" w14:textId="7336FA1C" w:rsidR="006C2A59" w:rsidRPr="006D668E" w:rsidRDefault="006C2A59" w:rsidP="00E566C2">
      <w:pPr>
        <w:spacing w:after="240"/>
        <w:jc w:val="both"/>
        <w:rPr>
          <w:b/>
          <w:lang w:val="en-US"/>
        </w:rPr>
      </w:pPr>
      <w:r w:rsidRPr="006D668E">
        <w:rPr>
          <w:b/>
          <w:lang w:val="en-US"/>
        </w:rPr>
        <w:t>Proposal 1. Usage of GNSS based IAB synchronization can be left for implementation</w:t>
      </w:r>
      <w:r w:rsidR="00022DCB">
        <w:rPr>
          <w:b/>
          <w:lang w:val="en-US"/>
        </w:rPr>
        <w:t>.</w:t>
      </w:r>
    </w:p>
    <w:p w14:paraId="5FC01ECB" w14:textId="46F704A1" w:rsidR="006C2A59" w:rsidRDefault="006D668E" w:rsidP="00E566C2">
      <w:pPr>
        <w:spacing w:after="120"/>
        <w:jc w:val="both"/>
        <w:rPr>
          <w:lang w:val="en-US"/>
        </w:rPr>
      </w:pPr>
      <w:r>
        <w:rPr>
          <w:lang w:val="en-US"/>
        </w:rPr>
        <w:t xml:space="preserve">OTA methods rely on the direct link measurements between the network nodes. </w:t>
      </w:r>
      <w:r w:rsidR="00022DCB">
        <w:rPr>
          <w:lang w:val="en-US"/>
        </w:rPr>
        <w:t xml:space="preserve">This requires coordination between the nodes in order to configure the transmissions of known signals and corresponding measurements at the monitoring node to coincide. </w:t>
      </w:r>
      <w:r w:rsidR="009E4AB3">
        <w:rPr>
          <w:lang w:val="en-US"/>
        </w:rPr>
        <w:t>The</w:t>
      </w:r>
      <w:r w:rsidR="00022DCB">
        <w:rPr>
          <w:lang w:val="en-US"/>
        </w:rPr>
        <w:t xml:space="preserve"> existing </w:t>
      </w:r>
      <w:r w:rsidR="009E4AB3">
        <w:rPr>
          <w:lang w:val="en-US"/>
        </w:rPr>
        <w:t>signals can be used</w:t>
      </w:r>
      <w:r w:rsidR="00022DCB">
        <w:rPr>
          <w:lang w:val="en-US"/>
        </w:rPr>
        <w:t xml:space="preserve"> and therefore the study of such options is within the scope of other RAN WGs.</w:t>
      </w:r>
    </w:p>
    <w:p w14:paraId="065D7667" w14:textId="4F4E9957" w:rsidR="00022DCB" w:rsidRPr="00022DCB" w:rsidRDefault="00022DCB" w:rsidP="00E566C2">
      <w:pPr>
        <w:spacing w:after="120"/>
        <w:jc w:val="both"/>
        <w:rPr>
          <w:b/>
          <w:lang w:val="en-US"/>
        </w:rPr>
      </w:pPr>
      <w:r w:rsidRPr="00022DCB">
        <w:rPr>
          <w:b/>
          <w:lang w:val="en-US"/>
        </w:rPr>
        <w:t>Proposal 2. OTA based synchronization methods are beyond the scope of RAN1 and can be left out of RAN1 discussion.</w:t>
      </w:r>
    </w:p>
    <w:p w14:paraId="5E684B78" w14:textId="64864CBA" w:rsidR="0092658D" w:rsidRDefault="003E40BD" w:rsidP="00E566C2">
      <w:pPr>
        <w:spacing w:after="120"/>
        <w:jc w:val="both"/>
        <w:rPr>
          <w:lang w:val="en-US"/>
        </w:rPr>
      </w:pPr>
      <w:r>
        <w:rPr>
          <w:lang w:val="en-US"/>
        </w:rPr>
        <w:t xml:space="preserve">The </w:t>
      </w:r>
      <w:r w:rsidR="0092658D">
        <w:rPr>
          <w:lang w:val="en-US"/>
        </w:rPr>
        <w:t>third area includes multiple options where UE reported measurement results and/or measurements of the UE transmitted signals are utilized. There has been RAN3 study about such solutions</w:t>
      </w:r>
      <w:r w:rsidR="009E4AB3">
        <w:rPr>
          <w:lang w:val="en-US"/>
        </w:rPr>
        <w:t xml:space="preserve"> </w:t>
      </w:r>
      <w:r w:rsidR="00E553CE">
        <w:rPr>
          <w:lang w:val="en-US"/>
        </w:rPr>
        <w:fldChar w:fldCharType="begin"/>
      </w:r>
      <w:r w:rsidR="00E553CE">
        <w:rPr>
          <w:lang w:val="en-US"/>
        </w:rPr>
        <w:instrText xml:space="preserve"> REF _Ref510514008 \r \h </w:instrText>
      </w:r>
      <w:r w:rsidR="00E566C2">
        <w:rPr>
          <w:lang w:val="en-US"/>
        </w:rPr>
        <w:instrText xml:space="preserve"> \* MERGEFORMAT </w:instrText>
      </w:r>
      <w:r w:rsidR="00E553CE">
        <w:rPr>
          <w:lang w:val="en-US"/>
        </w:rPr>
      </w:r>
      <w:r w:rsidR="00E553CE">
        <w:rPr>
          <w:lang w:val="en-US"/>
        </w:rPr>
        <w:fldChar w:fldCharType="separate"/>
      </w:r>
      <w:r w:rsidR="00E553CE">
        <w:rPr>
          <w:lang w:val="en-US"/>
        </w:rPr>
        <w:t>[2]</w:t>
      </w:r>
      <w:r w:rsidR="00E553CE">
        <w:rPr>
          <w:lang w:val="en-US"/>
        </w:rPr>
        <w:fldChar w:fldCharType="end"/>
      </w:r>
      <w:r w:rsidR="0092658D">
        <w:rPr>
          <w:lang w:val="en-US"/>
        </w:rPr>
        <w:t xml:space="preserve"> and, similarly to OTA case, many of the options require coordination between the network nodes and therefore can be considered, at least at this stage, be out of RAN1 scope.</w:t>
      </w:r>
      <w:r w:rsidR="00A0689F">
        <w:rPr>
          <w:lang w:val="en-US"/>
        </w:rPr>
        <w:t xml:space="preserve"> However, o</w:t>
      </w:r>
      <w:r w:rsidR="0092658D">
        <w:rPr>
          <w:lang w:val="en-US"/>
        </w:rPr>
        <w:t xml:space="preserve">ne of the basic solutions within this group is </w:t>
      </w:r>
      <w:r w:rsidR="00A0689F">
        <w:rPr>
          <w:lang w:val="en-US"/>
        </w:rPr>
        <w:t xml:space="preserve">based on </w:t>
      </w:r>
      <w:r w:rsidR="0092658D">
        <w:rPr>
          <w:lang w:val="en-US"/>
        </w:rPr>
        <w:t>timing advance adjustment (TA)</w:t>
      </w:r>
      <w:r w:rsidR="006452EE">
        <w:rPr>
          <w:lang w:val="en-US"/>
        </w:rPr>
        <w:t>,</w:t>
      </w:r>
      <w:r w:rsidR="00A0689F">
        <w:rPr>
          <w:lang w:val="en-US"/>
        </w:rPr>
        <w:t xml:space="preserve"> and that method could </w:t>
      </w:r>
      <w:r w:rsidR="00E566C2">
        <w:rPr>
          <w:lang w:val="en-US"/>
        </w:rPr>
        <w:t xml:space="preserve">also </w:t>
      </w:r>
      <w:r w:rsidR="00A0689F">
        <w:rPr>
          <w:lang w:val="en-US"/>
        </w:rPr>
        <w:t>be</w:t>
      </w:r>
      <w:r w:rsidR="0092658D">
        <w:rPr>
          <w:lang w:val="en-US"/>
        </w:rPr>
        <w:t xml:space="preserve"> </w:t>
      </w:r>
      <w:r w:rsidR="00A0689F">
        <w:rPr>
          <w:lang w:val="en-US"/>
        </w:rPr>
        <w:t xml:space="preserve">studied for setting </w:t>
      </w:r>
      <w:r w:rsidR="0092658D">
        <w:rPr>
          <w:lang w:val="en-US"/>
        </w:rPr>
        <w:t>IAB reference timing. It does not require definition of any new signals or signaling</w:t>
      </w:r>
      <w:r w:rsidR="006452EE">
        <w:rPr>
          <w:lang w:val="en-US"/>
        </w:rPr>
        <w:t>,</w:t>
      </w:r>
      <w:r w:rsidR="0092658D">
        <w:rPr>
          <w:lang w:val="en-US"/>
        </w:rPr>
        <w:t xml:space="preserve"> being therefore </w:t>
      </w:r>
      <w:r w:rsidR="00A0689F">
        <w:rPr>
          <w:lang w:val="en-US"/>
        </w:rPr>
        <w:t xml:space="preserve">a </w:t>
      </w:r>
      <w:r w:rsidR="0092658D">
        <w:rPr>
          <w:lang w:val="en-US"/>
        </w:rPr>
        <w:t>suitable candidate for the IAB synchronization. In the following section</w:t>
      </w:r>
      <w:r w:rsidR="006452EE">
        <w:rPr>
          <w:lang w:val="en-US"/>
        </w:rPr>
        <w:t>,</w:t>
      </w:r>
      <w:r w:rsidR="0092658D">
        <w:rPr>
          <w:lang w:val="en-US"/>
        </w:rPr>
        <w:t xml:space="preserve"> we elaborate further IAB specific issues and how TA could be applied to synchronize a network with IAB deployment.</w:t>
      </w:r>
    </w:p>
    <w:p w14:paraId="5D29327C" w14:textId="1082A09B" w:rsidR="0092658D" w:rsidRDefault="0092658D" w:rsidP="006C2A59">
      <w:pPr>
        <w:spacing w:after="120"/>
        <w:rPr>
          <w:lang w:val="en-US"/>
        </w:rPr>
      </w:pPr>
    </w:p>
    <w:p w14:paraId="7E5820D0" w14:textId="27F3C37D" w:rsidR="0092658D" w:rsidRDefault="00FD254A" w:rsidP="00B8593C">
      <w:pPr>
        <w:pStyle w:val="Heading2"/>
        <w:rPr>
          <w:lang w:val="en-US"/>
        </w:rPr>
      </w:pPr>
      <w:r>
        <w:rPr>
          <w:lang w:val="en-US"/>
        </w:rPr>
        <w:t>2.1</w:t>
      </w:r>
      <w:r>
        <w:rPr>
          <w:lang w:val="en-US"/>
        </w:rPr>
        <w:tab/>
        <w:t>IAB TX and RX timing</w:t>
      </w:r>
    </w:p>
    <w:p w14:paraId="4D9F5219" w14:textId="1A9D0990" w:rsidR="00FD254A" w:rsidRDefault="00FD254A" w:rsidP="005F2B20">
      <w:pPr>
        <w:jc w:val="both"/>
        <w:rPr>
          <w:lang w:val="en-US"/>
        </w:rPr>
      </w:pPr>
      <w:r>
        <w:rPr>
          <w:lang w:val="en-US"/>
        </w:rPr>
        <w:t>The IAB node has UE (or MT</w:t>
      </w:r>
      <w:r w:rsidR="0035536A">
        <w:rPr>
          <w:lang w:val="en-US"/>
        </w:rPr>
        <w:t>, Mobile Termination</w:t>
      </w:r>
      <w:r>
        <w:rPr>
          <w:lang w:val="en-US"/>
        </w:rPr>
        <w:t>) functionality</w:t>
      </w:r>
      <w:r w:rsidR="00E827D2">
        <w:rPr>
          <w:lang w:val="en-US"/>
        </w:rPr>
        <w:t xml:space="preserve"> for</w:t>
      </w:r>
      <w:r>
        <w:rPr>
          <w:lang w:val="en-US"/>
        </w:rPr>
        <w:t xml:space="preserve"> communicating towards the network (donor node) or the upstream serving IAB node.</w:t>
      </w:r>
      <w:r w:rsidR="00D80449">
        <w:rPr>
          <w:lang w:val="en-US"/>
        </w:rPr>
        <w:t xml:space="preserve"> The IAB UE can operate similarly to access UEs regarding connection setup/release, support for RRM </w:t>
      </w:r>
      <w:r w:rsidR="00233500">
        <w:rPr>
          <w:lang w:val="en-US"/>
        </w:rPr>
        <w:t>with</w:t>
      </w:r>
      <w:r w:rsidR="00D80449">
        <w:rPr>
          <w:lang w:val="en-US"/>
        </w:rPr>
        <w:t xml:space="preserve"> measurement reporting, etc. The same can </w:t>
      </w:r>
      <w:r w:rsidR="00973422">
        <w:rPr>
          <w:lang w:val="en-US"/>
        </w:rPr>
        <w:t xml:space="preserve">also </w:t>
      </w:r>
      <w:r w:rsidR="00D80449">
        <w:rPr>
          <w:lang w:val="en-US"/>
        </w:rPr>
        <w:t>apply with the timing i.e. the IAB UE</w:t>
      </w:r>
      <w:r w:rsidR="00233500">
        <w:rPr>
          <w:lang w:val="en-US"/>
        </w:rPr>
        <w:t>’s</w:t>
      </w:r>
      <w:r w:rsidR="00D80449">
        <w:rPr>
          <w:lang w:val="en-US"/>
        </w:rPr>
        <w:t xml:space="preserve"> </w:t>
      </w:r>
      <w:r w:rsidR="00233500">
        <w:rPr>
          <w:lang w:val="en-US"/>
        </w:rPr>
        <w:t xml:space="preserve">timing </w:t>
      </w:r>
      <w:r w:rsidR="001D689E">
        <w:rPr>
          <w:lang w:val="en-US"/>
        </w:rPr>
        <w:t xml:space="preserve">(IAB node’s upstream BH timing) </w:t>
      </w:r>
      <w:r w:rsidR="00D80449">
        <w:rPr>
          <w:lang w:val="en-US"/>
        </w:rPr>
        <w:t xml:space="preserve">can be based on DL </w:t>
      </w:r>
      <w:r w:rsidR="0035536A">
        <w:rPr>
          <w:lang w:val="en-US"/>
        </w:rPr>
        <w:t xml:space="preserve">(or downstream BH) </w:t>
      </w:r>
      <w:r w:rsidR="00D80449">
        <w:rPr>
          <w:lang w:val="en-US"/>
        </w:rPr>
        <w:t xml:space="preserve">signal </w:t>
      </w:r>
      <w:r w:rsidR="0035536A">
        <w:rPr>
          <w:lang w:val="en-US"/>
        </w:rPr>
        <w:t xml:space="preserve">RX </w:t>
      </w:r>
      <w:r w:rsidR="00D80449">
        <w:rPr>
          <w:lang w:val="en-US"/>
        </w:rPr>
        <w:t>timing and TA adjustment.</w:t>
      </w:r>
    </w:p>
    <w:p w14:paraId="3447E22F" w14:textId="12E72C71" w:rsidR="00D80449" w:rsidRDefault="00D80449" w:rsidP="005F2B20">
      <w:pPr>
        <w:jc w:val="both"/>
        <w:rPr>
          <w:lang w:val="en-US"/>
        </w:rPr>
      </w:pPr>
      <w:r>
        <w:rPr>
          <w:lang w:val="en-US"/>
        </w:rPr>
        <w:lastRenderedPageBreak/>
        <w:t xml:space="preserve">Figure </w:t>
      </w:r>
      <w:r w:rsidR="00F37F25">
        <w:rPr>
          <w:lang w:val="en-US"/>
        </w:rPr>
        <w:t xml:space="preserve">1 illustrates timing </w:t>
      </w:r>
      <w:r w:rsidR="0035536A">
        <w:rPr>
          <w:lang w:val="en-US"/>
        </w:rPr>
        <w:t xml:space="preserve">of a </w:t>
      </w:r>
      <w:r w:rsidR="00F37F25">
        <w:rPr>
          <w:lang w:val="en-US"/>
        </w:rPr>
        <w:t>simple two-hop IAB deployment</w:t>
      </w:r>
      <w:r w:rsidR="002B3B5A">
        <w:rPr>
          <w:lang w:val="en-US"/>
        </w:rPr>
        <w:t xml:space="preserve"> scenario</w:t>
      </w:r>
      <w:r w:rsidR="00F37F25">
        <w:rPr>
          <w:lang w:val="en-US"/>
        </w:rPr>
        <w:t>. Solid vertical lines indicate the reference slot timing at the donor (with fixed BH connection) node that is used as the time reference by the subtending IAB nodes. T</w:t>
      </w:r>
      <w:r w:rsidR="00F37F25" w:rsidRPr="003B05D9">
        <w:rPr>
          <w:vertAlign w:val="subscript"/>
          <w:lang w:val="en-US"/>
        </w:rPr>
        <w:t>P1</w:t>
      </w:r>
      <w:r w:rsidR="00F37F25">
        <w:rPr>
          <w:lang w:val="en-US"/>
        </w:rPr>
        <w:t xml:space="preserve"> and T</w:t>
      </w:r>
      <w:r w:rsidR="00F37F25" w:rsidRPr="003B05D9">
        <w:rPr>
          <w:vertAlign w:val="subscript"/>
          <w:lang w:val="en-US"/>
        </w:rPr>
        <w:t>P2</w:t>
      </w:r>
      <w:r w:rsidR="00F37F25">
        <w:rPr>
          <w:lang w:val="en-US"/>
        </w:rPr>
        <w:t xml:space="preserve"> are </w:t>
      </w:r>
      <w:r w:rsidR="003B05D9">
        <w:rPr>
          <w:lang w:val="en-US"/>
        </w:rPr>
        <w:t xml:space="preserve">one-way propagation delays over the backhaul links BH1 and BH2, respectively. </w:t>
      </w:r>
      <w:r w:rsidR="002B3B5A">
        <w:rPr>
          <w:lang w:val="en-US"/>
        </w:rPr>
        <w:t xml:space="preserve">In the shown example the propagation delays are different on BH1 and BH2. </w:t>
      </w:r>
      <w:r w:rsidR="003B05D9">
        <w:rPr>
          <w:lang w:val="en-US"/>
        </w:rPr>
        <w:t>TA1 and TA2 are the timing advance used for the UL (upstream backhaul connection) slots on BH1 and BH2, respectively.</w:t>
      </w:r>
    </w:p>
    <w:p w14:paraId="1A86663E" w14:textId="7F8D91DC" w:rsidR="00F37F25" w:rsidRDefault="0042416C" w:rsidP="002B3B5A">
      <w:pPr>
        <w:spacing w:after="0"/>
        <w:rPr>
          <w:lang w:val="en-US"/>
        </w:rPr>
      </w:pPr>
      <w:r>
        <w:rPr>
          <w:noProof/>
          <w:lang w:val="en-US"/>
        </w:rPr>
        <w:drawing>
          <wp:inline distT="0" distB="0" distL="0" distR="0" wp14:anchorId="2517FEFA" wp14:editId="44AA7B60">
            <wp:extent cx="6373664" cy="273588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01404" cy="2747792"/>
                    </a:xfrm>
                    <a:prstGeom prst="rect">
                      <a:avLst/>
                    </a:prstGeom>
                    <a:noFill/>
                  </pic:spPr>
                </pic:pic>
              </a:graphicData>
            </a:graphic>
          </wp:inline>
        </w:drawing>
      </w:r>
    </w:p>
    <w:p w14:paraId="5440C0DB" w14:textId="5F246739" w:rsidR="00F37F25" w:rsidRDefault="00F37F25" w:rsidP="00F37F25">
      <w:pPr>
        <w:jc w:val="center"/>
        <w:rPr>
          <w:lang w:val="en-US"/>
        </w:rPr>
      </w:pPr>
      <w:r>
        <w:rPr>
          <w:lang w:val="en-US"/>
        </w:rPr>
        <w:t>Figure 1. RX/TX timing in two-hop IAB scenario</w:t>
      </w:r>
    </w:p>
    <w:p w14:paraId="1298EA99" w14:textId="27C23F99" w:rsidR="00F37F25" w:rsidRDefault="002B3B5A" w:rsidP="005F2B20">
      <w:pPr>
        <w:jc w:val="both"/>
        <w:rPr>
          <w:lang w:val="en-US"/>
        </w:rPr>
      </w:pPr>
      <w:r>
        <w:rPr>
          <w:lang w:val="en-US"/>
        </w:rPr>
        <w:t>Yellow slots</w:t>
      </w:r>
      <w:r w:rsidR="00A55350">
        <w:rPr>
          <w:lang w:val="en-US"/>
        </w:rPr>
        <w:t xml:space="preserve"> in Figure 1</w:t>
      </w:r>
      <w:r>
        <w:rPr>
          <w:lang w:val="en-US"/>
        </w:rPr>
        <w:t xml:space="preserve"> refer to DL or downstream BH slots whereas green ones are UL/upstream slots. Starting from the top, the donor transmits a slot to IAB node</w:t>
      </w:r>
      <w:r w:rsidR="007F43C1">
        <w:rPr>
          <w:lang w:val="en-US"/>
        </w:rPr>
        <w:t xml:space="preserve"> 1 starting at the reference timing of its own time base. The slot is received by the IAB1 after the propagation delay T</w:t>
      </w:r>
      <w:r w:rsidR="007F43C1" w:rsidRPr="003B05D9">
        <w:rPr>
          <w:vertAlign w:val="subscript"/>
          <w:lang w:val="en-US"/>
        </w:rPr>
        <w:t>P1</w:t>
      </w:r>
      <w:r w:rsidR="007F43C1">
        <w:rPr>
          <w:lang w:val="en-US"/>
        </w:rPr>
        <w:t>. The IAB DL reception time is indicated as dashed vertical line with T</w:t>
      </w:r>
      <w:r w:rsidR="007F43C1" w:rsidRPr="003B05D9">
        <w:rPr>
          <w:vertAlign w:val="subscript"/>
          <w:lang w:val="en-US"/>
        </w:rPr>
        <w:t>P1</w:t>
      </w:r>
      <w:r w:rsidR="007F43C1">
        <w:rPr>
          <w:lang w:val="en-US"/>
        </w:rPr>
        <w:t xml:space="preserve"> offset from the reference time at the donor. The UL slot transmission of the IAB1 shall be advanced by TA1 to be on time, i.e. at the reference time, at the donor reception. This is the normal operation of any UE and therefore the BH UL and access UE UL </w:t>
      </w:r>
      <w:r w:rsidR="00AA4759">
        <w:rPr>
          <w:lang w:val="en-US"/>
        </w:rPr>
        <w:t xml:space="preserve">receptions are time aligned and </w:t>
      </w:r>
      <w:r w:rsidR="007F43C1">
        <w:rPr>
          <w:lang w:val="en-US"/>
        </w:rPr>
        <w:t>can happen in the same time slot assuming frequency division of used resources.</w:t>
      </w:r>
    </w:p>
    <w:p w14:paraId="1AD1E2FF" w14:textId="4DE07CDD" w:rsidR="007F43C1" w:rsidRDefault="007F43C1" w:rsidP="005F2B20">
      <w:pPr>
        <w:jc w:val="both"/>
        <w:rPr>
          <w:lang w:val="en-US"/>
        </w:rPr>
      </w:pPr>
      <w:r>
        <w:rPr>
          <w:lang w:val="en-US"/>
        </w:rPr>
        <w:t>If the IAB</w:t>
      </w:r>
      <w:r w:rsidR="00E827D2">
        <w:rPr>
          <w:lang w:val="en-US"/>
        </w:rPr>
        <w:t xml:space="preserve"> node </w:t>
      </w:r>
      <w:r>
        <w:rPr>
          <w:lang w:val="en-US"/>
        </w:rPr>
        <w:t>1 is scheduled for UL TX in a slot following DL reception, the schedul</w:t>
      </w:r>
      <w:r w:rsidR="00B171F5">
        <w:rPr>
          <w:lang w:val="en-US"/>
        </w:rPr>
        <w:t>er</w:t>
      </w:r>
      <w:r>
        <w:rPr>
          <w:lang w:val="en-US"/>
        </w:rPr>
        <w:t xml:space="preserve"> </w:t>
      </w:r>
      <w:r w:rsidR="00B171F5">
        <w:rPr>
          <w:lang w:val="en-US"/>
        </w:rPr>
        <w:t xml:space="preserve">at the Donor </w:t>
      </w:r>
      <w:r>
        <w:rPr>
          <w:lang w:val="en-US"/>
        </w:rPr>
        <w:t xml:space="preserve">should take into account the </w:t>
      </w:r>
      <w:r w:rsidR="00DE5E79">
        <w:rPr>
          <w:lang w:val="en-US"/>
        </w:rPr>
        <w:t xml:space="preserve">TA and </w:t>
      </w:r>
      <w:r w:rsidR="00B171F5">
        <w:rPr>
          <w:lang w:val="en-US"/>
        </w:rPr>
        <w:t xml:space="preserve">required </w:t>
      </w:r>
      <w:r w:rsidR="00DE5E79">
        <w:rPr>
          <w:lang w:val="en-US"/>
        </w:rPr>
        <w:t xml:space="preserve">GP </w:t>
      </w:r>
      <w:r w:rsidR="00B171F5">
        <w:rPr>
          <w:lang w:val="en-US"/>
        </w:rPr>
        <w:t xml:space="preserve">for RX/TX switching </w:t>
      </w:r>
      <w:r w:rsidR="00DE5E79">
        <w:rPr>
          <w:lang w:val="en-US"/>
        </w:rPr>
        <w:t xml:space="preserve">to avoid any overlap between DL </w:t>
      </w:r>
      <w:r w:rsidR="00B171F5">
        <w:rPr>
          <w:lang w:val="en-US"/>
        </w:rPr>
        <w:t xml:space="preserve">RX </w:t>
      </w:r>
      <w:r w:rsidR="00DE5E79">
        <w:rPr>
          <w:lang w:val="en-US"/>
        </w:rPr>
        <w:t xml:space="preserve">and UL </w:t>
      </w:r>
      <w:r w:rsidR="00B171F5">
        <w:rPr>
          <w:lang w:val="en-US"/>
        </w:rPr>
        <w:t>TX</w:t>
      </w:r>
      <w:r w:rsidR="00DE5E79">
        <w:rPr>
          <w:lang w:val="en-US"/>
        </w:rPr>
        <w:t xml:space="preserve"> at the IAB node.</w:t>
      </w:r>
    </w:p>
    <w:p w14:paraId="46648EEA" w14:textId="0625D476" w:rsidR="00DE5E79" w:rsidRDefault="00DE5E79" w:rsidP="005F2B20">
      <w:pPr>
        <w:jc w:val="both"/>
        <w:rPr>
          <w:lang w:val="en-US"/>
        </w:rPr>
      </w:pPr>
      <w:r>
        <w:rPr>
          <w:lang w:val="en-US"/>
        </w:rPr>
        <w:t>On the next hop over BH2 link, IAB</w:t>
      </w:r>
      <w:r w:rsidR="00396EAE">
        <w:rPr>
          <w:lang w:val="en-US"/>
        </w:rPr>
        <w:t xml:space="preserve"> node </w:t>
      </w:r>
      <w:r>
        <w:rPr>
          <w:lang w:val="en-US"/>
        </w:rPr>
        <w:t xml:space="preserve">1 acts as a gNB </w:t>
      </w:r>
      <w:r w:rsidR="00B171F5">
        <w:rPr>
          <w:lang w:val="en-US"/>
        </w:rPr>
        <w:t xml:space="preserve">(some of the gNB functions may reside in a centralized unit/donor, though) </w:t>
      </w:r>
      <w:r>
        <w:rPr>
          <w:lang w:val="en-US"/>
        </w:rPr>
        <w:t>towards the IAB</w:t>
      </w:r>
      <w:r w:rsidR="00396EAE">
        <w:rPr>
          <w:lang w:val="en-US"/>
        </w:rPr>
        <w:t xml:space="preserve"> node </w:t>
      </w:r>
      <w:r>
        <w:rPr>
          <w:lang w:val="en-US"/>
        </w:rPr>
        <w:t>2 and can be a serving node for its own cell. To maintain synchronization of DL transmissions in all cells, IAB</w:t>
      </w:r>
      <w:r w:rsidR="00170205">
        <w:rPr>
          <w:lang w:val="en-US"/>
        </w:rPr>
        <w:t xml:space="preserve"> node</w:t>
      </w:r>
      <w:r w:rsidR="00396EAE">
        <w:rPr>
          <w:lang w:val="en-US"/>
        </w:rPr>
        <w:t>s</w:t>
      </w:r>
      <w:r>
        <w:rPr>
          <w:lang w:val="en-US"/>
        </w:rPr>
        <w:t xml:space="preserve"> ha</w:t>
      </w:r>
      <w:r w:rsidR="00396EAE">
        <w:rPr>
          <w:lang w:val="en-US"/>
        </w:rPr>
        <w:t>ve</w:t>
      </w:r>
      <w:r>
        <w:rPr>
          <w:lang w:val="en-US"/>
        </w:rPr>
        <w:t xml:space="preserve"> to align</w:t>
      </w:r>
      <w:r w:rsidR="00396EAE">
        <w:rPr>
          <w:lang w:val="en-US"/>
        </w:rPr>
        <w:t xml:space="preserve"> their</w:t>
      </w:r>
      <w:r>
        <w:rPr>
          <w:lang w:val="en-US"/>
        </w:rPr>
        <w:t xml:space="preserve"> DL/downstream TX with the donor timing. The</w:t>
      </w:r>
      <w:r w:rsidR="00170205">
        <w:rPr>
          <w:lang w:val="en-US"/>
        </w:rPr>
        <w:t xml:space="preserve"> alignment </w:t>
      </w:r>
      <w:r w:rsidR="00396EAE">
        <w:rPr>
          <w:lang w:val="en-US"/>
        </w:rPr>
        <w:t xml:space="preserve">between Donor and IAB Node 1 </w:t>
      </w:r>
      <w:r w:rsidR="00170205">
        <w:rPr>
          <w:lang w:val="en-US"/>
        </w:rPr>
        <w:t xml:space="preserve">is achieved if the IAB Node 1 adjusts its DL/downstream TX timing assuming that the propagation delay </w:t>
      </w:r>
      <w:r w:rsidR="00396EAE">
        <w:rPr>
          <w:lang w:val="en-US"/>
        </w:rPr>
        <w:t>between it and Donor is TA1/2: the DL/downstream TX timing is delayed by TA1/2 relative to the upstream TX timing or, equivalently, advance by TA1/2 relative to the timing of received downstream</w:t>
      </w:r>
      <w:r w:rsidR="005B4AEC">
        <w:rPr>
          <w:lang w:val="en-US"/>
        </w:rPr>
        <w:t>. As a consequence, there will be separate TX timings at the IAB node for UL/upstream and DL/downstream.</w:t>
      </w:r>
    </w:p>
    <w:p w14:paraId="4B4653BB" w14:textId="60526468" w:rsidR="005B4AEC" w:rsidRPr="005B4AEC" w:rsidRDefault="005B4AEC" w:rsidP="005F2B20">
      <w:pPr>
        <w:jc w:val="both"/>
        <w:rPr>
          <w:b/>
          <w:lang w:val="en-US"/>
        </w:rPr>
      </w:pPr>
      <w:r w:rsidRPr="005B4AEC">
        <w:rPr>
          <w:b/>
          <w:lang w:val="en-US"/>
        </w:rPr>
        <w:t>Observation</w:t>
      </w:r>
      <w:r w:rsidR="00340D5F">
        <w:rPr>
          <w:b/>
          <w:lang w:val="en-US"/>
        </w:rPr>
        <w:t xml:space="preserve"> 2</w:t>
      </w:r>
      <w:r w:rsidRPr="005B4AEC">
        <w:rPr>
          <w:b/>
          <w:lang w:val="en-US"/>
        </w:rPr>
        <w:t xml:space="preserve">. To maintain network synchronization also with IAB deployment, and to align the </w:t>
      </w:r>
      <w:r w:rsidR="00702C80">
        <w:rPr>
          <w:b/>
          <w:lang w:val="en-US"/>
        </w:rPr>
        <w:t xml:space="preserve">reception </w:t>
      </w:r>
      <w:r w:rsidRPr="005B4AEC">
        <w:rPr>
          <w:b/>
          <w:lang w:val="en-US"/>
        </w:rPr>
        <w:t xml:space="preserve">timing </w:t>
      </w:r>
      <w:r w:rsidR="00702C80">
        <w:rPr>
          <w:b/>
          <w:lang w:val="en-US"/>
        </w:rPr>
        <w:t xml:space="preserve">of upstream IAB and </w:t>
      </w:r>
      <w:r w:rsidRPr="005B4AEC">
        <w:rPr>
          <w:b/>
          <w:lang w:val="en-US"/>
        </w:rPr>
        <w:t>access UE</w:t>
      </w:r>
      <w:r w:rsidR="00702C80">
        <w:rPr>
          <w:b/>
          <w:lang w:val="en-US"/>
        </w:rPr>
        <w:t xml:space="preserve"> UL signals</w:t>
      </w:r>
      <w:r w:rsidRPr="005B4AEC">
        <w:rPr>
          <w:b/>
          <w:lang w:val="en-US"/>
        </w:rPr>
        <w:t xml:space="preserve">, IAB nodes </w:t>
      </w:r>
      <w:r w:rsidR="00702C80">
        <w:rPr>
          <w:b/>
          <w:lang w:val="en-US"/>
        </w:rPr>
        <w:t xml:space="preserve">apply timing advance TA for upstream TX and </w:t>
      </w:r>
      <w:r w:rsidRPr="005B4AEC">
        <w:rPr>
          <w:b/>
          <w:lang w:val="en-US"/>
        </w:rPr>
        <w:t xml:space="preserve">TA/2 </w:t>
      </w:r>
      <w:r w:rsidR="00702C80">
        <w:rPr>
          <w:b/>
          <w:lang w:val="en-US"/>
        </w:rPr>
        <w:t xml:space="preserve">for DL/downstream TX </w:t>
      </w:r>
      <w:r w:rsidR="006C65A1">
        <w:rPr>
          <w:b/>
          <w:lang w:val="en-US"/>
        </w:rPr>
        <w:t>relative to the timing of the received downstream signal</w:t>
      </w:r>
      <w:r w:rsidRPr="005B4AEC">
        <w:rPr>
          <w:b/>
          <w:lang w:val="en-US"/>
        </w:rPr>
        <w:t>.</w:t>
      </w:r>
    </w:p>
    <w:p w14:paraId="78A15523" w14:textId="46072AC2" w:rsidR="005B4AEC" w:rsidRDefault="005B4AEC" w:rsidP="005F2B20">
      <w:pPr>
        <w:jc w:val="both"/>
        <w:rPr>
          <w:lang w:val="en-US"/>
        </w:rPr>
      </w:pPr>
      <w:r>
        <w:rPr>
          <w:lang w:val="en-US"/>
        </w:rPr>
        <w:t>On the next hop (BH2), there will be similar timing adjustment at IAB</w:t>
      </w:r>
      <w:r w:rsidR="006C65A1">
        <w:rPr>
          <w:lang w:val="en-US"/>
        </w:rPr>
        <w:t xml:space="preserve"> node </w:t>
      </w:r>
      <w:r>
        <w:rPr>
          <w:lang w:val="en-US"/>
        </w:rPr>
        <w:t>2. One should note that the TA2 may differ from TA1 (in Fig.1 T</w:t>
      </w:r>
      <w:r w:rsidRPr="003B05D9">
        <w:rPr>
          <w:vertAlign w:val="subscript"/>
          <w:lang w:val="en-US"/>
        </w:rPr>
        <w:t>P1</w:t>
      </w:r>
      <w:r>
        <w:rPr>
          <w:lang w:val="en-US"/>
        </w:rPr>
        <w:t xml:space="preserve"> &gt; T</w:t>
      </w:r>
      <w:r w:rsidRPr="003B05D9">
        <w:rPr>
          <w:vertAlign w:val="subscript"/>
          <w:lang w:val="en-US"/>
        </w:rPr>
        <w:t>P2</w:t>
      </w:r>
      <w:r>
        <w:rPr>
          <w:lang w:val="en-US"/>
        </w:rPr>
        <w:t>) but that should not affect the timing adjustments that shall be done by IAB</w:t>
      </w:r>
      <w:r w:rsidR="006C65A1">
        <w:rPr>
          <w:lang w:val="en-US"/>
        </w:rPr>
        <w:t xml:space="preserve"> node </w:t>
      </w:r>
      <w:r>
        <w:rPr>
          <w:lang w:val="en-US"/>
        </w:rPr>
        <w:t xml:space="preserve">2. IAB </w:t>
      </w:r>
      <w:r w:rsidR="00602B30">
        <w:rPr>
          <w:lang w:val="en-US"/>
        </w:rPr>
        <w:t xml:space="preserve">node 2 </w:t>
      </w:r>
      <w:r>
        <w:rPr>
          <w:lang w:val="en-US"/>
        </w:rPr>
        <w:t>UL timing is adjusted by TA2 compensating the two-way propagation delay over BH2. The UL slot will arrive at IAB</w:t>
      </w:r>
      <w:r w:rsidR="006C65A1">
        <w:rPr>
          <w:lang w:val="en-US"/>
        </w:rPr>
        <w:t xml:space="preserve"> node </w:t>
      </w:r>
      <w:r>
        <w:rPr>
          <w:lang w:val="en-US"/>
        </w:rPr>
        <w:t xml:space="preserve">1 </w:t>
      </w:r>
      <w:r w:rsidR="00340D5F">
        <w:rPr>
          <w:lang w:val="en-US"/>
        </w:rPr>
        <w:t>aligned with the UL timing of the cell served by IAB</w:t>
      </w:r>
      <w:r w:rsidR="006C65A1">
        <w:rPr>
          <w:lang w:val="en-US"/>
        </w:rPr>
        <w:t xml:space="preserve"> node </w:t>
      </w:r>
      <w:r w:rsidR="00340D5F">
        <w:rPr>
          <w:lang w:val="en-US"/>
        </w:rPr>
        <w:t>1. Comparing the IAB</w:t>
      </w:r>
      <w:r w:rsidR="006C65A1">
        <w:rPr>
          <w:lang w:val="en-US"/>
        </w:rPr>
        <w:t xml:space="preserve"> node </w:t>
      </w:r>
      <w:r w:rsidR="00340D5F">
        <w:rPr>
          <w:lang w:val="en-US"/>
        </w:rPr>
        <w:t>1 RX timing on BH1 and BH2 it can be noticed that they also differ, similarly to the TX timing on the two directions. Hence, both TX and RX timing at the IAB node will have two timing references.</w:t>
      </w:r>
    </w:p>
    <w:p w14:paraId="5CB326D9" w14:textId="6B9A4E59" w:rsidR="00340D5F" w:rsidRPr="005B4AEC" w:rsidRDefault="00340D5F" w:rsidP="005F2B20">
      <w:pPr>
        <w:jc w:val="both"/>
        <w:rPr>
          <w:b/>
          <w:lang w:val="en-US"/>
        </w:rPr>
      </w:pPr>
      <w:r w:rsidRPr="005B4AEC">
        <w:rPr>
          <w:b/>
          <w:lang w:val="en-US"/>
        </w:rPr>
        <w:t>Observation</w:t>
      </w:r>
      <w:r>
        <w:rPr>
          <w:b/>
          <w:lang w:val="en-US"/>
        </w:rPr>
        <w:t xml:space="preserve"> 3</w:t>
      </w:r>
      <w:r w:rsidRPr="005B4AEC">
        <w:rPr>
          <w:b/>
          <w:lang w:val="en-US"/>
        </w:rPr>
        <w:t xml:space="preserve">. </w:t>
      </w:r>
      <w:r>
        <w:rPr>
          <w:b/>
          <w:lang w:val="en-US"/>
        </w:rPr>
        <w:t>The RX timing on downstream and upstream BH links will be different when maintaining the network synchronization and alignment of UL signals</w:t>
      </w:r>
      <w:r w:rsidRPr="005B4AEC">
        <w:rPr>
          <w:b/>
          <w:lang w:val="en-US"/>
        </w:rPr>
        <w:t>.</w:t>
      </w:r>
    </w:p>
    <w:p w14:paraId="2DCCB404" w14:textId="2122C218" w:rsidR="002B3B5A" w:rsidRDefault="002B3B5A" w:rsidP="00FD254A">
      <w:pPr>
        <w:rPr>
          <w:lang w:val="en-US"/>
        </w:rPr>
      </w:pPr>
    </w:p>
    <w:p w14:paraId="46B25F00" w14:textId="1790BA6C" w:rsidR="002B3B5A" w:rsidRDefault="002B3B5A" w:rsidP="002B3B5A">
      <w:pPr>
        <w:pStyle w:val="Heading2"/>
        <w:rPr>
          <w:lang w:val="en-US"/>
        </w:rPr>
      </w:pPr>
      <w:r>
        <w:rPr>
          <w:lang w:val="en-US"/>
        </w:rPr>
        <w:lastRenderedPageBreak/>
        <w:t>2.2</w:t>
      </w:r>
      <w:r>
        <w:rPr>
          <w:lang w:val="en-US"/>
        </w:rPr>
        <w:tab/>
        <w:t>Timing requirements</w:t>
      </w:r>
    </w:p>
    <w:p w14:paraId="4D7CC585" w14:textId="041101D6" w:rsidR="002B3B5A" w:rsidRDefault="00223C69" w:rsidP="002B3B5A">
      <w:pPr>
        <w:rPr>
          <w:lang w:val="en-US"/>
        </w:rPr>
      </w:pPr>
      <w:r>
        <w:rPr>
          <w:lang w:val="en-US"/>
        </w:rPr>
        <w:t xml:space="preserve">In NR the TA granularity depends on the used numerology </w:t>
      </w:r>
      <w:r w:rsidR="0003163F">
        <w:rPr>
          <w:lang w:val="en-US"/>
        </w:rPr>
        <w:t>according to Table</w:t>
      </w:r>
      <w:r w:rsidR="0009774C">
        <w:rPr>
          <w:lang w:val="en-US"/>
        </w:rPr>
        <w:t xml:space="preserve"> 1</w:t>
      </w:r>
      <w:r>
        <w:rPr>
          <w:lang w:val="en-US"/>
        </w:rPr>
        <w:t>:</w:t>
      </w:r>
    </w:p>
    <w:p w14:paraId="125BF63E" w14:textId="7926F5B2" w:rsidR="0003163F" w:rsidRDefault="0003163F" w:rsidP="0003163F">
      <w:pPr>
        <w:jc w:val="center"/>
        <w:rPr>
          <w:lang w:val="en-US"/>
        </w:rPr>
      </w:pPr>
      <w:r>
        <w:rPr>
          <w:lang w:val="en-US"/>
        </w:rPr>
        <w:t xml:space="preserve">Table 1. </w:t>
      </w:r>
      <w:r w:rsidR="0009774C">
        <w:rPr>
          <w:lang w:val="en-US"/>
        </w:rPr>
        <w:t>Granularity of TA adjustment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3"/>
        <w:gridCol w:w="1303"/>
      </w:tblGrid>
      <w:tr w:rsidR="0009774C" w14:paraId="2AAC4D6A" w14:textId="77777777" w:rsidTr="0009774C">
        <w:trPr>
          <w:trHeight w:val="539"/>
          <w:jc w:val="center"/>
        </w:trPr>
        <w:tc>
          <w:tcPr>
            <w:tcW w:w="3113" w:type="dxa"/>
            <w:tcBorders>
              <w:top w:val="single" w:sz="4" w:space="0" w:color="000000"/>
              <w:left w:val="single" w:sz="4" w:space="0" w:color="000000"/>
              <w:bottom w:val="single" w:sz="4" w:space="0" w:color="000000"/>
              <w:right w:val="single" w:sz="4" w:space="0" w:color="000000"/>
            </w:tcBorders>
            <w:hideMark/>
          </w:tcPr>
          <w:p w14:paraId="21E118CF" w14:textId="77777777" w:rsidR="0009774C" w:rsidRDefault="0009774C" w:rsidP="0009774C">
            <w:pPr>
              <w:spacing w:after="0"/>
              <w:rPr>
                <w:i/>
              </w:rPr>
            </w:pPr>
            <w:r>
              <w:rPr>
                <w:i/>
              </w:rPr>
              <w:t>Subcarrier Spacing (kHz) of the uplink transmission</w:t>
            </w:r>
          </w:p>
        </w:tc>
        <w:tc>
          <w:tcPr>
            <w:tcW w:w="1303" w:type="dxa"/>
            <w:tcBorders>
              <w:top w:val="single" w:sz="4" w:space="0" w:color="000000"/>
              <w:left w:val="single" w:sz="4" w:space="0" w:color="000000"/>
              <w:bottom w:val="single" w:sz="4" w:space="0" w:color="000000"/>
              <w:right w:val="single" w:sz="4" w:space="0" w:color="000000"/>
            </w:tcBorders>
            <w:hideMark/>
          </w:tcPr>
          <w:p w14:paraId="538183DB" w14:textId="77777777" w:rsidR="0009774C" w:rsidRDefault="0009774C" w:rsidP="0009774C">
            <w:pPr>
              <w:spacing w:after="0"/>
              <w:rPr>
                <w:i/>
              </w:rPr>
            </w:pPr>
            <w:r>
              <w:rPr>
                <w:i/>
              </w:rPr>
              <w:t xml:space="preserve">Unit </w:t>
            </w:r>
          </w:p>
        </w:tc>
      </w:tr>
      <w:tr w:rsidR="0009774C" w14:paraId="264E4567" w14:textId="77777777" w:rsidTr="0009774C">
        <w:trPr>
          <w:jc w:val="center"/>
        </w:trPr>
        <w:tc>
          <w:tcPr>
            <w:tcW w:w="3113" w:type="dxa"/>
            <w:tcBorders>
              <w:top w:val="single" w:sz="4" w:space="0" w:color="000000"/>
              <w:left w:val="single" w:sz="4" w:space="0" w:color="000000"/>
              <w:bottom w:val="single" w:sz="4" w:space="0" w:color="000000"/>
              <w:right w:val="single" w:sz="4" w:space="0" w:color="000000"/>
            </w:tcBorders>
            <w:hideMark/>
          </w:tcPr>
          <w:p w14:paraId="2F22A1B8" w14:textId="77777777" w:rsidR="0009774C" w:rsidRDefault="0009774C" w:rsidP="0009774C">
            <w:pPr>
              <w:spacing w:after="0"/>
              <w:rPr>
                <w:i/>
              </w:rPr>
            </w:pPr>
            <w:r>
              <w:rPr>
                <w:i/>
              </w:rPr>
              <w:t>15</w:t>
            </w:r>
          </w:p>
        </w:tc>
        <w:tc>
          <w:tcPr>
            <w:tcW w:w="1303" w:type="dxa"/>
            <w:tcBorders>
              <w:top w:val="single" w:sz="4" w:space="0" w:color="000000"/>
              <w:left w:val="single" w:sz="4" w:space="0" w:color="000000"/>
              <w:bottom w:val="single" w:sz="4" w:space="0" w:color="000000"/>
              <w:right w:val="single" w:sz="4" w:space="0" w:color="000000"/>
            </w:tcBorders>
            <w:hideMark/>
          </w:tcPr>
          <w:p w14:paraId="5EA2CAE3" w14:textId="77777777" w:rsidR="0009774C" w:rsidRDefault="0009774C" w:rsidP="0009774C">
            <w:pPr>
              <w:spacing w:after="0"/>
              <w:rPr>
                <w:i/>
              </w:rPr>
            </w:pPr>
            <w:r>
              <w:rPr>
                <w:i/>
              </w:rPr>
              <w:t>16*64 Ts</w:t>
            </w:r>
          </w:p>
        </w:tc>
      </w:tr>
      <w:tr w:rsidR="0009774C" w14:paraId="4080BAE9" w14:textId="77777777" w:rsidTr="0009774C">
        <w:trPr>
          <w:jc w:val="center"/>
        </w:trPr>
        <w:tc>
          <w:tcPr>
            <w:tcW w:w="3113" w:type="dxa"/>
            <w:tcBorders>
              <w:top w:val="single" w:sz="4" w:space="0" w:color="000000"/>
              <w:left w:val="single" w:sz="4" w:space="0" w:color="000000"/>
              <w:bottom w:val="single" w:sz="4" w:space="0" w:color="000000"/>
              <w:right w:val="single" w:sz="4" w:space="0" w:color="000000"/>
            </w:tcBorders>
            <w:hideMark/>
          </w:tcPr>
          <w:p w14:paraId="23C93937" w14:textId="77777777" w:rsidR="0009774C" w:rsidRDefault="0009774C" w:rsidP="0009774C">
            <w:pPr>
              <w:spacing w:after="0"/>
              <w:rPr>
                <w:i/>
              </w:rPr>
            </w:pPr>
            <w:r>
              <w:rPr>
                <w:i/>
              </w:rPr>
              <w:t>30</w:t>
            </w:r>
          </w:p>
        </w:tc>
        <w:tc>
          <w:tcPr>
            <w:tcW w:w="1303" w:type="dxa"/>
            <w:tcBorders>
              <w:top w:val="single" w:sz="4" w:space="0" w:color="000000"/>
              <w:left w:val="single" w:sz="4" w:space="0" w:color="000000"/>
              <w:bottom w:val="single" w:sz="4" w:space="0" w:color="000000"/>
              <w:right w:val="single" w:sz="4" w:space="0" w:color="000000"/>
            </w:tcBorders>
            <w:hideMark/>
          </w:tcPr>
          <w:p w14:paraId="79A4C0AE" w14:textId="77777777" w:rsidR="0009774C" w:rsidRDefault="0009774C" w:rsidP="0009774C">
            <w:pPr>
              <w:spacing w:after="0"/>
              <w:rPr>
                <w:i/>
              </w:rPr>
            </w:pPr>
            <w:r>
              <w:rPr>
                <w:i/>
              </w:rPr>
              <w:t>8*64 Ts</w:t>
            </w:r>
          </w:p>
        </w:tc>
      </w:tr>
      <w:tr w:rsidR="0009774C" w14:paraId="3FBFBA5E" w14:textId="77777777" w:rsidTr="0009774C">
        <w:trPr>
          <w:jc w:val="center"/>
        </w:trPr>
        <w:tc>
          <w:tcPr>
            <w:tcW w:w="3113" w:type="dxa"/>
            <w:tcBorders>
              <w:top w:val="single" w:sz="4" w:space="0" w:color="000000"/>
              <w:left w:val="single" w:sz="4" w:space="0" w:color="000000"/>
              <w:bottom w:val="single" w:sz="4" w:space="0" w:color="000000"/>
              <w:right w:val="single" w:sz="4" w:space="0" w:color="000000"/>
            </w:tcBorders>
            <w:hideMark/>
          </w:tcPr>
          <w:p w14:paraId="258F6579" w14:textId="77777777" w:rsidR="0009774C" w:rsidRDefault="0009774C" w:rsidP="0009774C">
            <w:pPr>
              <w:spacing w:after="0"/>
              <w:rPr>
                <w:i/>
              </w:rPr>
            </w:pPr>
            <w:r>
              <w:rPr>
                <w:i/>
              </w:rPr>
              <w:t>60</w:t>
            </w:r>
          </w:p>
        </w:tc>
        <w:tc>
          <w:tcPr>
            <w:tcW w:w="1303" w:type="dxa"/>
            <w:tcBorders>
              <w:top w:val="single" w:sz="4" w:space="0" w:color="000000"/>
              <w:left w:val="single" w:sz="4" w:space="0" w:color="000000"/>
              <w:bottom w:val="single" w:sz="4" w:space="0" w:color="000000"/>
              <w:right w:val="single" w:sz="4" w:space="0" w:color="000000"/>
            </w:tcBorders>
            <w:hideMark/>
          </w:tcPr>
          <w:p w14:paraId="09348ADB" w14:textId="77777777" w:rsidR="0009774C" w:rsidRDefault="0009774C" w:rsidP="0009774C">
            <w:pPr>
              <w:spacing w:after="0"/>
              <w:rPr>
                <w:i/>
              </w:rPr>
            </w:pPr>
            <w:r>
              <w:rPr>
                <w:i/>
              </w:rPr>
              <w:t>4*64 Ts</w:t>
            </w:r>
          </w:p>
        </w:tc>
      </w:tr>
      <w:tr w:rsidR="0009774C" w14:paraId="3ABE5B17" w14:textId="77777777" w:rsidTr="0009774C">
        <w:trPr>
          <w:jc w:val="center"/>
        </w:trPr>
        <w:tc>
          <w:tcPr>
            <w:tcW w:w="3113" w:type="dxa"/>
            <w:tcBorders>
              <w:top w:val="single" w:sz="4" w:space="0" w:color="000000"/>
              <w:left w:val="single" w:sz="4" w:space="0" w:color="000000"/>
              <w:bottom w:val="single" w:sz="4" w:space="0" w:color="000000"/>
              <w:right w:val="single" w:sz="4" w:space="0" w:color="000000"/>
            </w:tcBorders>
            <w:hideMark/>
          </w:tcPr>
          <w:p w14:paraId="395D7493" w14:textId="77777777" w:rsidR="0009774C" w:rsidRDefault="0009774C" w:rsidP="0009774C">
            <w:pPr>
              <w:spacing w:after="0"/>
              <w:rPr>
                <w:i/>
              </w:rPr>
            </w:pPr>
            <w:r>
              <w:rPr>
                <w:i/>
              </w:rPr>
              <w:t>120</w:t>
            </w:r>
          </w:p>
        </w:tc>
        <w:tc>
          <w:tcPr>
            <w:tcW w:w="1303" w:type="dxa"/>
            <w:tcBorders>
              <w:top w:val="single" w:sz="4" w:space="0" w:color="000000"/>
              <w:left w:val="single" w:sz="4" w:space="0" w:color="000000"/>
              <w:bottom w:val="single" w:sz="4" w:space="0" w:color="000000"/>
              <w:right w:val="single" w:sz="4" w:space="0" w:color="000000"/>
            </w:tcBorders>
            <w:hideMark/>
          </w:tcPr>
          <w:p w14:paraId="514E0FBB" w14:textId="77777777" w:rsidR="0009774C" w:rsidRDefault="0009774C" w:rsidP="0009774C">
            <w:pPr>
              <w:spacing w:after="0"/>
              <w:rPr>
                <w:i/>
              </w:rPr>
            </w:pPr>
            <w:r>
              <w:rPr>
                <w:i/>
              </w:rPr>
              <w:t>2*64 Ts</w:t>
            </w:r>
          </w:p>
        </w:tc>
      </w:tr>
    </w:tbl>
    <w:p w14:paraId="68A1A232" w14:textId="77777777" w:rsidR="0009774C" w:rsidRDefault="0009774C" w:rsidP="0009774C">
      <w:pPr>
        <w:jc w:val="center"/>
        <w:rPr>
          <w:i/>
        </w:rPr>
      </w:pPr>
      <w:r>
        <w:rPr>
          <w:i/>
        </w:rPr>
        <w:t xml:space="preserve">Note: </w:t>
      </w:r>
      <w:r>
        <w:fldChar w:fldCharType="begin"/>
      </w:r>
      <w:r>
        <w:instrText xml:space="preserve"> QUOTE </w:instrText>
      </w:r>
      <w:r w:rsidR="00EA004B">
        <w:rPr>
          <w:position w:val="-5"/>
        </w:rPr>
        <w:pict w14:anchorId="62EDA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4.4pt" equationxml="&lt;">
            <v:imagedata r:id="rId14" o:title="" chromakey="white"/>
          </v:shape>
        </w:pict>
      </w:r>
      <w:r>
        <w:instrText xml:space="preserve"> </w:instrText>
      </w:r>
      <w:r>
        <w:fldChar w:fldCharType="separate"/>
      </w:r>
      <w:r w:rsidR="00EA004B">
        <w:rPr>
          <w:position w:val="-5"/>
        </w:rPr>
        <w:pict w14:anchorId="525F021E">
          <v:shape id="_x0000_i1026" type="#_x0000_t75" style="width:108pt;height:14.4pt" equationxml="&lt;">
            <v:imagedata r:id="rId14" o:title="" chromakey="white"/>
          </v:shape>
        </w:pict>
      </w:r>
      <w:r>
        <w:fldChar w:fldCharType="end"/>
      </w:r>
      <w:r>
        <w:rPr>
          <w:i/>
        </w:rPr>
        <w:t xml:space="preserve"> seconds.</w:t>
      </w:r>
    </w:p>
    <w:p w14:paraId="07E3BA01" w14:textId="3EBF5DEC" w:rsidR="00BE41EC" w:rsidRDefault="00BE41EC" w:rsidP="002171A3">
      <w:pPr>
        <w:jc w:val="both"/>
        <w:rPr>
          <w:lang w:val="en-US"/>
        </w:rPr>
      </w:pPr>
      <w:r>
        <w:rPr>
          <w:lang w:val="en-US"/>
        </w:rPr>
        <w:t xml:space="preserve">In </w:t>
      </w:r>
      <w:r>
        <w:rPr>
          <w:lang w:val="en-US"/>
        </w:rPr>
        <w:fldChar w:fldCharType="begin"/>
      </w:r>
      <w:r>
        <w:rPr>
          <w:lang w:val="en-US"/>
        </w:rPr>
        <w:instrText xml:space="preserve"> REF _Ref510082082 \r \h </w:instrText>
      </w:r>
      <w:r w:rsidR="002171A3">
        <w:rPr>
          <w:lang w:val="en-US"/>
        </w:rPr>
        <w:instrText xml:space="preserve"> \* MERGEFORMAT </w:instrText>
      </w:r>
      <w:r>
        <w:rPr>
          <w:lang w:val="en-US"/>
        </w:rPr>
      </w:r>
      <w:r>
        <w:rPr>
          <w:lang w:val="en-US"/>
        </w:rPr>
        <w:fldChar w:fldCharType="separate"/>
      </w:r>
      <w:r>
        <w:rPr>
          <w:lang w:val="en-US"/>
        </w:rPr>
        <w:t>[4]</w:t>
      </w:r>
      <w:r>
        <w:rPr>
          <w:lang w:val="en-US"/>
        </w:rPr>
        <w:fldChar w:fldCharType="end"/>
      </w:r>
      <w:r>
        <w:rPr>
          <w:lang w:val="en-US"/>
        </w:rPr>
        <w:t xml:space="preserve"> this has been specified as follows:</w:t>
      </w:r>
    </w:p>
    <w:p w14:paraId="6F524718" w14:textId="0677EA8F" w:rsidR="00BE41EC" w:rsidRPr="00216B2E" w:rsidRDefault="0040130A" w:rsidP="002171A3">
      <w:pPr>
        <w:ind w:left="284"/>
        <w:jc w:val="both"/>
        <w:rPr>
          <w:i/>
          <w:lang w:val="en-US"/>
        </w:rPr>
      </w:pPr>
      <w:r>
        <w:rPr>
          <w:i/>
          <w:lang w:val="en-US"/>
        </w:rPr>
        <w:t>“</w:t>
      </w:r>
      <w:r w:rsidR="00BE41EC" w:rsidRPr="00BE41EC">
        <w:rPr>
          <w:i/>
          <w:lang w:val="en-US"/>
        </w:rPr>
        <w:t xml:space="preserve">For a subcarrier spacing of </w:t>
      </w:r>
      <w:r w:rsidR="00BE41EC" w:rsidRPr="00B916EC">
        <w:rPr>
          <w:position w:val="-6"/>
        </w:rPr>
        <w:object w:dxaOrig="560" w:dyaOrig="300" w14:anchorId="665D386A">
          <v:shape id="_x0000_i1027" type="#_x0000_t75" style="width:28.8pt;height:14.4pt" o:ole="">
            <v:imagedata r:id="rId15" o:title=""/>
          </v:shape>
          <o:OLEObject Type="Embed" ProgID="Equation.3" ShapeID="_x0000_i1027" DrawAspect="Content" ObjectID="_1584546916" r:id="rId16"/>
        </w:object>
      </w:r>
      <w:r w:rsidR="00BE41EC" w:rsidRPr="00216B2E">
        <w:rPr>
          <w:i/>
          <w:lang w:val="en-US"/>
        </w:rPr>
        <w:t xml:space="preserve"> kHz, the timing advance command for a TAG indicates the change of the uplink timing relative to the current uplink timi</w:t>
      </w:r>
      <w:r w:rsidRPr="0040130A">
        <w:rPr>
          <w:i/>
          <w:lang w:val="en-US"/>
        </w:rPr>
        <w:t xml:space="preserve">ng for the TAG as multiples of </w:t>
      </w:r>
      <w:r w:rsidRPr="00B916EC">
        <w:rPr>
          <w:position w:val="-10"/>
        </w:rPr>
        <w:object w:dxaOrig="1160" w:dyaOrig="340" w14:anchorId="655FC8E7">
          <v:shape id="_x0000_i1028" type="#_x0000_t75" style="width:57.6pt;height:14.4pt" o:ole="">
            <v:imagedata r:id="rId17" o:title=""/>
          </v:shape>
          <o:OLEObject Type="Embed" ProgID="Equation.3" ShapeID="_x0000_i1028" DrawAspect="Content" ObjectID="_1584546917" r:id="rId18"/>
        </w:object>
      </w:r>
      <w:r w:rsidR="00BE41EC" w:rsidRPr="00216B2E">
        <w:rPr>
          <w:i/>
          <w:lang w:val="en-US"/>
        </w:rPr>
        <w:t>.</w:t>
      </w:r>
      <w:r>
        <w:rPr>
          <w:i/>
          <w:lang w:val="en-US"/>
        </w:rPr>
        <w:t>”</w:t>
      </w:r>
    </w:p>
    <w:p w14:paraId="0E002FC4" w14:textId="0B2FBA2A" w:rsidR="00BD504A" w:rsidRDefault="0009774C" w:rsidP="002171A3">
      <w:pPr>
        <w:jc w:val="both"/>
        <w:rPr>
          <w:lang w:val="en-US"/>
        </w:rPr>
      </w:pPr>
      <w:r>
        <w:rPr>
          <w:lang w:val="en-US"/>
        </w:rPr>
        <w:t>With these values, the granularity is largest</w:t>
      </w:r>
      <w:r w:rsidR="00C663A8">
        <w:rPr>
          <w:lang w:val="en-US"/>
        </w:rPr>
        <w:t xml:space="preserve"> with 15kHz SCS being </w:t>
      </w:r>
      <w:r w:rsidR="00BE41EC">
        <w:rPr>
          <w:lang w:val="en-US"/>
        </w:rPr>
        <w:t xml:space="preserve">521ns </w:t>
      </w:r>
      <w:r w:rsidR="00C663A8">
        <w:rPr>
          <w:lang w:val="en-US"/>
        </w:rPr>
        <w:t>and shortest with 120kHz SCS being</w:t>
      </w:r>
      <w:r w:rsidR="00CB45BC">
        <w:rPr>
          <w:lang w:val="en-US"/>
        </w:rPr>
        <w:t xml:space="preserve"> </w:t>
      </w:r>
      <w:r w:rsidR="00BE41EC">
        <w:rPr>
          <w:lang w:val="en-US"/>
        </w:rPr>
        <w:t>65ns</w:t>
      </w:r>
      <w:r w:rsidR="00C663A8">
        <w:rPr>
          <w:lang w:val="en-US"/>
        </w:rPr>
        <w:t>.</w:t>
      </w:r>
      <w:r w:rsidR="00E457DC">
        <w:rPr>
          <w:lang w:val="en-US"/>
        </w:rPr>
        <w:t xml:space="preserve"> </w:t>
      </w:r>
      <w:r w:rsidR="00BD504A">
        <w:rPr>
          <w:lang w:val="en-US"/>
        </w:rPr>
        <w:t xml:space="preserve">Maximum timing error due to granularity </w:t>
      </w:r>
      <w:r w:rsidR="00602B30">
        <w:rPr>
          <w:lang w:val="en-US"/>
        </w:rPr>
        <w:t xml:space="preserve">can be assumed to be </w:t>
      </w:r>
      <w:r w:rsidR="00BD504A">
        <w:rPr>
          <w:lang w:val="en-US"/>
        </w:rPr>
        <w:t>half of the specified granularity value.</w:t>
      </w:r>
    </w:p>
    <w:p w14:paraId="5A052D93" w14:textId="4E830897" w:rsidR="0009774C" w:rsidRDefault="00D05C04" w:rsidP="002171A3">
      <w:pPr>
        <w:jc w:val="both"/>
        <w:rPr>
          <w:lang w:val="en-US"/>
        </w:rPr>
      </w:pPr>
      <w:r>
        <w:rPr>
          <w:lang w:val="en-US"/>
        </w:rPr>
        <w:t xml:space="preserve">Additionally, </w:t>
      </w:r>
      <w:r>
        <w:rPr>
          <w:lang w:val="en-US"/>
        </w:rPr>
        <w:fldChar w:fldCharType="begin"/>
      </w:r>
      <w:r>
        <w:rPr>
          <w:lang w:val="en-US"/>
        </w:rPr>
        <w:instrText xml:space="preserve"> REF _Ref510007790 \r \h </w:instrText>
      </w:r>
      <w:r w:rsidR="002171A3">
        <w:rPr>
          <w:lang w:val="en-US"/>
        </w:rPr>
        <w:instrText xml:space="preserve"> \* MERGEFORMAT </w:instrText>
      </w:r>
      <w:r>
        <w:rPr>
          <w:lang w:val="en-US"/>
        </w:rPr>
      </w:r>
      <w:r>
        <w:rPr>
          <w:lang w:val="en-US"/>
        </w:rPr>
        <w:fldChar w:fldCharType="separate"/>
      </w:r>
      <w:r>
        <w:rPr>
          <w:lang w:val="en-US"/>
        </w:rPr>
        <w:t>[3]</w:t>
      </w:r>
      <w:r>
        <w:rPr>
          <w:lang w:val="en-US"/>
        </w:rPr>
        <w:fldChar w:fldCharType="end"/>
      </w:r>
      <w:r>
        <w:rPr>
          <w:lang w:val="en-US"/>
        </w:rPr>
        <w:t xml:space="preserve"> specifies requirements for the TX timing error </w:t>
      </w:r>
      <w:r w:rsidR="00E750D8">
        <w:rPr>
          <w:lang w:val="en-US"/>
        </w:rPr>
        <w:t>(T</w:t>
      </w:r>
      <w:r w:rsidR="00E750D8" w:rsidRPr="00216B2E">
        <w:rPr>
          <w:sz w:val="24"/>
          <w:vertAlign w:val="subscript"/>
          <w:lang w:val="en-US"/>
        </w:rPr>
        <w:t>e</w:t>
      </w:r>
      <w:r w:rsidR="00E750D8">
        <w:rPr>
          <w:lang w:val="en-US"/>
        </w:rPr>
        <w:t xml:space="preserve">) </w:t>
      </w:r>
      <w:r>
        <w:rPr>
          <w:lang w:val="en-US"/>
        </w:rPr>
        <w:t xml:space="preserve">and TA adjustment accuracy. </w:t>
      </w:r>
      <w:r w:rsidR="00E750D8">
        <w:rPr>
          <w:lang w:val="en-US"/>
        </w:rPr>
        <w:t>The values of T</w:t>
      </w:r>
      <w:r w:rsidR="00E750D8" w:rsidRPr="00B76334">
        <w:rPr>
          <w:sz w:val="24"/>
          <w:vertAlign w:val="subscript"/>
          <w:lang w:val="en-US"/>
        </w:rPr>
        <w:t>e</w:t>
      </w:r>
      <w:r w:rsidR="00E750D8">
        <w:rPr>
          <w:lang w:val="en-US"/>
        </w:rPr>
        <w:t xml:space="preserve"> depend </w:t>
      </w:r>
      <w:r w:rsidR="003E473F">
        <w:rPr>
          <w:lang w:val="en-US"/>
        </w:rPr>
        <w:t>not only on the SCS but also</w:t>
      </w:r>
      <w:r w:rsidR="00525C15">
        <w:rPr>
          <w:lang w:val="en-US"/>
        </w:rPr>
        <w:t xml:space="preserve"> on</w:t>
      </w:r>
      <w:r w:rsidR="003E473F">
        <w:rPr>
          <w:lang w:val="en-US"/>
        </w:rPr>
        <w:t xml:space="preserve"> the frequency range according to Table 2 below:</w:t>
      </w:r>
    </w:p>
    <w:p w14:paraId="4F055F76" w14:textId="1C82CB9C" w:rsidR="003E473F" w:rsidRDefault="003E473F" w:rsidP="00216B2E">
      <w:pPr>
        <w:jc w:val="center"/>
        <w:rPr>
          <w:lang w:val="en-US"/>
        </w:rPr>
      </w:pPr>
      <w:r>
        <w:rPr>
          <w:lang w:val="en-US"/>
        </w:rPr>
        <w:t>Table 2. TX timing error limits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3E473F" w14:paraId="13044C91" w14:textId="77777777" w:rsidTr="00216B2E">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03424B3E" w14:textId="77777777" w:rsidR="003E473F" w:rsidRDefault="003E473F">
            <w:pPr>
              <w:pStyle w:val="TAH"/>
              <w:rPr>
                <w:rFonts w:cs="Arial"/>
                <w:lang w:eastAsia="zh-CN"/>
              </w:rPr>
            </w:pPr>
            <w:r>
              <w:rPr>
                <w:rFonts w:cs="Arial"/>
                <w:lang w:eastAsia="zh-CN"/>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214D3403" w14:textId="77777777" w:rsidR="003E473F" w:rsidRDefault="003E473F">
            <w:pPr>
              <w:pStyle w:val="TAH"/>
              <w:rPr>
                <w:rFonts w:eastAsia="Times New Roman" w:cs="Arial"/>
              </w:rPr>
            </w:pPr>
            <w:r>
              <w:rPr>
                <w:rFonts w:cs="Arial"/>
                <w:lang w:eastAsia="zh-CN"/>
              </w:rPr>
              <w:t>SCS</w:t>
            </w:r>
            <w:r>
              <w:rPr>
                <w:rFonts w:cs="Arial"/>
              </w:rPr>
              <w:t xml:space="preserve"> </w:t>
            </w:r>
            <w:r>
              <w:rPr>
                <w:rFonts w:cs="Arial"/>
                <w:lang w:eastAsia="zh-CN"/>
              </w:rPr>
              <w:t>of</w:t>
            </w:r>
            <w:r>
              <w:rPr>
                <w:rFonts w:cs="Arial"/>
              </w:rPr>
              <w:t xml:space="preserve"> </w:t>
            </w:r>
            <w:r>
              <w:rPr>
                <w:rFonts w:cs="Arial"/>
                <w:lang w:eastAsia="zh-CN"/>
              </w:rPr>
              <w:t xml:space="preserve">SSB signals </w:t>
            </w:r>
            <w:r>
              <w:rPr>
                <w:rFonts w:cs="Arial"/>
              </w:rPr>
              <w:t>(KHz)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9D10A32" w14:textId="77777777" w:rsidR="003E473F" w:rsidRDefault="003E473F">
            <w:pPr>
              <w:pStyle w:val="TAH"/>
              <w:rPr>
                <w:rFonts w:cs="Arial"/>
              </w:rPr>
            </w:pPr>
            <w:r>
              <w:rPr>
                <w:rFonts w:cs="Arial"/>
                <w:lang w:eastAsia="zh-CN"/>
              </w:rPr>
              <w:t>SCS of</w:t>
            </w:r>
            <w:r>
              <w:rPr>
                <w:rFonts w:cs="Arial"/>
              </w:rPr>
              <w:t xml:space="preserve"> uplink</w:t>
            </w:r>
            <w:r>
              <w:rPr>
                <w:rFonts w:cs="Arial"/>
                <w:lang w:eastAsia="zh-CN"/>
              </w:rPr>
              <w:t xml:space="preserve"> signals s</w:t>
            </w:r>
            <w:r>
              <w:rPr>
                <w:rFonts w:cs="Arial"/>
              </w:rPr>
              <w:t>(KHz)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5380E5FF" w14:textId="77777777" w:rsidR="003E473F" w:rsidRDefault="003E473F">
            <w:pPr>
              <w:pStyle w:val="TAH"/>
              <w:rPr>
                <w:rFonts w:cs="Arial"/>
              </w:rPr>
            </w:pPr>
            <w:r>
              <w:rPr>
                <w:rFonts w:cs="Arial"/>
              </w:rPr>
              <w:t>T</w:t>
            </w:r>
            <w:r>
              <w:rPr>
                <w:rFonts w:cs="Arial"/>
                <w:vertAlign w:val="subscript"/>
              </w:rPr>
              <w:t>e</w:t>
            </w:r>
          </w:p>
        </w:tc>
      </w:tr>
      <w:tr w:rsidR="003E473F" w14:paraId="6E6CD91A" w14:textId="77777777" w:rsidTr="00216B2E">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26FA23DB" w14:textId="77777777" w:rsidR="003E473F" w:rsidRDefault="003E473F">
            <w:pPr>
              <w:pStyle w:val="TAC"/>
              <w:rPr>
                <w:rFonts w:cs="Arial"/>
                <w:lang w:eastAsia="zh-CN"/>
              </w:rPr>
            </w:pPr>
            <w:r>
              <w:rPr>
                <w:rFonts w:cs="Arial"/>
                <w:lang w:eastAsia="zh-CN"/>
              </w:rPr>
              <w:t>1</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653E3F7B" w14:textId="77777777" w:rsidR="003E473F" w:rsidRDefault="003E473F">
            <w:pPr>
              <w:pStyle w:val="TAC"/>
              <w:rPr>
                <w:rFonts w:eastAsia="Times New Roman" w:cs="Arial"/>
              </w:rPr>
            </w:pPr>
            <w:r>
              <w:rPr>
                <w:rFonts w:cs="Arial"/>
                <w:lang w:eastAsia="zh-CN"/>
              </w:rPr>
              <w:t>15</w:t>
            </w:r>
          </w:p>
        </w:tc>
        <w:tc>
          <w:tcPr>
            <w:tcW w:w="1245" w:type="pct"/>
            <w:tcBorders>
              <w:top w:val="single" w:sz="4" w:space="0" w:color="auto"/>
              <w:left w:val="single" w:sz="4" w:space="0" w:color="auto"/>
              <w:bottom w:val="single" w:sz="4" w:space="0" w:color="auto"/>
              <w:right w:val="single" w:sz="4" w:space="0" w:color="auto"/>
            </w:tcBorders>
            <w:hideMark/>
          </w:tcPr>
          <w:p w14:paraId="201630FF" w14:textId="77777777" w:rsidR="003E473F" w:rsidRDefault="003E473F">
            <w:pPr>
              <w:pStyle w:val="TAC"/>
              <w:rPr>
                <w:rFonts w:cs="Arial"/>
                <w:lang w:eastAsia="zh-CN"/>
              </w:rPr>
            </w:pPr>
            <w:r>
              <w:rPr>
                <w:rFonts w:cs="Arial"/>
                <w:lang w:eastAsia="zh-CN"/>
              </w:rPr>
              <w:t>15</w:t>
            </w:r>
          </w:p>
        </w:tc>
        <w:tc>
          <w:tcPr>
            <w:tcW w:w="1478" w:type="pct"/>
            <w:tcBorders>
              <w:top w:val="single" w:sz="4" w:space="0" w:color="auto"/>
              <w:left w:val="single" w:sz="4" w:space="0" w:color="auto"/>
              <w:bottom w:val="single" w:sz="4" w:space="0" w:color="auto"/>
              <w:right w:val="single" w:sz="4" w:space="0" w:color="auto"/>
            </w:tcBorders>
            <w:hideMark/>
          </w:tcPr>
          <w:p w14:paraId="0E625BEA" w14:textId="77777777" w:rsidR="003E473F" w:rsidRDefault="003E473F">
            <w:pPr>
              <w:pStyle w:val="TAC"/>
              <w:rPr>
                <w:rFonts w:cs="Arial"/>
                <w:lang w:eastAsia="zh-CN"/>
              </w:rPr>
            </w:pPr>
            <w:r>
              <w:rPr>
                <w:rFonts w:cs="Arial"/>
                <w:lang w:eastAsia="zh-CN"/>
              </w:rPr>
              <w:t>[12]</w:t>
            </w:r>
            <w:r>
              <w:rPr>
                <w:rFonts w:cs="Arial"/>
              </w:rPr>
              <w:t>*</w:t>
            </w:r>
            <w:r>
              <w:rPr>
                <w:rFonts w:cs="Arial"/>
                <w:lang w:eastAsia="zh-CN"/>
              </w:rPr>
              <w:t>64</w:t>
            </w:r>
            <w:r>
              <w:rPr>
                <w:rFonts w:cs="Arial"/>
              </w:rPr>
              <w:t>*T</w:t>
            </w:r>
            <w:r>
              <w:rPr>
                <w:rFonts w:cs="Arial"/>
                <w:vertAlign w:val="subscript"/>
              </w:rPr>
              <w:t>c</w:t>
            </w:r>
          </w:p>
        </w:tc>
      </w:tr>
      <w:tr w:rsidR="003E473F" w14:paraId="76F4B8FC" w14:textId="77777777" w:rsidTr="00216B2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1A405" w14:textId="77777777" w:rsidR="003E473F" w:rsidRDefault="003E47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2B1B" w14:textId="77777777" w:rsidR="003E473F" w:rsidRDefault="003E473F">
            <w:pPr>
              <w:spacing w:after="0"/>
              <w:rPr>
                <w:rFonts w:ascii="Arial" w:hAnsi="Arial" w:cs="Arial"/>
                <w:sz w:val="18"/>
              </w:rPr>
            </w:pPr>
          </w:p>
        </w:tc>
        <w:tc>
          <w:tcPr>
            <w:tcW w:w="1245" w:type="pct"/>
            <w:tcBorders>
              <w:top w:val="single" w:sz="4" w:space="0" w:color="auto"/>
              <w:left w:val="single" w:sz="4" w:space="0" w:color="auto"/>
              <w:bottom w:val="single" w:sz="4" w:space="0" w:color="auto"/>
              <w:right w:val="single" w:sz="4" w:space="0" w:color="auto"/>
            </w:tcBorders>
            <w:hideMark/>
          </w:tcPr>
          <w:p w14:paraId="1A189C1A" w14:textId="77777777" w:rsidR="003E473F" w:rsidRDefault="003E473F">
            <w:pPr>
              <w:pStyle w:val="TAC"/>
              <w:rPr>
                <w:rFonts w:cs="Arial"/>
                <w:lang w:eastAsia="zh-CN"/>
              </w:rPr>
            </w:pPr>
            <w:r>
              <w:rPr>
                <w:rFonts w:cs="Arial"/>
                <w:lang w:eastAsia="zh-CN"/>
              </w:rPr>
              <w:t>30</w:t>
            </w:r>
          </w:p>
        </w:tc>
        <w:tc>
          <w:tcPr>
            <w:tcW w:w="1478" w:type="pct"/>
            <w:tcBorders>
              <w:top w:val="single" w:sz="4" w:space="0" w:color="auto"/>
              <w:left w:val="single" w:sz="4" w:space="0" w:color="auto"/>
              <w:bottom w:val="single" w:sz="4" w:space="0" w:color="auto"/>
              <w:right w:val="single" w:sz="4" w:space="0" w:color="auto"/>
            </w:tcBorders>
            <w:hideMark/>
          </w:tcPr>
          <w:p w14:paraId="3D295D7F" w14:textId="77777777" w:rsidR="003E473F" w:rsidRDefault="003E473F">
            <w:pPr>
              <w:pStyle w:val="TAC"/>
              <w:rPr>
                <w:rFonts w:eastAsia="Times New Roman" w:cs="Arial"/>
              </w:rPr>
            </w:pPr>
            <w:r>
              <w:rPr>
                <w:rFonts w:cs="Arial"/>
                <w:lang w:eastAsia="zh-CN"/>
              </w:rPr>
              <w:t>[10]</w:t>
            </w:r>
            <w:r>
              <w:rPr>
                <w:rFonts w:cs="Arial"/>
              </w:rPr>
              <w:t>*</w:t>
            </w:r>
            <w:r>
              <w:rPr>
                <w:rFonts w:cs="Arial"/>
                <w:lang w:eastAsia="zh-CN"/>
              </w:rPr>
              <w:t>64</w:t>
            </w:r>
            <w:r>
              <w:rPr>
                <w:rFonts w:cs="Arial"/>
              </w:rPr>
              <w:t>*T</w:t>
            </w:r>
            <w:r>
              <w:rPr>
                <w:rFonts w:cs="Arial"/>
                <w:vertAlign w:val="subscript"/>
              </w:rPr>
              <w:t>c</w:t>
            </w:r>
          </w:p>
        </w:tc>
      </w:tr>
      <w:tr w:rsidR="003E473F" w14:paraId="41590628" w14:textId="77777777" w:rsidTr="00216B2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9924F" w14:textId="77777777" w:rsidR="003E473F" w:rsidRDefault="003E47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EB6CA" w14:textId="77777777" w:rsidR="003E473F" w:rsidRDefault="003E473F">
            <w:pPr>
              <w:spacing w:after="0"/>
              <w:rPr>
                <w:rFonts w:ascii="Arial" w:hAnsi="Arial" w:cs="Arial"/>
                <w:sz w:val="18"/>
              </w:rPr>
            </w:pPr>
          </w:p>
        </w:tc>
        <w:tc>
          <w:tcPr>
            <w:tcW w:w="1245" w:type="pct"/>
            <w:tcBorders>
              <w:top w:val="single" w:sz="4" w:space="0" w:color="auto"/>
              <w:left w:val="single" w:sz="4" w:space="0" w:color="auto"/>
              <w:bottom w:val="single" w:sz="4" w:space="0" w:color="auto"/>
              <w:right w:val="single" w:sz="4" w:space="0" w:color="auto"/>
            </w:tcBorders>
            <w:hideMark/>
          </w:tcPr>
          <w:p w14:paraId="5B575845" w14:textId="77777777" w:rsidR="003E473F" w:rsidRDefault="003E473F">
            <w:pPr>
              <w:pStyle w:val="TAC"/>
              <w:rPr>
                <w:rFonts w:cs="Arial"/>
                <w:lang w:eastAsia="zh-CN"/>
              </w:rPr>
            </w:pPr>
            <w:r>
              <w:rPr>
                <w:rFonts w:cs="Arial"/>
                <w:lang w:eastAsia="zh-CN"/>
              </w:rPr>
              <w:t>60</w:t>
            </w:r>
          </w:p>
        </w:tc>
        <w:tc>
          <w:tcPr>
            <w:tcW w:w="1478" w:type="pct"/>
            <w:tcBorders>
              <w:top w:val="single" w:sz="4" w:space="0" w:color="auto"/>
              <w:left w:val="single" w:sz="4" w:space="0" w:color="auto"/>
              <w:bottom w:val="single" w:sz="4" w:space="0" w:color="auto"/>
              <w:right w:val="single" w:sz="4" w:space="0" w:color="auto"/>
            </w:tcBorders>
            <w:hideMark/>
          </w:tcPr>
          <w:p w14:paraId="40E236B1" w14:textId="77777777" w:rsidR="003E473F" w:rsidRDefault="003E473F">
            <w:pPr>
              <w:pStyle w:val="TAC"/>
              <w:rPr>
                <w:rFonts w:eastAsia="Times New Roman" w:cs="Arial"/>
              </w:rPr>
            </w:pPr>
            <w:r>
              <w:rPr>
                <w:rFonts w:cs="Arial"/>
                <w:lang w:eastAsia="zh-CN"/>
              </w:rPr>
              <w:t>[10]</w:t>
            </w:r>
            <w:r>
              <w:rPr>
                <w:rFonts w:cs="Arial"/>
              </w:rPr>
              <w:t>*</w:t>
            </w:r>
            <w:r>
              <w:rPr>
                <w:rFonts w:cs="Arial"/>
                <w:lang w:eastAsia="zh-CN"/>
              </w:rPr>
              <w:t>64</w:t>
            </w:r>
            <w:r>
              <w:rPr>
                <w:rFonts w:cs="Arial"/>
              </w:rPr>
              <w:t>*T</w:t>
            </w:r>
            <w:r>
              <w:rPr>
                <w:rFonts w:cs="Arial"/>
                <w:vertAlign w:val="subscript"/>
              </w:rPr>
              <w:t>c</w:t>
            </w:r>
          </w:p>
        </w:tc>
      </w:tr>
      <w:tr w:rsidR="003E473F" w14:paraId="5A97A352" w14:textId="77777777" w:rsidTr="00216B2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E0EEA" w14:textId="77777777" w:rsidR="003E473F" w:rsidRDefault="003E473F">
            <w:pPr>
              <w:spacing w:after="0"/>
              <w:rPr>
                <w:rFonts w:ascii="Arial" w:hAnsi="Arial" w:cs="Arial"/>
                <w:sz w:val="18"/>
                <w:lang w:eastAsia="zh-CN"/>
              </w:rPr>
            </w:pP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409EED71" w14:textId="77777777" w:rsidR="003E473F" w:rsidRDefault="003E473F">
            <w:pPr>
              <w:pStyle w:val="TAC"/>
              <w:rPr>
                <w:rFonts w:cs="Arial"/>
                <w:lang w:eastAsia="zh-CN"/>
              </w:rPr>
            </w:pPr>
            <w:r>
              <w:rPr>
                <w:rFonts w:cs="Arial"/>
                <w:lang w:eastAsia="zh-CN"/>
              </w:rPr>
              <w:t>30</w:t>
            </w:r>
          </w:p>
        </w:tc>
        <w:tc>
          <w:tcPr>
            <w:tcW w:w="1245" w:type="pct"/>
            <w:tcBorders>
              <w:top w:val="single" w:sz="4" w:space="0" w:color="auto"/>
              <w:left w:val="single" w:sz="4" w:space="0" w:color="auto"/>
              <w:bottom w:val="single" w:sz="4" w:space="0" w:color="auto"/>
              <w:right w:val="single" w:sz="4" w:space="0" w:color="auto"/>
            </w:tcBorders>
            <w:hideMark/>
          </w:tcPr>
          <w:p w14:paraId="2C07D800" w14:textId="77777777" w:rsidR="003E473F" w:rsidRDefault="003E473F">
            <w:pPr>
              <w:pStyle w:val="TAC"/>
              <w:rPr>
                <w:rFonts w:cs="Arial"/>
                <w:lang w:eastAsia="zh-CN"/>
              </w:rPr>
            </w:pPr>
            <w:r>
              <w:rPr>
                <w:rFonts w:cs="Arial"/>
                <w:lang w:eastAsia="zh-CN"/>
              </w:rPr>
              <w:t>15</w:t>
            </w:r>
          </w:p>
        </w:tc>
        <w:tc>
          <w:tcPr>
            <w:tcW w:w="1478" w:type="pct"/>
            <w:tcBorders>
              <w:top w:val="single" w:sz="4" w:space="0" w:color="auto"/>
              <w:left w:val="single" w:sz="4" w:space="0" w:color="auto"/>
              <w:bottom w:val="single" w:sz="4" w:space="0" w:color="auto"/>
              <w:right w:val="single" w:sz="4" w:space="0" w:color="auto"/>
            </w:tcBorders>
            <w:hideMark/>
          </w:tcPr>
          <w:p w14:paraId="43F64A92" w14:textId="77777777" w:rsidR="003E473F" w:rsidRDefault="003E473F">
            <w:pPr>
              <w:pStyle w:val="TAC"/>
              <w:rPr>
                <w:rFonts w:eastAsia="Times New Roman" w:cs="Arial"/>
              </w:rPr>
            </w:pPr>
            <w:r>
              <w:rPr>
                <w:rFonts w:cs="Arial"/>
                <w:lang w:eastAsia="zh-CN"/>
              </w:rPr>
              <w:t>[8]</w:t>
            </w:r>
            <w:r>
              <w:rPr>
                <w:rFonts w:cs="Arial"/>
              </w:rPr>
              <w:t>*</w:t>
            </w:r>
            <w:r>
              <w:rPr>
                <w:rFonts w:cs="Arial"/>
                <w:lang w:eastAsia="zh-CN"/>
              </w:rPr>
              <w:t>64</w:t>
            </w:r>
            <w:r>
              <w:rPr>
                <w:rFonts w:cs="Arial"/>
              </w:rPr>
              <w:t>*T</w:t>
            </w:r>
            <w:r>
              <w:rPr>
                <w:rFonts w:cs="Arial"/>
                <w:vertAlign w:val="subscript"/>
              </w:rPr>
              <w:t>c</w:t>
            </w:r>
          </w:p>
        </w:tc>
      </w:tr>
      <w:tr w:rsidR="003E473F" w14:paraId="2735E743" w14:textId="77777777" w:rsidTr="00216B2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16A4B" w14:textId="77777777" w:rsidR="003E473F" w:rsidRDefault="003E47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76921" w14:textId="77777777" w:rsidR="003E473F" w:rsidRDefault="003E473F">
            <w:pPr>
              <w:spacing w:after="0"/>
              <w:rPr>
                <w:rFonts w:ascii="Arial" w:hAnsi="Arial" w:cs="Arial"/>
                <w:sz w:val="18"/>
                <w:lang w:eastAsia="zh-CN"/>
              </w:rPr>
            </w:pPr>
          </w:p>
        </w:tc>
        <w:tc>
          <w:tcPr>
            <w:tcW w:w="1245" w:type="pct"/>
            <w:tcBorders>
              <w:top w:val="single" w:sz="4" w:space="0" w:color="auto"/>
              <w:left w:val="single" w:sz="4" w:space="0" w:color="auto"/>
              <w:bottom w:val="single" w:sz="4" w:space="0" w:color="auto"/>
              <w:right w:val="single" w:sz="4" w:space="0" w:color="auto"/>
            </w:tcBorders>
            <w:hideMark/>
          </w:tcPr>
          <w:p w14:paraId="02C90570" w14:textId="77777777" w:rsidR="003E473F" w:rsidRDefault="003E473F">
            <w:pPr>
              <w:pStyle w:val="TAC"/>
              <w:rPr>
                <w:rFonts w:cs="Arial"/>
                <w:lang w:eastAsia="zh-CN"/>
              </w:rPr>
            </w:pPr>
            <w:r>
              <w:rPr>
                <w:rFonts w:cs="Arial"/>
                <w:lang w:eastAsia="zh-CN"/>
              </w:rPr>
              <w:t>30</w:t>
            </w:r>
          </w:p>
        </w:tc>
        <w:tc>
          <w:tcPr>
            <w:tcW w:w="1478" w:type="pct"/>
            <w:tcBorders>
              <w:top w:val="single" w:sz="4" w:space="0" w:color="auto"/>
              <w:left w:val="single" w:sz="4" w:space="0" w:color="auto"/>
              <w:bottom w:val="single" w:sz="4" w:space="0" w:color="auto"/>
              <w:right w:val="single" w:sz="4" w:space="0" w:color="auto"/>
            </w:tcBorders>
            <w:hideMark/>
          </w:tcPr>
          <w:p w14:paraId="74E2431F" w14:textId="77777777" w:rsidR="003E473F" w:rsidRDefault="003E473F">
            <w:pPr>
              <w:pStyle w:val="TAC"/>
              <w:rPr>
                <w:rFonts w:eastAsia="Times New Roman" w:cs="Arial"/>
              </w:rPr>
            </w:pPr>
            <w:r>
              <w:rPr>
                <w:rFonts w:cs="Arial"/>
                <w:lang w:eastAsia="zh-CN"/>
              </w:rPr>
              <w:t>[8]</w:t>
            </w:r>
            <w:r>
              <w:rPr>
                <w:rFonts w:cs="Arial"/>
              </w:rPr>
              <w:t>*</w:t>
            </w:r>
            <w:r>
              <w:rPr>
                <w:rFonts w:cs="Arial"/>
                <w:lang w:eastAsia="zh-CN"/>
              </w:rPr>
              <w:t>64</w:t>
            </w:r>
            <w:r>
              <w:rPr>
                <w:rFonts w:cs="Arial"/>
              </w:rPr>
              <w:t>*T</w:t>
            </w:r>
            <w:r>
              <w:rPr>
                <w:rFonts w:cs="Arial"/>
                <w:vertAlign w:val="subscript"/>
              </w:rPr>
              <w:t>c</w:t>
            </w:r>
          </w:p>
        </w:tc>
      </w:tr>
      <w:tr w:rsidR="003E473F" w14:paraId="10173A4E" w14:textId="77777777" w:rsidTr="00216B2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5CE94" w14:textId="77777777" w:rsidR="003E473F" w:rsidRDefault="003E47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2EA6B" w14:textId="77777777" w:rsidR="003E473F" w:rsidRDefault="003E473F">
            <w:pPr>
              <w:spacing w:after="0"/>
              <w:rPr>
                <w:rFonts w:ascii="Arial" w:hAnsi="Arial" w:cs="Arial"/>
                <w:sz w:val="18"/>
                <w:lang w:eastAsia="zh-CN"/>
              </w:rPr>
            </w:pPr>
          </w:p>
        </w:tc>
        <w:tc>
          <w:tcPr>
            <w:tcW w:w="1245" w:type="pct"/>
            <w:tcBorders>
              <w:top w:val="single" w:sz="4" w:space="0" w:color="auto"/>
              <w:left w:val="single" w:sz="4" w:space="0" w:color="auto"/>
              <w:bottom w:val="single" w:sz="4" w:space="0" w:color="auto"/>
              <w:right w:val="single" w:sz="4" w:space="0" w:color="auto"/>
            </w:tcBorders>
            <w:hideMark/>
          </w:tcPr>
          <w:p w14:paraId="78E7DEDD" w14:textId="77777777" w:rsidR="003E473F" w:rsidRDefault="003E473F">
            <w:pPr>
              <w:pStyle w:val="TAC"/>
              <w:rPr>
                <w:rFonts w:cs="Arial"/>
                <w:lang w:eastAsia="zh-CN"/>
              </w:rPr>
            </w:pPr>
            <w:r>
              <w:rPr>
                <w:rFonts w:cs="Arial"/>
                <w:lang w:eastAsia="zh-CN"/>
              </w:rPr>
              <w:t>60</w:t>
            </w:r>
          </w:p>
        </w:tc>
        <w:tc>
          <w:tcPr>
            <w:tcW w:w="1478" w:type="pct"/>
            <w:tcBorders>
              <w:top w:val="single" w:sz="4" w:space="0" w:color="auto"/>
              <w:left w:val="single" w:sz="4" w:space="0" w:color="auto"/>
              <w:bottom w:val="single" w:sz="4" w:space="0" w:color="auto"/>
              <w:right w:val="single" w:sz="4" w:space="0" w:color="auto"/>
            </w:tcBorders>
            <w:hideMark/>
          </w:tcPr>
          <w:p w14:paraId="725DB5E0" w14:textId="77777777" w:rsidR="003E473F" w:rsidRDefault="003E473F">
            <w:pPr>
              <w:pStyle w:val="TAC"/>
              <w:rPr>
                <w:rFonts w:eastAsia="Times New Roman" w:cs="Arial"/>
              </w:rPr>
            </w:pPr>
            <w:r>
              <w:rPr>
                <w:rFonts w:cs="Arial"/>
                <w:lang w:eastAsia="zh-CN"/>
              </w:rPr>
              <w:t>[7]</w:t>
            </w:r>
            <w:r>
              <w:rPr>
                <w:rFonts w:cs="Arial"/>
              </w:rPr>
              <w:t>*</w:t>
            </w:r>
            <w:r>
              <w:rPr>
                <w:rFonts w:cs="Arial"/>
                <w:lang w:eastAsia="zh-CN"/>
              </w:rPr>
              <w:t>64</w:t>
            </w:r>
            <w:r>
              <w:rPr>
                <w:rFonts w:cs="Arial"/>
              </w:rPr>
              <w:t>*T</w:t>
            </w:r>
            <w:r>
              <w:rPr>
                <w:rFonts w:cs="Arial"/>
                <w:vertAlign w:val="subscript"/>
              </w:rPr>
              <w:t>c</w:t>
            </w:r>
          </w:p>
        </w:tc>
      </w:tr>
      <w:tr w:rsidR="003E473F" w14:paraId="7D6441B3" w14:textId="77777777" w:rsidTr="00216B2E">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66247369" w14:textId="77777777" w:rsidR="003E473F" w:rsidRDefault="003E473F">
            <w:pPr>
              <w:pStyle w:val="TAC"/>
              <w:rPr>
                <w:rFonts w:cs="Arial"/>
                <w:lang w:eastAsia="zh-CN"/>
              </w:rPr>
            </w:pPr>
            <w:r>
              <w:rPr>
                <w:rFonts w:cs="Arial"/>
                <w:lang w:eastAsia="zh-CN"/>
              </w:rPr>
              <w:t>2</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1F6C8260" w14:textId="77777777" w:rsidR="003E473F" w:rsidRDefault="003E473F">
            <w:pPr>
              <w:pStyle w:val="TAC"/>
              <w:rPr>
                <w:rFonts w:cs="Arial"/>
                <w:lang w:eastAsia="zh-CN"/>
              </w:rPr>
            </w:pPr>
            <w:r>
              <w:rPr>
                <w:rFonts w:cs="Arial"/>
                <w:lang w:eastAsia="zh-CN"/>
              </w:rPr>
              <w:t>120</w:t>
            </w:r>
          </w:p>
        </w:tc>
        <w:tc>
          <w:tcPr>
            <w:tcW w:w="1245" w:type="pct"/>
            <w:tcBorders>
              <w:top w:val="single" w:sz="4" w:space="0" w:color="auto"/>
              <w:left w:val="single" w:sz="4" w:space="0" w:color="auto"/>
              <w:bottom w:val="single" w:sz="4" w:space="0" w:color="auto"/>
              <w:right w:val="single" w:sz="4" w:space="0" w:color="auto"/>
            </w:tcBorders>
            <w:hideMark/>
          </w:tcPr>
          <w:p w14:paraId="20D260B0" w14:textId="77777777" w:rsidR="003E473F" w:rsidRDefault="003E473F">
            <w:pPr>
              <w:pStyle w:val="TAC"/>
              <w:rPr>
                <w:rFonts w:eastAsia="Times New Roman" w:cs="Arial"/>
              </w:rPr>
            </w:pPr>
            <w:r>
              <w:rPr>
                <w:rFonts w:cs="Arial"/>
                <w:lang w:eastAsia="zh-CN"/>
              </w:rPr>
              <w:t>60</w:t>
            </w:r>
          </w:p>
        </w:tc>
        <w:tc>
          <w:tcPr>
            <w:tcW w:w="1478" w:type="pct"/>
            <w:tcBorders>
              <w:top w:val="single" w:sz="4" w:space="0" w:color="auto"/>
              <w:left w:val="single" w:sz="4" w:space="0" w:color="auto"/>
              <w:bottom w:val="single" w:sz="4" w:space="0" w:color="auto"/>
              <w:right w:val="single" w:sz="4" w:space="0" w:color="auto"/>
            </w:tcBorders>
            <w:hideMark/>
          </w:tcPr>
          <w:p w14:paraId="41D4022D" w14:textId="77777777" w:rsidR="003E473F" w:rsidRDefault="003E473F">
            <w:pPr>
              <w:pStyle w:val="TAC"/>
              <w:rPr>
                <w:rFonts w:cs="Arial"/>
              </w:rPr>
            </w:pPr>
            <w:r>
              <w:rPr>
                <w:rFonts w:cs="Arial"/>
                <w:lang w:eastAsia="zh-CN"/>
              </w:rPr>
              <w:t>[3.5]</w:t>
            </w:r>
            <w:r>
              <w:rPr>
                <w:rFonts w:cs="Arial"/>
              </w:rPr>
              <w:t>*</w:t>
            </w:r>
            <w:r>
              <w:rPr>
                <w:rFonts w:cs="Arial"/>
                <w:lang w:eastAsia="zh-CN"/>
              </w:rPr>
              <w:t>64</w:t>
            </w:r>
            <w:r>
              <w:rPr>
                <w:rFonts w:cs="Arial"/>
              </w:rPr>
              <w:t>*T</w:t>
            </w:r>
            <w:r>
              <w:rPr>
                <w:rFonts w:cs="Arial"/>
                <w:vertAlign w:val="subscript"/>
              </w:rPr>
              <w:t>c</w:t>
            </w:r>
          </w:p>
        </w:tc>
      </w:tr>
      <w:tr w:rsidR="003E473F" w14:paraId="7AEE6C6D" w14:textId="77777777" w:rsidTr="00216B2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96991" w14:textId="77777777" w:rsidR="003E473F" w:rsidRDefault="003E47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384C4" w14:textId="77777777" w:rsidR="003E473F" w:rsidRDefault="003E473F">
            <w:pPr>
              <w:spacing w:after="0"/>
              <w:rPr>
                <w:rFonts w:ascii="Arial" w:hAnsi="Arial" w:cs="Arial"/>
                <w:sz w:val="18"/>
                <w:lang w:eastAsia="zh-CN"/>
              </w:rPr>
            </w:pPr>
          </w:p>
        </w:tc>
        <w:tc>
          <w:tcPr>
            <w:tcW w:w="1245" w:type="pct"/>
            <w:tcBorders>
              <w:top w:val="single" w:sz="4" w:space="0" w:color="auto"/>
              <w:left w:val="single" w:sz="4" w:space="0" w:color="auto"/>
              <w:bottom w:val="single" w:sz="4" w:space="0" w:color="auto"/>
              <w:right w:val="single" w:sz="4" w:space="0" w:color="auto"/>
            </w:tcBorders>
            <w:hideMark/>
          </w:tcPr>
          <w:p w14:paraId="515929AB" w14:textId="77777777" w:rsidR="003E473F" w:rsidRDefault="003E473F">
            <w:pPr>
              <w:pStyle w:val="TAC"/>
              <w:rPr>
                <w:rFonts w:cs="Arial"/>
                <w:lang w:eastAsia="zh-CN"/>
              </w:rPr>
            </w:pPr>
            <w:r>
              <w:rPr>
                <w:rFonts w:cs="Arial"/>
                <w:lang w:eastAsia="zh-CN"/>
              </w:rPr>
              <w:t>120</w:t>
            </w:r>
          </w:p>
        </w:tc>
        <w:tc>
          <w:tcPr>
            <w:tcW w:w="1478" w:type="pct"/>
            <w:tcBorders>
              <w:top w:val="single" w:sz="4" w:space="0" w:color="auto"/>
              <w:left w:val="single" w:sz="4" w:space="0" w:color="auto"/>
              <w:bottom w:val="single" w:sz="4" w:space="0" w:color="auto"/>
              <w:right w:val="single" w:sz="4" w:space="0" w:color="auto"/>
            </w:tcBorders>
            <w:hideMark/>
          </w:tcPr>
          <w:p w14:paraId="64A0767C" w14:textId="77777777" w:rsidR="003E473F" w:rsidRDefault="003E473F">
            <w:pPr>
              <w:pStyle w:val="TAC"/>
              <w:rPr>
                <w:rFonts w:cs="Arial"/>
                <w:lang w:eastAsia="zh-CN"/>
              </w:rPr>
            </w:pPr>
            <w:r>
              <w:rPr>
                <w:rFonts w:cs="Arial"/>
                <w:lang w:eastAsia="zh-CN"/>
              </w:rPr>
              <w:t>[3.5]</w:t>
            </w:r>
            <w:r>
              <w:rPr>
                <w:rFonts w:cs="Arial"/>
              </w:rPr>
              <w:t>*</w:t>
            </w:r>
            <w:r>
              <w:rPr>
                <w:rFonts w:cs="Arial"/>
                <w:lang w:eastAsia="zh-CN"/>
              </w:rPr>
              <w:t>64</w:t>
            </w:r>
            <w:r>
              <w:rPr>
                <w:rFonts w:cs="Arial"/>
              </w:rPr>
              <w:t>*T</w:t>
            </w:r>
            <w:r>
              <w:rPr>
                <w:rFonts w:cs="Arial"/>
                <w:vertAlign w:val="subscript"/>
              </w:rPr>
              <w:t>c</w:t>
            </w:r>
          </w:p>
        </w:tc>
      </w:tr>
      <w:tr w:rsidR="003E473F" w14:paraId="2537EEB7" w14:textId="77777777" w:rsidTr="00216B2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29BB1" w14:textId="77777777" w:rsidR="003E473F" w:rsidRDefault="003E473F">
            <w:pPr>
              <w:spacing w:after="0"/>
              <w:rPr>
                <w:rFonts w:ascii="Arial" w:hAnsi="Arial" w:cs="Arial"/>
                <w:sz w:val="18"/>
                <w:lang w:eastAsia="zh-CN"/>
              </w:rPr>
            </w:pP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6FDBA625" w14:textId="77777777" w:rsidR="003E473F" w:rsidRDefault="003E473F">
            <w:pPr>
              <w:pStyle w:val="TAC"/>
              <w:rPr>
                <w:rFonts w:cs="Arial"/>
                <w:lang w:eastAsia="zh-CN"/>
              </w:rPr>
            </w:pPr>
            <w:r>
              <w:rPr>
                <w:rFonts w:cs="Arial"/>
                <w:lang w:eastAsia="zh-CN"/>
              </w:rPr>
              <w:t>240</w:t>
            </w:r>
          </w:p>
        </w:tc>
        <w:tc>
          <w:tcPr>
            <w:tcW w:w="1245" w:type="pct"/>
            <w:tcBorders>
              <w:top w:val="single" w:sz="4" w:space="0" w:color="auto"/>
              <w:left w:val="single" w:sz="4" w:space="0" w:color="auto"/>
              <w:bottom w:val="single" w:sz="4" w:space="0" w:color="auto"/>
              <w:right w:val="single" w:sz="4" w:space="0" w:color="auto"/>
            </w:tcBorders>
            <w:hideMark/>
          </w:tcPr>
          <w:p w14:paraId="5881D945" w14:textId="77777777" w:rsidR="003E473F" w:rsidRDefault="003E473F">
            <w:pPr>
              <w:pStyle w:val="TAC"/>
              <w:rPr>
                <w:rFonts w:eastAsia="Times New Roman" w:cs="Arial"/>
              </w:rPr>
            </w:pPr>
            <w:r>
              <w:rPr>
                <w:rFonts w:cs="Arial"/>
                <w:lang w:eastAsia="zh-CN"/>
              </w:rPr>
              <w:t>60</w:t>
            </w:r>
          </w:p>
        </w:tc>
        <w:tc>
          <w:tcPr>
            <w:tcW w:w="1478" w:type="pct"/>
            <w:tcBorders>
              <w:top w:val="single" w:sz="4" w:space="0" w:color="auto"/>
              <w:left w:val="single" w:sz="4" w:space="0" w:color="auto"/>
              <w:bottom w:val="single" w:sz="4" w:space="0" w:color="auto"/>
              <w:right w:val="single" w:sz="4" w:space="0" w:color="auto"/>
            </w:tcBorders>
            <w:hideMark/>
          </w:tcPr>
          <w:p w14:paraId="0879016A" w14:textId="77777777" w:rsidR="003E473F" w:rsidRDefault="003E473F">
            <w:pPr>
              <w:pStyle w:val="TAC"/>
              <w:rPr>
                <w:rFonts w:cs="Arial"/>
              </w:rPr>
            </w:pPr>
            <w:bookmarkStart w:id="1" w:name="OLE_LINK3"/>
            <w:bookmarkStart w:id="2" w:name="OLE_LINK4"/>
            <w:r>
              <w:rPr>
                <w:rFonts w:cs="Arial"/>
                <w:lang w:eastAsia="zh-CN"/>
              </w:rPr>
              <w:t>[3]</w:t>
            </w:r>
            <w:r>
              <w:rPr>
                <w:rFonts w:cs="Arial"/>
              </w:rPr>
              <w:t>*</w:t>
            </w:r>
            <w:r>
              <w:rPr>
                <w:rFonts w:cs="Arial"/>
                <w:lang w:eastAsia="zh-CN"/>
              </w:rPr>
              <w:t>64</w:t>
            </w:r>
            <w:r>
              <w:rPr>
                <w:rFonts w:cs="Arial"/>
              </w:rPr>
              <w:t>*T</w:t>
            </w:r>
            <w:r>
              <w:rPr>
                <w:rFonts w:cs="Arial"/>
                <w:vertAlign w:val="subscript"/>
              </w:rPr>
              <w:t>c</w:t>
            </w:r>
            <w:bookmarkEnd w:id="1"/>
            <w:bookmarkEnd w:id="2"/>
          </w:p>
        </w:tc>
      </w:tr>
      <w:tr w:rsidR="003E473F" w14:paraId="6D1C12A2" w14:textId="77777777" w:rsidTr="00216B2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DA696" w14:textId="77777777" w:rsidR="003E473F" w:rsidRDefault="003E47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CCF8" w14:textId="77777777" w:rsidR="003E473F" w:rsidRDefault="003E473F">
            <w:pPr>
              <w:spacing w:after="0"/>
              <w:rPr>
                <w:rFonts w:ascii="Arial" w:hAnsi="Arial" w:cs="Arial"/>
                <w:sz w:val="18"/>
                <w:lang w:eastAsia="zh-CN"/>
              </w:rPr>
            </w:pPr>
          </w:p>
        </w:tc>
        <w:tc>
          <w:tcPr>
            <w:tcW w:w="1245" w:type="pct"/>
            <w:tcBorders>
              <w:top w:val="single" w:sz="4" w:space="0" w:color="auto"/>
              <w:left w:val="single" w:sz="4" w:space="0" w:color="auto"/>
              <w:bottom w:val="single" w:sz="4" w:space="0" w:color="auto"/>
              <w:right w:val="single" w:sz="4" w:space="0" w:color="auto"/>
            </w:tcBorders>
            <w:hideMark/>
          </w:tcPr>
          <w:p w14:paraId="1FCFFEF7" w14:textId="77777777" w:rsidR="003E473F" w:rsidRDefault="003E473F">
            <w:pPr>
              <w:pStyle w:val="TAC"/>
              <w:rPr>
                <w:rFonts w:cs="Arial"/>
                <w:lang w:eastAsia="zh-CN"/>
              </w:rPr>
            </w:pPr>
            <w:r>
              <w:rPr>
                <w:rFonts w:cs="Arial"/>
                <w:lang w:eastAsia="zh-CN"/>
              </w:rPr>
              <w:t>120</w:t>
            </w:r>
          </w:p>
        </w:tc>
        <w:tc>
          <w:tcPr>
            <w:tcW w:w="1478" w:type="pct"/>
            <w:tcBorders>
              <w:top w:val="single" w:sz="4" w:space="0" w:color="auto"/>
              <w:left w:val="single" w:sz="4" w:space="0" w:color="auto"/>
              <w:bottom w:val="single" w:sz="4" w:space="0" w:color="auto"/>
              <w:right w:val="single" w:sz="4" w:space="0" w:color="auto"/>
            </w:tcBorders>
            <w:hideMark/>
          </w:tcPr>
          <w:p w14:paraId="09751E67" w14:textId="77777777" w:rsidR="003E473F" w:rsidRDefault="003E473F">
            <w:pPr>
              <w:pStyle w:val="TAC"/>
              <w:rPr>
                <w:rFonts w:eastAsia="Times New Roman" w:cs="Arial"/>
              </w:rPr>
            </w:pPr>
            <w:r>
              <w:rPr>
                <w:rFonts w:cs="Arial"/>
                <w:lang w:eastAsia="zh-CN"/>
              </w:rPr>
              <w:t>[3]</w:t>
            </w:r>
            <w:r>
              <w:rPr>
                <w:rFonts w:cs="Arial"/>
              </w:rPr>
              <w:t>*</w:t>
            </w:r>
            <w:r>
              <w:rPr>
                <w:rFonts w:cs="Arial"/>
                <w:lang w:eastAsia="zh-CN"/>
              </w:rPr>
              <w:t>64</w:t>
            </w:r>
            <w:r>
              <w:rPr>
                <w:rFonts w:cs="Arial"/>
              </w:rPr>
              <w:t>*T</w:t>
            </w:r>
            <w:r>
              <w:rPr>
                <w:rFonts w:cs="Arial"/>
                <w:vertAlign w:val="subscript"/>
              </w:rPr>
              <w:t>c</w:t>
            </w:r>
          </w:p>
        </w:tc>
      </w:tr>
    </w:tbl>
    <w:p w14:paraId="52003E88" w14:textId="451C300F" w:rsidR="003E473F" w:rsidRDefault="003E473F" w:rsidP="0009774C">
      <w:pPr>
        <w:rPr>
          <w:lang w:val="en-US"/>
        </w:rPr>
      </w:pPr>
    </w:p>
    <w:p w14:paraId="2883666A" w14:textId="6CB7D616" w:rsidR="007D752A" w:rsidRDefault="00BD504A" w:rsidP="002171A3">
      <w:pPr>
        <w:jc w:val="both"/>
        <w:rPr>
          <w:lang w:val="en-US"/>
        </w:rPr>
      </w:pPr>
      <w:r>
        <w:rPr>
          <w:lang w:val="en-US"/>
        </w:rPr>
        <w:t>The limit is +/-</w:t>
      </w:r>
      <w:r w:rsidRPr="00BD504A">
        <w:rPr>
          <w:lang w:val="en-US"/>
        </w:rPr>
        <w:t xml:space="preserve"> </w:t>
      </w:r>
      <w:r>
        <w:rPr>
          <w:lang w:val="en-US"/>
        </w:rPr>
        <w:t>T</w:t>
      </w:r>
      <w:r w:rsidRPr="00B76334">
        <w:rPr>
          <w:sz w:val="24"/>
          <w:vertAlign w:val="subscript"/>
          <w:lang w:val="en-US"/>
        </w:rPr>
        <w:t>e</w:t>
      </w:r>
      <w:r>
        <w:rPr>
          <w:lang w:val="en-US"/>
        </w:rPr>
        <w:t xml:space="preserve"> and therefore the indicated value is the max allowed error. </w:t>
      </w:r>
      <w:r w:rsidR="003E473F">
        <w:rPr>
          <w:lang w:val="en-US"/>
        </w:rPr>
        <w:t>Final values are still to be confirmed but</w:t>
      </w:r>
      <w:r w:rsidR="00345612">
        <w:rPr>
          <w:lang w:val="en-US"/>
        </w:rPr>
        <w:t xml:space="preserve"> </w:t>
      </w:r>
      <w:r w:rsidR="00602B30">
        <w:rPr>
          <w:lang w:val="en-US"/>
        </w:rPr>
        <w:t xml:space="preserve">they </w:t>
      </w:r>
      <w:r w:rsidR="00345612">
        <w:rPr>
          <w:lang w:val="en-US"/>
        </w:rPr>
        <w:t>are</w:t>
      </w:r>
      <w:r w:rsidR="003E473F">
        <w:rPr>
          <w:lang w:val="en-US"/>
        </w:rPr>
        <w:t xml:space="preserve"> of the same o</w:t>
      </w:r>
      <w:r w:rsidR="007D752A">
        <w:rPr>
          <w:lang w:val="en-US"/>
        </w:rPr>
        <w:t xml:space="preserve">rder </w:t>
      </w:r>
      <w:r w:rsidR="00E20155">
        <w:rPr>
          <w:lang w:val="en-US"/>
        </w:rPr>
        <w:t xml:space="preserve">of magnitude </w:t>
      </w:r>
      <w:r w:rsidR="00525C15">
        <w:rPr>
          <w:lang w:val="en-US"/>
        </w:rPr>
        <w:t>as</w:t>
      </w:r>
      <w:r w:rsidR="007D752A">
        <w:rPr>
          <w:lang w:val="en-US"/>
        </w:rPr>
        <w:t xml:space="preserve"> the TA granularities. The reference point for the UE TX is the time when </w:t>
      </w:r>
      <w:r w:rsidR="00525C15">
        <w:rPr>
          <w:lang w:val="en-US"/>
        </w:rPr>
        <w:t xml:space="preserve">the </w:t>
      </w:r>
      <w:r w:rsidR="007D752A" w:rsidRPr="007D752A">
        <w:rPr>
          <w:lang w:val="en-US"/>
        </w:rPr>
        <w:t xml:space="preserve">first detected path of the downlink frame is received from the reference </w:t>
      </w:r>
      <w:r w:rsidR="007D752A">
        <w:rPr>
          <w:lang w:val="en-US"/>
        </w:rPr>
        <w:t xml:space="preserve">(serving) </w:t>
      </w:r>
      <w:r w:rsidR="007D752A" w:rsidRPr="007D752A">
        <w:rPr>
          <w:lang w:val="en-US"/>
        </w:rPr>
        <w:t>cell</w:t>
      </w:r>
      <w:r w:rsidR="007D752A">
        <w:rPr>
          <w:lang w:val="en-US"/>
        </w:rPr>
        <w:t xml:space="preserve">. In the IAB case, and especially on the higher bands, high LOS probability can be assumed </w:t>
      </w:r>
      <w:r w:rsidR="00F25C8F">
        <w:rPr>
          <w:lang w:val="en-US"/>
        </w:rPr>
        <w:t xml:space="preserve">(IAB nodes are not placed randomly but aiming for LOS between them) </w:t>
      </w:r>
      <w:r w:rsidR="007D752A">
        <w:rPr>
          <w:lang w:val="en-US"/>
        </w:rPr>
        <w:t xml:space="preserve">and the channel delay spread will </w:t>
      </w:r>
      <w:r w:rsidR="00525C15">
        <w:rPr>
          <w:lang w:val="en-US"/>
        </w:rPr>
        <w:t>be small</w:t>
      </w:r>
      <w:r w:rsidR="007D752A">
        <w:rPr>
          <w:lang w:val="en-US"/>
        </w:rPr>
        <w:t xml:space="preserve"> when using narrow beams (both TX and RX). Therefore, the reference point for the time derivation will be more accurate than </w:t>
      </w:r>
      <w:r w:rsidR="00602B30">
        <w:rPr>
          <w:lang w:val="en-US"/>
        </w:rPr>
        <w:t xml:space="preserve">what is typically </w:t>
      </w:r>
      <w:r w:rsidR="007D752A">
        <w:rPr>
          <w:lang w:val="en-US"/>
        </w:rPr>
        <w:t>with access UEs.</w:t>
      </w:r>
    </w:p>
    <w:p w14:paraId="656C93ED" w14:textId="1A2214C4" w:rsidR="003E473F" w:rsidRDefault="003E473F" w:rsidP="0009774C">
      <w:pPr>
        <w:rPr>
          <w:lang w:val="en-US"/>
        </w:rPr>
      </w:pPr>
      <w:r>
        <w:rPr>
          <w:lang w:val="en-US"/>
        </w:rPr>
        <w:t>For the UE TA adjustment accuracy, the requirements are listed in Table 3:</w:t>
      </w:r>
    </w:p>
    <w:p w14:paraId="20E90C4D" w14:textId="113CBA7D" w:rsidR="003E473F" w:rsidRDefault="003E473F" w:rsidP="00216B2E">
      <w:pPr>
        <w:jc w:val="center"/>
        <w:rPr>
          <w:lang w:val="en-US"/>
        </w:rPr>
      </w:pPr>
      <w:r>
        <w:rPr>
          <w:lang w:val="en-US"/>
        </w:rPr>
        <w:t>Table 3. UE TA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3E473F" w14:paraId="7996007E" w14:textId="77777777" w:rsidTr="003E473F">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50F89B9F" w14:textId="77777777" w:rsidR="003E473F" w:rsidRDefault="003E473F">
            <w:pPr>
              <w:pStyle w:val="TAH"/>
            </w:pPr>
            <w: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6C76F8C7" w14:textId="77777777" w:rsidR="003E473F" w:rsidRDefault="003E473F">
            <w:pPr>
              <w:pStyle w:val="TAH"/>
              <w:rPr>
                <w:lang w:val="en-US"/>
              </w:rPr>
            </w:pPr>
            <w: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32D837" w14:textId="77777777" w:rsidR="003E473F" w:rsidRDefault="003E473F">
            <w:pPr>
              <w:pStyle w:val="TAH"/>
              <w:rPr>
                <w:lang w:val="en-US"/>
              </w:rPr>
            </w:pPr>
            <w: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9D7B70" w14:textId="77777777" w:rsidR="003E473F" w:rsidRDefault="003E473F">
            <w:pPr>
              <w:pStyle w:val="TAH"/>
              <w:rPr>
                <w:lang w:val="en-US"/>
              </w:rPr>
            </w:pPr>
            <w: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956024" w14:textId="77777777" w:rsidR="003E473F" w:rsidRDefault="003E473F">
            <w:pPr>
              <w:pStyle w:val="TAH"/>
              <w:rPr>
                <w:lang w:val="en-US"/>
              </w:rPr>
            </w:pPr>
            <w:r>
              <w:t>120</w:t>
            </w:r>
          </w:p>
        </w:tc>
      </w:tr>
      <w:tr w:rsidR="003E473F" w14:paraId="25C93E7D" w14:textId="77777777" w:rsidTr="003E473F">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0A9DE38E" w14:textId="77777777" w:rsidR="003E473F" w:rsidRDefault="003E473F">
            <w:pPr>
              <w:pStyle w:val="TAH"/>
            </w:pPr>
            <w: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662F62C6" w14:textId="77777777" w:rsidR="003E473F" w:rsidRDefault="003E473F">
            <w:pPr>
              <w:pStyle w:val="TAC"/>
              <w:rPr>
                <w:lang w:val="en-US"/>
              </w:rPr>
            </w:pPr>
            <w:r>
              <w:rPr>
                <w:szCs w:val="22"/>
                <w:lang w:val="en-US"/>
              </w:rPr>
              <w:t>±</w:t>
            </w:r>
            <w:r>
              <w:t>256 T</w:t>
            </w:r>
            <w:r>
              <w:rPr>
                <w:vertAlign w:val="subscript"/>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2ED3BDE" w14:textId="77777777" w:rsidR="003E473F" w:rsidRDefault="003E473F">
            <w:pPr>
              <w:pStyle w:val="TAC"/>
              <w:rPr>
                <w:lang w:val="en-US"/>
              </w:rPr>
            </w:pPr>
            <w:r>
              <w:rPr>
                <w:szCs w:val="22"/>
                <w:lang w:val="en-US"/>
              </w:rPr>
              <w:t>±</w:t>
            </w:r>
            <w:r>
              <w:t>256 T</w:t>
            </w:r>
            <w:r>
              <w:rPr>
                <w:vertAlign w:val="subscript"/>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1E89BE" w14:textId="77777777" w:rsidR="003E473F" w:rsidRDefault="003E473F">
            <w:pPr>
              <w:pStyle w:val="TAC"/>
              <w:rPr>
                <w:lang w:val="en-US"/>
              </w:rPr>
            </w:pPr>
            <w:r>
              <w:rPr>
                <w:szCs w:val="22"/>
                <w:lang w:val="en-US"/>
              </w:rPr>
              <w:t>±</w:t>
            </w:r>
            <w:r>
              <w:t>128 T</w:t>
            </w:r>
            <w:r>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970C8D" w14:textId="77777777" w:rsidR="003E473F" w:rsidRDefault="003E473F">
            <w:pPr>
              <w:pStyle w:val="TAC"/>
              <w:rPr>
                <w:lang w:val="en-US"/>
              </w:rPr>
            </w:pPr>
            <w:r>
              <w:rPr>
                <w:szCs w:val="22"/>
                <w:lang w:val="en-US"/>
              </w:rPr>
              <w:t>±</w:t>
            </w:r>
            <w:r>
              <w:t>32 T</w:t>
            </w:r>
            <w:r>
              <w:rPr>
                <w:vertAlign w:val="subscript"/>
              </w:rPr>
              <w:t>c</w:t>
            </w:r>
          </w:p>
        </w:tc>
      </w:tr>
    </w:tbl>
    <w:p w14:paraId="1B940CE4" w14:textId="77777777" w:rsidR="003E473F" w:rsidRDefault="003E473F" w:rsidP="0009774C">
      <w:pPr>
        <w:rPr>
          <w:lang w:val="en-US"/>
        </w:rPr>
      </w:pPr>
    </w:p>
    <w:p w14:paraId="4AF8DF27" w14:textId="0B95189E" w:rsidR="003E473F" w:rsidRDefault="00424FBD" w:rsidP="002171A3">
      <w:pPr>
        <w:jc w:val="both"/>
        <w:rPr>
          <w:lang w:val="en-US"/>
        </w:rPr>
      </w:pPr>
      <w:r>
        <w:rPr>
          <w:lang w:val="en-US"/>
        </w:rPr>
        <w:t>Allowed inaccuracies for TA adjustment are clearly smaller than the TA granularity but non-negligible.</w:t>
      </w:r>
    </w:p>
    <w:p w14:paraId="71DE20BD" w14:textId="442E7F2A" w:rsidR="00424FBD" w:rsidRDefault="00BD504A" w:rsidP="002171A3">
      <w:pPr>
        <w:jc w:val="both"/>
        <w:rPr>
          <w:lang w:val="en-US"/>
        </w:rPr>
      </w:pPr>
      <w:r>
        <w:rPr>
          <w:lang w:val="en-US"/>
        </w:rPr>
        <w:t xml:space="preserve">All </w:t>
      </w:r>
      <w:r w:rsidR="00424FBD">
        <w:rPr>
          <w:lang w:val="en-US"/>
        </w:rPr>
        <w:t xml:space="preserve">parameters </w:t>
      </w:r>
      <w:r>
        <w:rPr>
          <w:lang w:val="en-US"/>
        </w:rPr>
        <w:t>discussed above</w:t>
      </w:r>
      <w:r w:rsidR="00424FBD">
        <w:rPr>
          <w:lang w:val="en-US"/>
        </w:rPr>
        <w:t xml:space="preserve"> affect the accuracy of the IAB UE to align its time reference with the </w:t>
      </w:r>
      <w:r>
        <w:rPr>
          <w:lang w:val="en-US"/>
        </w:rPr>
        <w:t>serving node, either Donor or another IAB node in case synchronization of the IAB node is done utilizing signaled TA value, and assuming the normal UE requirements for timing accuracy are applied also for IAB UE.</w:t>
      </w:r>
    </w:p>
    <w:p w14:paraId="46D1349E" w14:textId="138A823D" w:rsidR="008E6220" w:rsidRDefault="00190946" w:rsidP="002171A3">
      <w:pPr>
        <w:jc w:val="both"/>
        <w:rPr>
          <w:lang w:val="en-US"/>
        </w:rPr>
      </w:pPr>
      <w:r>
        <w:rPr>
          <w:lang w:val="en-US"/>
        </w:rPr>
        <w:lastRenderedPageBreak/>
        <w:t>As an example, if we assume that the errors are additive, the maximum error for 120 kHz SCS/FR2 will become:</w:t>
      </w:r>
    </w:p>
    <w:p w14:paraId="6141E896" w14:textId="0F274F67" w:rsidR="00190946" w:rsidRDefault="00190946" w:rsidP="002171A3">
      <w:pPr>
        <w:ind w:left="284"/>
        <w:jc w:val="both"/>
        <w:rPr>
          <w:lang w:val="en-US"/>
        </w:rPr>
      </w:pPr>
      <w:r>
        <w:rPr>
          <w:lang w:val="en-US"/>
        </w:rPr>
        <w:t xml:space="preserve">((16*64/8)/2 + 3.5*64 + 32)*Tc = </w:t>
      </w:r>
      <w:r w:rsidR="002D4FA1">
        <w:rPr>
          <w:lang w:val="en-US"/>
        </w:rPr>
        <w:t xml:space="preserve">163ns, </w:t>
      </w:r>
    </w:p>
    <w:p w14:paraId="1F6074FA" w14:textId="147BE967" w:rsidR="002D4FA1" w:rsidRDefault="002D4FA1" w:rsidP="002171A3">
      <w:pPr>
        <w:ind w:firstLine="284"/>
        <w:jc w:val="both"/>
        <w:rPr>
          <w:lang w:val="en-US"/>
        </w:rPr>
      </w:pPr>
      <w:r>
        <w:rPr>
          <w:lang w:val="en-US"/>
        </w:rPr>
        <w:t>where the 1</w:t>
      </w:r>
      <w:r w:rsidRPr="00216B2E">
        <w:rPr>
          <w:vertAlign w:val="superscript"/>
          <w:lang w:val="en-US"/>
        </w:rPr>
        <w:t>st</w:t>
      </w:r>
      <w:r>
        <w:rPr>
          <w:lang w:val="en-US"/>
        </w:rPr>
        <w:t xml:space="preserve"> term is the granularity divided by 2, the 2</w:t>
      </w:r>
      <w:r w:rsidRPr="00216B2E">
        <w:rPr>
          <w:vertAlign w:val="superscript"/>
          <w:lang w:val="en-US"/>
        </w:rPr>
        <w:t>nd</w:t>
      </w:r>
      <w:r>
        <w:rPr>
          <w:lang w:val="en-US"/>
        </w:rPr>
        <w:t xml:space="preserve"> term T</w:t>
      </w:r>
      <w:r w:rsidRPr="00B76334">
        <w:rPr>
          <w:sz w:val="24"/>
          <w:vertAlign w:val="subscript"/>
          <w:lang w:val="en-US"/>
        </w:rPr>
        <w:t>e</w:t>
      </w:r>
      <w:r>
        <w:rPr>
          <w:lang w:val="en-US"/>
        </w:rPr>
        <w:t xml:space="preserve"> and the 3</w:t>
      </w:r>
      <w:r w:rsidRPr="00216B2E">
        <w:rPr>
          <w:vertAlign w:val="superscript"/>
          <w:lang w:val="en-US"/>
        </w:rPr>
        <w:t>rd</w:t>
      </w:r>
      <w:r>
        <w:rPr>
          <w:lang w:val="en-US"/>
        </w:rPr>
        <w:t xml:space="preserve"> one TA adjustment accuracy.</w:t>
      </w:r>
    </w:p>
    <w:p w14:paraId="70B5D12F" w14:textId="0B0748EF" w:rsidR="002D4FA1" w:rsidRPr="00E750D8" w:rsidRDefault="002D4FA1" w:rsidP="002171A3">
      <w:pPr>
        <w:jc w:val="both"/>
        <w:rPr>
          <w:lang w:val="en-US"/>
        </w:rPr>
      </w:pPr>
      <w:r>
        <w:rPr>
          <w:lang w:val="en-US"/>
        </w:rPr>
        <w:t xml:space="preserve">Corresponding value for 15kHz SCS/FR1 would be </w:t>
      </w:r>
      <w:r w:rsidR="007D752A">
        <w:rPr>
          <w:lang w:val="en-US"/>
        </w:rPr>
        <w:t xml:space="preserve">1.04 us. </w:t>
      </w:r>
    </w:p>
    <w:p w14:paraId="45009A07" w14:textId="56B6D2BC" w:rsidR="004C6AB8" w:rsidRDefault="004C6AB8" w:rsidP="002171A3">
      <w:pPr>
        <w:spacing w:after="120"/>
        <w:jc w:val="both"/>
        <w:rPr>
          <w:rFonts w:eastAsia="MS Mincho"/>
          <w:lang w:eastAsia="ja-JP"/>
        </w:rPr>
      </w:pPr>
      <w:r>
        <w:rPr>
          <w:rFonts w:eastAsia="MS Mincho"/>
          <w:lang w:eastAsia="ja-JP"/>
        </w:rPr>
        <w:t xml:space="preserve">In </w:t>
      </w:r>
      <w:r>
        <w:rPr>
          <w:rFonts w:eastAsia="MS Mincho"/>
          <w:lang w:eastAsia="ja-JP"/>
        </w:rPr>
        <w:fldChar w:fldCharType="begin"/>
      </w:r>
      <w:r>
        <w:rPr>
          <w:rFonts w:eastAsia="MS Mincho"/>
          <w:lang w:eastAsia="ja-JP"/>
        </w:rPr>
        <w:instrText xml:space="preserve"> REF _Ref510007790 \r \h </w:instrText>
      </w:r>
      <w:r w:rsidR="002171A3">
        <w:rPr>
          <w:rFonts w:eastAsia="MS Mincho"/>
          <w:lang w:eastAsia="ja-JP"/>
        </w:rPr>
        <w:instrText xml:space="preserve"> \* MERGEFORMAT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Pr>
          <w:rFonts w:eastAsia="MS Mincho"/>
          <w:lang w:eastAsia="ja-JP"/>
        </w:rPr>
        <w:t>, c</w:t>
      </w:r>
      <w:r w:rsidRPr="004C6AB8">
        <w:rPr>
          <w:rFonts w:eastAsia="MS Mincho"/>
          <w:lang w:eastAsia="ja-JP"/>
        </w:rPr>
        <w:t>ell phase synchronization accuracy for TDD is defined as the maximum absolute deviation in frame start timing between any pair of cells on the same frequency that have overlapping coverage areas.</w:t>
      </w:r>
      <w:r>
        <w:rPr>
          <w:rFonts w:eastAsia="MS Mincho"/>
          <w:lang w:eastAsia="ja-JP"/>
        </w:rPr>
        <w:t xml:space="preserve"> </w:t>
      </w:r>
      <w:r w:rsidRPr="004C6AB8">
        <w:rPr>
          <w:rFonts w:eastAsia="MS Mincho"/>
          <w:lang w:eastAsia="ja-JP"/>
        </w:rPr>
        <w:t>The cell phase synchronization accuracy measured at BS antenna connectors shall be better than [3] µs.</w:t>
      </w:r>
    </w:p>
    <w:p w14:paraId="757A680C" w14:textId="67E96FAF" w:rsidR="004C6AB8" w:rsidRPr="0009774C" w:rsidRDefault="004C6AB8" w:rsidP="002171A3">
      <w:pPr>
        <w:spacing w:after="120"/>
        <w:ind w:left="852"/>
        <w:jc w:val="both"/>
        <w:rPr>
          <w:rFonts w:eastAsia="MS Mincho"/>
          <w:i/>
          <w:lang w:eastAsia="ja-JP"/>
        </w:rPr>
      </w:pPr>
      <w:r w:rsidRPr="0009774C">
        <w:rPr>
          <w:rFonts w:eastAsia="MS Mincho"/>
          <w:i/>
          <w:lang w:eastAsia="ja-JP"/>
        </w:rPr>
        <w:t>NOTE: The requirement value is to be confirmed. The assumption is that the same value applies for all numerologies.</w:t>
      </w:r>
    </w:p>
    <w:p w14:paraId="1230E49C" w14:textId="2224EBEB" w:rsidR="00546A74" w:rsidRPr="00216B2E" w:rsidRDefault="00D84DA7" w:rsidP="002171A3">
      <w:pPr>
        <w:spacing w:after="120"/>
        <w:jc w:val="both"/>
        <w:rPr>
          <w:rFonts w:eastAsia="MS Mincho"/>
          <w:lang w:eastAsia="ja-JP"/>
        </w:rPr>
      </w:pPr>
      <w:r>
        <w:rPr>
          <w:rFonts w:eastAsia="MS Mincho"/>
          <w:lang w:eastAsia="ja-JP"/>
        </w:rPr>
        <w:t xml:space="preserve">The allowed inaccuracy for cell synchronization is larger than the timing errors calculated above. This is even more evident </w:t>
      </w:r>
      <w:r w:rsidR="00540541">
        <w:rPr>
          <w:rFonts w:eastAsia="MS Mincho"/>
          <w:lang w:eastAsia="ja-JP"/>
        </w:rPr>
        <w:t xml:space="preserve">on the mmWave bands where </w:t>
      </w:r>
      <w:r>
        <w:rPr>
          <w:rFonts w:eastAsia="MS Mincho"/>
          <w:lang w:eastAsia="ja-JP"/>
        </w:rPr>
        <w:t xml:space="preserve">the timing accuracy will be substantially better than </w:t>
      </w:r>
      <w:r w:rsidR="00540541">
        <w:rPr>
          <w:rFonts w:eastAsia="MS Mincho"/>
          <w:lang w:eastAsia="ja-JP"/>
        </w:rPr>
        <w:t xml:space="preserve">what is </w:t>
      </w:r>
      <w:r>
        <w:rPr>
          <w:rFonts w:eastAsia="MS Mincho"/>
          <w:lang w:eastAsia="ja-JP"/>
        </w:rPr>
        <w:t>required for cell synchronization.</w:t>
      </w:r>
    </w:p>
    <w:p w14:paraId="38001C07" w14:textId="5901AD6B" w:rsidR="0009774C" w:rsidRPr="00C663A8" w:rsidRDefault="00C663A8" w:rsidP="002171A3">
      <w:pPr>
        <w:spacing w:after="120"/>
        <w:jc w:val="both"/>
        <w:rPr>
          <w:rFonts w:eastAsia="MS Mincho"/>
          <w:b/>
          <w:lang w:eastAsia="ja-JP"/>
        </w:rPr>
      </w:pPr>
      <w:r w:rsidRPr="00C663A8">
        <w:rPr>
          <w:rFonts w:eastAsia="MS Mincho"/>
          <w:b/>
          <w:lang w:eastAsia="ja-JP"/>
        </w:rPr>
        <w:t xml:space="preserve">Observation 4. </w:t>
      </w:r>
      <w:r w:rsidR="00D84DA7">
        <w:rPr>
          <w:rFonts w:eastAsia="MS Mincho"/>
          <w:b/>
          <w:lang w:eastAsia="ja-JP"/>
        </w:rPr>
        <w:t xml:space="preserve">Estimated timing errors are </w:t>
      </w:r>
      <w:r w:rsidRPr="00C663A8">
        <w:rPr>
          <w:rFonts w:eastAsia="MS Mincho"/>
          <w:b/>
          <w:lang w:eastAsia="ja-JP"/>
        </w:rPr>
        <w:t>shorter than the requirement for the cell phase synchronization accuracy.</w:t>
      </w:r>
    </w:p>
    <w:p w14:paraId="023B854C" w14:textId="4E24AC9B" w:rsidR="00540541" w:rsidRDefault="00540541" w:rsidP="002171A3">
      <w:pPr>
        <w:spacing w:after="120"/>
        <w:jc w:val="both"/>
        <w:rPr>
          <w:rFonts w:eastAsia="MS Mincho"/>
          <w:lang w:eastAsia="ja-JP"/>
        </w:rPr>
      </w:pPr>
      <w:r>
        <w:rPr>
          <w:rFonts w:eastAsia="MS Mincho"/>
          <w:lang w:eastAsia="ja-JP"/>
        </w:rPr>
        <w:t>W</w:t>
      </w:r>
      <w:r w:rsidR="00C663A8">
        <w:rPr>
          <w:rFonts w:eastAsia="MS Mincho"/>
          <w:lang w:eastAsia="ja-JP"/>
        </w:rPr>
        <w:t xml:space="preserve">hen </w:t>
      </w:r>
      <w:r>
        <w:rPr>
          <w:rFonts w:eastAsia="MS Mincho"/>
          <w:lang w:eastAsia="ja-JP"/>
        </w:rPr>
        <w:t xml:space="preserve">using </w:t>
      </w:r>
      <w:r w:rsidR="00C663A8">
        <w:rPr>
          <w:rFonts w:eastAsia="MS Mincho"/>
          <w:lang w:eastAsia="ja-JP"/>
        </w:rPr>
        <w:t>TA adjustment</w:t>
      </w:r>
      <w:r>
        <w:rPr>
          <w:rFonts w:eastAsia="MS Mincho"/>
          <w:lang w:eastAsia="ja-JP"/>
        </w:rPr>
        <w:t xml:space="preserve"> to determine the timing reference, there will be an IAB deployment specific issue</w:t>
      </w:r>
      <w:r w:rsidR="00C663A8">
        <w:rPr>
          <w:rFonts w:eastAsia="MS Mincho"/>
          <w:lang w:eastAsia="ja-JP"/>
        </w:rPr>
        <w:t xml:space="preserve"> </w:t>
      </w:r>
      <w:r>
        <w:rPr>
          <w:rFonts w:eastAsia="MS Mincho"/>
          <w:lang w:eastAsia="ja-JP"/>
        </w:rPr>
        <w:t xml:space="preserve">when </w:t>
      </w:r>
      <w:r w:rsidR="00C663A8">
        <w:rPr>
          <w:rFonts w:eastAsia="MS Mincho"/>
          <w:lang w:eastAsia="ja-JP"/>
        </w:rPr>
        <w:t>concatenati</w:t>
      </w:r>
      <w:r>
        <w:rPr>
          <w:rFonts w:eastAsia="MS Mincho"/>
          <w:lang w:eastAsia="ja-JP"/>
        </w:rPr>
        <w:t>ng</w:t>
      </w:r>
      <w:r w:rsidR="00C663A8">
        <w:rPr>
          <w:rFonts w:eastAsia="MS Mincho"/>
          <w:lang w:eastAsia="ja-JP"/>
        </w:rPr>
        <w:t xml:space="preserve"> of multiple IAB nodes as a multi-hop relaying scenario.</w:t>
      </w:r>
      <w:r w:rsidR="0049639A">
        <w:rPr>
          <w:rFonts w:eastAsia="MS Mincho"/>
          <w:lang w:eastAsia="ja-JP"/>
        </w:rPr>
        <w:t xml:space="preserve"> Each IAB node uses the upstream serving node for its timing reference. That means th</w:t>
      </w:r>
      <w:r w:rsidR="00F25C8F">
        <w:rPr>
          <w:rFonts w:eastAsia="MS Mincho"/>
          <w:lang w:eastAsia="ja-JP"/>
        </w:rPr>
        <w:t>at</w:t>
      </w:r>
      <w:r w:rsidR="0049639A">
        <w:rPr>
          <w:rFonts w:eastAsia="MS Mincho"/>
          <w:lang w:eastAsia="ja-JP"/>
        </w:rPr>
        <w:t xml:space="preserve"> any errors in timing will propagate over multi-hop</w:t>
      </w:r>
      <w:r w:rsidR="00090EDD">
        <w:rPr>
          <w:rFonts w:eastAsia="MS Mincho"/>
          <w:lang w:eastAsia="ja-JP"/>
        </w:rPr>
        <w:t>s</w:t>
      </w:r>
      <w:r w:rsidR="0049639A">
        <w:rPr>
          <w:rFonts w:eastAsia="MS Mincho"/>
          <w:lang w:eastAsia="ja-JP"/>
        </w:rPr>
        <w:t xml:space="preserve"> causing possible cumulative error </w:t>
      </w:r>
      <w:r>
        <w:rPr>
          <w:rFonts w:eastAsia="MS Mincho"/>
          <w:lang w:eastAsia="ja-JP"/>
        </w:rPr>
        <w:t xml:space="preserve">in </w:t>
      </w:r>
      <w:r w:rsidR="00552309">
        <w:rPr>
          <w:rFonts w:eastAsia="MS Mincho"/>
          <w:lang w:eastAsia="ja-JP"/>
        </w:rPr>
        <w:t xml:space="preserve">the time reference. The standard may not limit the number of hops but there can be practical issues (deployment scenario, latency requirement, etc.) limiting the number of hops to only few, e.g. 4 to 5. </w:t>
      </w:r>
      <w:r w:rsidR="00E71099">
        <w:rPr>
          <w:rFonts w:eastAsia="MS Mincho"/>
          <w:lang w:eastAsia="ja-JP"/>
        </w:rPr>
        <w:t>Based on the error analysis above, one could argue that on mmWave bands there is sufficient margin to support multi-hop topologies up to the number hops that seem practically sensible. Only with largest SCSs and low bands</w:t>
      </w:r>
      <w:r w:rsidR="00F25C8F">
        <w:rPr>
          <w:rFonts w:eastAsia="MS Mincho"/>
          <w:lang w:eastAsia="ja-JP"/>
        </w:rPr>
        <w:t xml:space="preserve"> the</w:t>
      </w:r>
      <w:r w:rsidR="00E71099">
        <w:rPr>
          <w:rFonts w:eastAsia="MS Mincho"/>
          <w:lang w:eastAsia="ja-JP"/>
        </w:rPr>
        <w:t xml:space="preserve"> synchronization error could limit the number of support</w:t>
      </w:r>
      <w:r w:rsidR="00F25C8F">
        <w:rPr>
          <w:rFonts w:eastAsia="MS Mincho"/>
          <w:lang w:eastAsia="ja-JP"/>
        </w:rPr>
        <w:t>ed</w:t>
      </w:r>
      <w:r w:rsidR="00E71099">
        <w:rPr>
          <w:rFonts w:eastAsia="MS Mincho"/>
          <w:lang w:eastAsia="ja-JP"/>
        </w:rPr>
        <w:t xml:space="preserve"> hops. However, the latter case is not the anticipated IAB scenario and it is de-prioritized also in the IAB SI.</w:t>
      </w:r>
    </w:p>
    <w:p w14:paraId="74DC13F0" w14:textId="6FFE861B" w:rsidR="00C663A8" w:rsidRPr="00216B2E" w:rsidRDefault="00E71099" w:rsidP="002171A3">
      <w:pPr>
        <w:spacing w:after="120"/>
        <w:jc w:val="both"/>
        <w:rPr>
          <w:rFonts w:eastAsia="MS Mincho"/>
          <w:b/>
          <w:lang w:eastAsia="ja-JP"/>
        </w:rPr>
      </w:pPr>
      <w:r w:rsidRPr="00216B2E">
        <w:rPr>
          <w:rFonts w:eastAsia="MS Mincho"/>
          <w:b/>
          <w:lang w:eastAsia="ja-JP"/>
        </w:rPr>
        <w:t xml:space="preserve">Observation 5. </w:t>
      </w:r>
      <w:r w:rsidR="00D836F7" w:rsidRPr="00216B2E">
        <w:rPr>
          <w:rFonts w:eastAsia="MS Mincho"/>
          <w:b/>
          <w:lang w:eastAsia="ja-JP"/>
        </w:rPr>
        <w:t>TA based synchronization can support also multi-hop topologies in the anticipated IAB use cases and scenarios.</w:t>
      </w:r>
    </w:p>
    <w:p w14:paraId="5BFA1E40" w14:textId="4423C12C" w:rsidR="00552309" w:rsidRPr="00552309" w:rsidRDefault="00552309" w:rsidP="002171A3">
      <w:pPr>
        <w:spacing w:after="120"/>
        <w:jc w:val="both"/>
        <w:rPr>
          <w:rFonts w:eastAsia="MS Mincho"/>
          <w:b/>
          <w:lang w:eastAsia="ja-JP"/>
        </w:rPr>
      </w:pPr>
      <w:r w:rsidRPr="00552309">
        <w:rPr>
          <w:rFonts w:eastAsia="MS Mincho"/>
          <w:b/>
          <w:lang w:eastAsia="ja-JP"/>
        </w:rPr>
        <w:t>Proposal 3.</w:t>
      </w:r>
      <w:r w:rsidR="00E917E6">
        <w:rPr>
          <w:rFonts w:eastAsia="MS Mincho"/>
          <w:b/>
          <w:lang w:eastAsia="ja-JP"/>
        </w:rPr>
        <w:t xml:space="preserve"> </w:t>
      </w:r>
      <w:r w:rsidR="006D2D0B">
        <w:rPr>
          <w:rFonts w:eastAsia="MS Mincho"/>
          <w:b/>
          <w:lang w:eastAsia="ja-JP"/>
        </w:rPr>
        <w:t>TA based synchronization can be taken as basis for IAB synchronization supporting also multi-hop scenarios</w:t>
      </w:r>
      <w:r w:rsidRPr="00552309">
        <w:rPr>
          <w:rFonts w:eastAsia="MS Mincho"/>
          <w:b/>
          <w:lang w:eastAsia="ja-JP"/>
        </w:rPr>
        <w:t>.</w:t>
      </w:r>
    </w:p>
    <w:p w14:paraId="152BAB7E" w14:textId="77777777" w:rsidR="0003163F" w:rsidRDefault="0003163F" w:rsidP="00CB3C8E">
      <w:pPr>
        <w:spacing w:after="0"/>
        <w:rPr>
          <w:rFonts w:eastAsia="MS Mincho"/>
          <w:lang w:eastAsia="ja-JP"/>
        </w:rPr>
      </w:pPr>
    </w:p>
    <w:p w14:paraId="0D827FAF" w14:textId="6E9EC3AB" w:rsidR="0034111C" w:rsidRPr="00A51522" w:rsidRDefault="005E7117">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518CB12B" w14:textId="2AB68C47" w:rsidR="00602B30" w:rsidRDefault="00142026" w:rsidP="002171A3">
      <w:pPr>
        <w:spacing w:after="120"/>
        <w:jc w:val="both"/>
        <w:rPr>
          <w:lang w:val="en-US"/>
        </w:rPr>
      </w:pPr>
      <w:r w:rsidRPr="00602B30">
        <w:rPr>
          <w:lang w:val="en-US"/>
        </w:rPr>
        <w:t>In this contribution</w:t>
      </w:r>
      <w:r w:rsidR="00602B30">
        <w:rPr>
          <w:lang w:val="en-US"/>
        </w:rPr>
        <w:t xml:space="preserve"> we have elaborated </w:t>
      </w:r>
      <w:r w:rsidR="00E917E6">
        <w:rPr>
          <w:lang w:val="en-US"/>
        </w:rPr>
        <w:t>the assumptions for the timing of the IAB nodes and how the synchronization of the DL and UL signals can be done with IAB deployment. Furthermore, we analyzed the timing requirements specified for NR with the accuracies achievable with the TA based synchronization. We ended up with following observations and proposals:</w:t>
      </w:r>
    </w:p>
    <w:p w14:paraId="1D786577" w14:textId="77777777" w:rsidR="00E917E6" w:rsidRPr="006D668E" w:rsidRDefault="00E917E6" w:rsidP="002171A3">
      <w:pPr>
        <w:spacing w:after="120"/>
        <w:jc w:val="both"/>
        <w:rPr>
          <w:b/>
          <w:lang w:val="en-US"/>
        </w:rPr>
      </w:pPr>
      <w:r w:rsidRPr="006D668E">
        <w:rPr>
          <w:b/>
          <w:lang w:val="en-US"/>
        </w:rPr>
        <w:t>Observation 1. Usage of GNSS for IAB synchronization ha</w:t>
      </w:r>
      <w:r>
        <w:rPr>
          <w:b/>
          <w:lang w:val="en-US"/>
        </w:rPr>
        <w:t>s</w:t>
      </w:r>
      <w:r w:rsidRPr="006D668E">
        <w:rPr>
          <w:b/>
          <w:lang w:val="en-US"/>
        </w:rPr>
        <w:t xml:space="preserve"> implementation impacts and can require specific site installations. </w:t>
      </w:r>
      <w:r>
        <w:rPr>
          <w:b/>
          <w:lang w:val="en-US"/>
        </w:rPr>
        <w:t>It</w:t>
      </w:r>
      <w:r w:rsidRPr="006D668E">
        <w:rPr>
          <w:b/>
          <w:lang w:val="en-US"/>
        </w:rPr>
        <w:t xml:space="preserve"> </w:t>
      </w:r>
      <w:r>
        <w:rPr>
          <w:b/>
          <w:lang w:val="en-US"/>
        </w:rPr>
        <w:t xml:space="preserve">can be considered </w:t>
      </w:r>
      <w:r w:rsidRPr="006D668E">
        <w:rPr>
          <w:b/>
          <w:lang w:val="en-US"/>
        </w:rPr>
        <w:t>an implementation option and would not require specific standards support.</w:t>
      </w:r>
    </w:p>
    <w:p w14:paraId="715C78A6" w14:textId="77777777" w:rsidR="00E917E6" w:rsidRPr="005B4AEC" w:rsidRDefault="00E917E6" w:rsidP="002171A3">
      <w:pPr>
        <w:jc w:val="both"/>
        <w:rPr>
          <w:b/>
          <w:lang w:val="en-US"/>
        </w:rPr>
      </w:pPr>
      <w:r w:rsidRPr="005B4AEC">
        <w:rPr>
          <w:b/>
          <w:lang w:val="en-US"/>
        </w:rPr>
        <w:t>Observation</w:t>
      </w:r>
      <w:r>
        <w:rPr>
          <w:b/>
          <w:lang w:val="en-US"/>
        </w:rPr>
        <w:t xml:space="preserve"> 2</w:t>
      </w:r>
      <w:r w:rsidRPr="005B4AEC">
        <w:rPr>
          <w:b/>
          <w:lang w:val="en-US"/>
        </w:rPr>
        <w:t xml:space="preserve">. To maintain network synchronization also with IAB deployment, and to align the </w:t>
      </w:r>
      <w:r>
        <w:rPr>
          <w:b/>
          <w:lang w:val="en-US"/>
        </w:rPr>
        <w:t xml:space="preserve">reception </w:t>
      </w:r>
      <w:r w:rsidRPr="005B4AEC">
        <w:rPr>
          <w:b/>
          <w:lang w:val="en-US"/>
        </w:rPr>
        <w:t xml:space="preserve">timing </w:t>
      </w:r>
      <w:r>
        <w:rPr>
          <w:b/>
          <w:lang w:val="en-US"/>
        </w:rPr>
        <w:t xml:space="preserve">of upstream IAB and </w:t>
      </w:r>
      <w:r w:rsidRPr="005B4AEC">
        <w:rPr>
          <w:b/>
          <w:lang w:val="en-US"/>
        </w:rPr>
        <w:t>access UE</w:t>
      </w:r>
      <w:r>
        <w:rPr>
          <w:b/>
          <w:lang w:val="en-US"/>
        </w:rPr>
        <w:t xml:space="preserve"> UL signals</w:t>
      </w:r>
      <w:r w:rsidRPr="005B4AEC">
        <w:rPr>
          <w:b/>
          <w:lang w:val="en-US"/>
        </w:rPr>
        <w:t xml:space="preserve">, IAB nodes </w:t>
      </w:r>
      <w:r>
        <w:rPr>
          <w:b/>
          <w:lang w:val="en-US"/>
        </w:rPr>
        <w:t xml:space="preserve">apply timing advance TA for upstream TX and </w:t>
      </w:r>
      <w:r w:rsidRPr="005B4AEC">
        <w:rPr>
          <w:b/>
          <w:lang w:val="en-US"/>
        </w:rPr>
        <w:t xml:space="preserve">TA/2 </w:t>
      </w:r>
      <w:r>
        <w:rPr>
          <w:b/>
          <w:lang w:val="en-US"/>
        </w:rPr>
        <w:t>for DL/downstream TX relative to the timing of the received downstream signal</w:t>
      </w:r>
      <w:r w:rsidRPr="005B4AEC">
        <w:rPr>
          <w:b/>
          <w:lang w:val="en-US"/>
        </w:rPr>
        <w:t>.</w:t>
      </w:r>
    </w:p>
    <w:p w14:paraId="619A8FE8" w14:textId="77777777" w:rsidR="00E917E6" w:rsidRPr="005B4AEC" w:rsidRDefault="00E917E6" w:rsidP="002171A3">
      <w:pPr>
        <w:jc w:val="both"/>
        <w:rPr>
          <w:b/>
          <w:lang w:val="en-US"/>
        </w:rPr>
      </w:pPr>
      <w:r w:rsidRPr="005B4AEC">
        <w:rPr>
          <w:b/>
          <w:lang w:val="en-US"/>
        </w:rPr>
        <w:t>Observation</w:t>
      </w:r>
      <w:r>
        <w:rPr>
          <w:b/>
          <w:lang w:val="en-US"/>
        </w:rPr>
        <w:t xml:space="preserve"> 3</w:t>
      </w:r>
      <w:r w:rsidRPr="005B4AEC">
        <w:rPr>
          <w:b/>
          <w:lang w:val="en-US"/>
        </w:rPr>
        <w:t xml:space="preserve">. </w:t>
      </w:r>
      <w:r>
        <w:rPr>
          <w:b/>
          <w:lang w:val="en-US"/>
        </w:rPr>
        <w:t>The RX timing on downstream and upstream BH links will be different when maintaining the network synchronization and alignment of UL signals</w:t>
      </w:r>
      <w:r w:rsidRPr="005B4AEC">
        <w:rPr>
          <w:b/>
          <w:lang w:val="en-US"/>
        </w:rPr>
        <w:t>.</w:t>
      </w:r>
    </w:p>
    <w:p w14:paraId="1E43219D" w14:textId="77777777" w:rsidR="00E917E6" w:rsidRPr="00C663A8" w:rsidRDefault="00E917E6" w:rsidP="002171A3">
      <w:pPr>
        <w:spacing w:after="120"/>
        <w:jc w:val="both"/>
        <w:rPr>
          <w:rFonts w:eastAsia="MS Mincho"/>
          <w:b/>
          <w:lang w:eastAsia="ja-JP"/>
        </w:rPr>
      </w:pPr>
      <w:r w:rsidRPr="00C663A8">
        <w:rPr>
          <w:rFonts w:eastAsia="MS Mincho"/>
          <w:b/>
          <w:lang w:eastAsia="ja-JP"/>
        </w:rPr>
        <w:t xml:space="preserve">Observation 4. </w:t>
      </w:r>
      <w:r>
        <w:rPr>
          <w:rFonts w:eastAsia="MS Mincho"/>
          <w:b/>
          <w:lang w:eastAsia="ja-JP"/>
        </w:rPr>
        <w:t xml:space="preserve">Estimated timing errors are </w:t>
      </w:r>
      <w:r w:rsidRPr="00C663A8">
        <w:rPr>
          <w:rFonts w:eastAsia="MS Mincho"/>
          <w:b/>
          <w:lang w:eastAsia="ja-JP"/>
        </w:rPr>
        <w:t>shorter than the requirement for the cell phase synchronization accuracy.</w:t>
      </w:r>
    </w:p>
    <w:p w14:paraId="10E5DD1D" w14:textId="66202A44" w:rsidR="00E917E6" w:rsidRDefault="00E917E6" w:rsidP="002171A3">
      <w:pPr>
        <w:spacing w:after="120"/>
        <w:jc w:val="both"/>
        <w:rPr>
          <w:rFonts w:eastAsia="MS Mincho"/>
          <w:b/>
          <w:lang w:eastAsia="ja-JP"/>
        </w:rPr>
      </w:pPr>
      <w:r w:rsidRPr="0060041E">
        <w:rPr>
          <w:rFonts w:eastAsia="MS Mincho"/>
          <w:b/>
          <w:lang w:eastAsia="ja-JP"/>
        </w:rPr>
        <w:t>Observation 5. TA based synchronization can support also multi-hop topologies in the anticipated IAB use cases and scenarios.</w:t>
      </w:r>
    </w:p>
    <w:p w14:paraId="7B025F45" w14:textId="77777777" w:rsidR="00E917E6" w:rsidRPr="0060041E" w:rsidRDefault="00E917E6" w:rsidP="002171A3">
      <w:pPr>
        <w:spacing w:after="120"/>
        <w:jc w:val="both"/>
        <w:rPr>
          <w:rFonts w:eastAsia="MS Mincho"/>
          <w:b/>
          <w:lang w:eastAsia="ja-JP"/>
        </w:rPr>
      </w:pPr>
    </w:p>
    <w:p w14:paraId="367C6052" w14:textId="77777777" w:rsidR="00E917E6" w:rsidRPr="006D668E" w:rsidRDefault="00E917E6" w:rsidP="002171A3">
      <w:pPr>
        <w:spacing w:after="240"/>
        <w:jc w:val="both"/>
        <w:rPr>
          <w:b/>
          <w:lang w:val="en-US"/>
        </w:rPr>
      </w:pPr>
      <w:r w:rsidRPr="006D668E">
        <w:rPr>
          <w:b/>
          <w:lang w:val="en-US"/>
        </w:rPr>
        <w:t>Proposal 1. Usage of GNSS based IAB synchronization can be left for implementation</w:t>
      </w:r>
      <w:r>
        <w:rPr>
          <w:b/>
          <w:lang w:val="en-US"/>
        </w:rPr>
        <w:t>.</w:t>
      </w:r>
    </w:p>
    <w:p w14:paraId="5C87F072" w14:textId="77777777" w:rsidR="00E917E6" w:rsidRPr="00022DCB" w:rsidRDefault="00E917E6" w:rsidP="002171A3">
      <w:pPr>
        <w:spacing w:after="120"/>
        <w:jc w:val="both"/>
        <w:rPr>
          <w:b/>
          <w:lang w:val="en-US"/>
        </w:rPr>
      </w:pPr>
      <w:r w:rsidRPr="00022DCB">
        <w:rPr>
          <w:b/>
          <w:lang w:val="en-US"/>
        </w:rPr>
        <w:lastRenderedPageBreak/>
        <w:t>Proposal 2. OTA based synchronization methods are beyond the scope of RAN1 and can be left out of RAN1 discussion.</w:t>
      </w:r>
    </w:p>
    <w:p w14:paraId="5D606053" w14:textId="555C323C" w:rsidR="00E917E6" w:rsidRPr="00552309" w:rsidRDefault="00E917E6" w:rsidP="002171A3">
      <w:pPr>
        <w:spacing w:after="120"/>
        <w:jc w:val="both"/>
        <w:rPr>
          <w:rFonts w:eastAsia="MS Mincho"/>
          <w:b/>
          <w:lang w:eastAsia="ja-JP"/>
        </w:rPr>
      </w:pPr>
      <w:r w:rsidRPr="00552309">
        <w:rPr>
          <w:rFonts w:eastAsia="MS Mincho"/>
          <w:b/>
          <w:lang w:eastAsia="ja-JP"/>
        </w:rPr>
        <w:t>Proposal 3.</w:t>
      </w:r>
      <w:r>
        <w:rPr>
          <w:rFonts w:eastAsia="MS Mincho"/>
          <w:b/>
          <w:lang w:eastAsia="ja-JP"/>
        </w:rPr>
        <w:t xml:space="preserve"> TA based synchronization can be taken as basis for IAB synchronization supporting also multi-hop scenarios</w:t>
      </w:r>
      <w:r w:rsidRPr="00552309">
        <w:rPr>
          <w:rFonts w:eastAsia="MS Mincho"/>
          <w:b/>
          <w:lang w:eastAsia="ja-JP"/>
        </w:rPr>
        <w:t>.</w:t>
      </w:r>
    </w:p>
    <w:p w14:paraId="0E08B4BA" w14:textId="38304AB9" w:rsidR="005E7117" w:rsidRDefault="005E7117" w:rsidP="006060C2">
      <w:pPr>
        <w:spacing w:after="120"/>
        <w:jc w:val="both"/>
        <w:rPr>
          <w:lang w:val="en-US"/>
        </w:rPr>
      </w:pPr>
    </w:p>
    <w:p w14:paraId="76E67726" w14:textId="77777777" w:rsidR="00D7787C" w:rsidRPr="00724DF5" w:rsidRDefault="00D7787C" w:rsidP="00A2190A">
      <w:pPr>
        <w:spacing w:after="120"/>
        <w:jc w:val="both"/>
        <w:rPr>
          <w:bCs/>
          <w:i/>
        </w:rPr>
      </w:pPr>
    </w:p>
    <w:p w14:paraId="2F0729C1" w14:textId="4F54E886" w:rsidR="0034111C" w:rsidRPr="00A51522" w:rsidRDefault="007825F0" w:rsidP="007825F0">
      <w:pPr>
        <w:pStyle w:val="Heading1"/>
      </w:pPr>
      <w:r w:rsidRPr="00A51522">
        <w:t xml:space="preserve"> </w:t>
      </w:r>
      <w:r w:rsidR="0034111C" w:rsidRPr="00A51522">
        <w:t>References</w:t>
      </w:r>
      <w:r w:rsidR="00A2459D" w:rsidRPr="00A51522">
        <w:t xml:space="preserve"> </w:t>
      </w:r>
    </w:p>
    <w:p w14:paraId="40D99FF0" w14:textId="741D720E" w:rsidR="00055676" w:rsidRDefault="00AC276B" w:rsidP="00AC276B">
      <w:pPr>
        <w:numPr>
          <w:ilvl w:val="0"/>
          <w:numId w:val="1"/>
        </w:numPr>
        <w:rPr>
          <w:sz w:val="18"/>
        </w:rPr>
      </w:pPr>
      <w:r w:rsidRPr="00AC276B">
        <w:rPr>
          <w:sz w:val="18"/>
          <w:lang w:eastAsia="zh-CN"/>
        </w:rPr>
        <w:t>RP-170821</w:t>
      </w:r>
      <w:r w:rsidR="00055676" w:rsidRPr="00013455">
        <w:rPr>
          <w:sz w:val="18"/>
          <w:lang w:eastAsia="zh-CN"/>
        </w:rPr>
        <w:t xml:space="preserve">, </w:t>
      </w:r>
      <w:r w:rsidR="00D060FF" w:rsidRPr="00013455">
        <w:rPr>
          <w:sz w:val="18"/>
          <w:lang w:eastAsia="zh-CN"/>
        </w:rPr>
        <w:t>“</w:t>
      </w:r>
      <w:r w:rsidRPr="00AC276B">
        <w:rPr>
          <w:i/>
          <w:sz w:val="18"/>
          <w:lang w:eastAsia="zh-CN"/>
        </w:rPr>
        <w:t>Study on Integrated Access and Backhaul for NR</w:t>
      </w:r>
      <w:r w:rsidR="00D060FF" w:rsidRPr="00013455">
        <w:rPr>
          <w:sz w:val="18"/>
          <w:lang w:eastAsia="zh-CN"/>
        </w:rPr>
        <w:t>”</w:t>
      </w:r>
      <w:r w:rsidR="00055676" w:rsidRPr="00013455">
        <w:rPr>
          <w:sz w:val="18"/>
          <w:lang w:eastAsia="zh-CN"/>
        </w:rPr>
        <w:t xml:space="preserve">, </w:t>
      </w:r>
      <w:r>
        <w:rPr>
          <w:sz w:val="18"/>
          <w:lang w:eastAsia="zh-CN"/>
        </w:rPr>
        <w:t>AT&amp;T, Qualcomm, Samsung</w:t>
      </w:r>
    </w:p>
    <w:p w14:paraId="28AD6F49" w14:textId="4F81D58B" w:rsidR="00FD254A" w:rsidRDefault="00FD254A" w:rsidP="00FD254A">
      <w:pPr>
        <w:numPr>
          <w:ilvl w:val="0"/>
          <w:numId w:val="1"/>
        </w:numPr>
        <w:rPr>
          <w:sz w:val="18"/>
        </w:rPr>
      </w:pPr>
      <w:bookmarkStart w:id="3" w:name="_Ref510514008"/>
      <w:r>
        <w:rPr>
          <w:sz w:val="18"/>
          <w:lang w:eastAsia="zh-CN"/>
        </w:rPr>
        <w:t>TS 36.898, “</w:t>
      </w:r>
      <w:r w:rsidRPr="00FD254A">
        <w:rPr>
          <w:i/>
          <w:sz w:val="18"/>
          <w:lang w:eastAsia="zh-CN"/>
        </w:rPr>
        <w:t>Network Assistance for Network Synchronization</w:t>
      </w:r>
      <w:r>
        <w:rPr>
          <w:sz w:val="18"/>
          <w:lang w:eastAsia="zh-CN"/>
        </w:rPr>
        <w:t>”</w:t>
      </w:r>
      <w:bookmarkEnd w:id="3"/>
    </w:p>
    <w:p w14:paraId="5798A543" w14:textId="70705E3D" w:rsidR="0003163F" w:rsidRDefault="0003163F" w:rsidP="0003163F">
      <w:pPr>
        <w:numPr>
          <w:ilvl w:val="0"/>
          <w:numId w:val="1"/>
        </w:numPr>
        <w:rPr>
          <w:sz w:val="18"/>
        </w:rPr>
      </w:pPr>
      <w:bookmarkStart w:id="4" w:name="_Ref510007790"/>
      <w:r w:rsidRPr="0003163F">
        <w:rPr>
          <w:sz w:val="18"/>
        </w:rPr>
        <w:t>TS 38.133</w:t>
      </w:r>
      <w:r>
        <w:rPr>
          <w:sz w:val="18"/>
        </w:rPr>
        <w:t>, “</w:t>
      </w:r>
      <w:r w:rsidRPr="0003163F">
        <w:rPr>
          <w:i/>
          <w:sz w:val="18"/>
        </w:rPr>
        <w:t>Requirements for support of radio resource management</w:t>
      </w:r>
      <w:r>
        <w:rPr>
          <w:sz w:val="18"/>
        </w:rPr>
        <w:t>”</w:t>
      </w:r>
      <w:bookmarkEnd w:id="4"/>
    </w:p>
    <w:p w14:paraId="21DC4B6A" w14:textId="34CA2CB5" w:rsidR="00BE41EC" w:rsidRPr="0003163F" w:rsidRDefault="00BE41EC" w:rsidP="0003163F">
      <w:pPr>
        <w:numPr>
          <w:ilvl w:val="0"/>
          <w:numId w:val="1"/>
        </w:numPr>
        <w:rPr>
          <w:sz w:val="18"/>
        </w:rPr>
      </w:pPr>
      <w:bookmarkStart w:id="5" w:name="_Ref510082082"/>
      <w:r>
        <w:rPr>
          <w:sz w:val="18"/>
        </w:rPr>
        <w:t>R1-1803554 TS 38.213, “</w:t>
      </w:r>
      <w:r w:rsidRPr="00216B2E">
        <w:rPr>
          <w:i/>
          <w:sz w:val="18"/>
        </w:rPr>
        <w:t>Physical layer procedures for control</w:t>
      </w:r>
      <w:r>
        <w:rPr>
          <w:sz w:val="18"/>
        </w:rPr>
        <w:t>”</w:t>
      </w:r>
      <w:bookmarkEnd w:id="5"/>
    </w:p>
    <w:p w14:paraId="288354F3" w14:textId="127F9CE0" w:rsidR="00205F67" w:rsidRPr="0087238A" w:rsidRDefault="00205F67" w:rsidP="00FD254A">
      <w:pPr>
        <w:pStyle w:val="references"/>
        <w:numPr>
          <w:ilvl w:val="0"/>
          <w:numId w:val="0"/>
        </w:numPr>
        <w:autoSpaceDE w:val="0"/>
        <w:autoSpaceDN w:val="0"/>
        <w:adjustRightInd w:val="0"/>
        <w:rPr>
          <w:sz w:val="18"/>
          <w:szCs w:val="18"/>
          <w:lang w:val="en-GB"/>
        </w:rPr>
      </w:pPr>
    </w:p>
    <w:sectPr w:rsidR="00205F67" w:rsidRPr="0087238A" w:rsidSect="000131D1">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5C7C5" w14:textId="77777777" w:rsidR="00A3232C" w:rsidRDefault="00A3232C">
      <w:r>
        <w:separator/>
      </w:r>
    </w:p>
  </w:endnote>
  <w:endnote w:type="continuationSeparator" w:id="0">
    <w:p w14:paraId="17C3849D" w14:textId="77777777" w:rsidR="00A3232C" w:rsidRDefault="00A3232C">
      <w:r>
        <w:continuationSeparator/>
      </w:r>
    </w:p>
  </w:endnote>
  <w:endnote w:type="continuationNotice" w:id="1">
    <w:p w14:paraId="5801050D" w14:textId="77777777" w:rsidR="00A3232C" w:rsidRDefault="00A323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696DF" w14:textId="77777777" w:rsidR="002171A3" w:rsidRDefault="002171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1D5A6" w14:textId="6725D299" w:rsidR="002171A3" w:rsidRDefault="002171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03D18" w14:textId="77777777" w:rsidR="002171A3" w:rsidRDefault="002171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64BA3" w14:textId="77777777" w:rsidR="00A3232C" w:rsidRDefault="00A3232C">
      <w:r>
        <w:separator/>
      </w:r>
    </w:p>
  </w:footnote>
  <w:footnote w:type="continuationSeparator" w:id="0">
    <w:p w14:paraId="12119271" w14:textId="77777777" w:rsidR="00A3232C" w:rsidRDefault="00A3232C">
      <w:r>
        <w:continuationSeparator/>
      </w:r>
    </w:p>
  </w:footnote>
  <w:footnote w:type="continuationNotice" w:id="1">
    <w:p w14:paraId="70F10F70" w14:textId="77777777" w:rsidR="00A3232C" w:rsidRDefault="00A323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7C998" w14:textId="77777777" w:rsidR="002171A3" w:rsidRDefault="002171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CF031" w14:textId="77777777" w:rsidR="002171A3" w:rsidRDefault="002171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4C999" w14:textId="77777777" w:rsidR="002171A3" w:rsidRDefault="002171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4A34AF9"/>
    <w:multiLevelType w:val="hybridMultilevel"/>
    <w:tmpl w:val="8B16718A"/>
    <w:lvl w:ilvl="0" w:tplc="8F0C5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2" w15:restartNumberingAfterBreak="0">
    <w:nsid w:val="30FD17B5"/>
    <w:multiLevelType w:val="hybridMultilevel"/>
    <w:tmpl w:val="8130AD08"/>
    <w:lvl w:ilvl="0" w:tplc="9D44A46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1"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22"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6"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5"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36" w15:restartNumberingAfterBreak="0">
    <w:nsid w:val="6AE10B18"/>
    <w:multiLevelType w:val="hybridMultilevel"/>
    <w:tmpl w:val="2AC64B46"/>
    <w:lvl w:ilvl="0" w:tplc="2DE87A4C">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4"/>
  </w:num>
  <w:num w:numId="2">
    <w:abstractNumId w:val="30"/>
  </w:num>
  <w:num w:numId="3">
    <w:abstractNumId w:val="4"/>
  </w:num>
  <w:num w:numId="4">
    <w:abstractNumId w:val="29"/>
  </w:num>
  <w:num w:numId="5">
    <w:abstractNumId w:val="19"/>
  </w:num>
  <w:num w:numId="6">
    <w:abstractNumId w:val="37"/>
  </w:num>
  <w:num w:numId="7">
    <w:abstractNumId w:val="1"/>
  </w:num>
  <w:num w:numId="8">
    <w:abstractNumId w:val="21"/>
  </w:num>
  <w:num w:numId="9">
    <w:abstractNumId w:val="24"/>
  </w:num>
  <w:num w:numId="10">
    <w:abstractNumId w:val="5"/>
  </w:num>
  <w:num w:numId="11">
    <w:abstractNumId w:val="22"/>
  </w:num>
  <w:num w:numId="12">
    <w:abstractNumId w:val="17"/>
  </w:num>
  <w:num w:numId="13">
    <w:abstractNumId w:val="18"/>
  </w:num>
  <w:num w:numId="14">
    <w:abstractNumId w:val="25"/>
  </w:num>
  <w:num w:numId="15">
    <w:abstractNumId w:val="13"/>
  </w:num>
  <w:num w:numId="16">
    <w:abstractNumId w:val="7"/>
  </w:num>
  <w:num w:numId="17">
    <w:abstractNumId w:val="27"/>
  </w:num>
  <w:num w:numId="18">
    <w:abstractNumId w:val="32"/>
  </w:num>
  <w:num w:numId="19">
    <w:abstractNumId w:val="23"/>
  </w:num>
  <w:num w:numId="20">
    <w:abstractNumId w:val="28"/>
  </w:num>
  <w:num w:numId="21">
    <w:abstractNumId w:val="26"/>
  </w:num>
  <w:num w:numId="22">
    <w:abstractNumId w:val="15"/>
  </w:num>
  <w:num w:numId="23">
    <w:abstractNumId w:val="35"/>
  </w:num>
  <w:num w:numId="24">
    <w:abstractNumId w:val="20"/>
  </w:num>
  <w:num w:numId="25">
    <w:abstractNumId w:val="11"/>
  </w:num>
  <w:num w:numId="26">
    <w:abstractNumId w:val="33"/>
  </w:num>
  <w:num w:numId="27">
    <w:abstractNumId w:val="6"/>
  </w:num>
  <w:num w:numId="28">
    <w:abstractNumId w:val="16"/>
  </w:num>
  <w:num w:numId="29">
    <w:abstractNumId w:val="38"/>
  </w:num>
  <w:num w:numId="30">
    <w:abstractNumId w:val="31"/>
  </w:num>
  <w:num w:numId="31">
    <w:abstractNumId w:val="3"/>
  </w:num>
  <w:num w:numId="32">
    <w:abstractNumId w:val="34"/>
  </w:num>
  <w:num w:numId="33">
    <w:abstractNumId w:val="2"/>
  </w:num>
  <w:num w:numId="34">
    <w:abstractNumId w:val="10"/>
  </w:num>
  <w:num w:numId="35">
    <w:abstractNumId w:val="9"/>
  </w:num>
  <w:num w:numId="36">
    <w:abstractNumId w:val="0"/>
  </w:num>
  <w:num w:numId="37">
    <w:abstractNumId w:val="8"/>
  </w:num>
  <w:num w:numId="38">
    <w:abstractNumId w:val="12"/>
  </w:num>
  <w:num w:numId="39">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FA9"/>
    <w:rsid w:val="000021F9"/>
    <w:rsid w:val="00004AC8"/>
    <w:rsid w:val="00006055"/>
    <w:rsid w:val="00006AD4"/>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5BE"/>
    <w:rsid w:val="00021662"/>
    <w:rsid w:val="00022DCB"/>
    <w:rsid w:val="00023742"/>
    <w:rsid w:val="00024AEF"/>
    <w:rsid w:val="00026C65"/>
    <w:rsid w:val="00027755"/>
    <w:rsid w:val="000277A9"/>
    <w:rsid w:val="00030048"/>
    <w:rsid w:val="0003072D"/>
    <w:rsid w:val="000314CD"/>
    <w:rsid w:val="0003163F"/>
    <w:rsid w:val="000317E7"/>
    <w:rsid w:val="00032D37"/>
    <w:rsid w:val="00033544"/>
    <w:rsid w:val="0003479E"/>
    <w:rsid w:val="0003484F"/>
    <w:rsid w:val="00035691"/>
    <w:rsid w:val="00035AE0"/>
    <w:rsid w:val="0004132D"/>
    <w:rsid w:val="00041358"/>
    <w:rsid w:val="000425C9"/>
    <w:rsid w:val="00044CFA"/>
    <w:rsid w:val="000459C7"/>
    <w:rsid w:val="00046630"/>
    <w:rsid w:val="00046C80"/>
    <w:rsid w:val="00046DD1"/>
    <w:rsid w:val="000479CE"/>
    <w:rsid w:val="00047FFA"/>
    <w:rsid w:val="00050112"/>
    <w:rsid w:val="00050466"/>
    <w:rsid w:val="000505CC"/>
    <w:rsid w:val="000511F9"/>
    <w:rsid w:val="0005151E"/>
    <w:rsid w:val="0005230E"/>
    <w:rsid w:val="00052850"/>
    <w:rsid w:val="000528A2"/>
    <w:rsid w:val="00052BBA"/>
    <w:rsid w:val="00054B59"/>
    <w:rsid w:val="00054D9D"/>
    <w:rsid w:val="00055676"/>
    <w:rsid w:val="00056544"/>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5FDA"/>
    <w:rsid w:val="00076386"/>
    <w:rsid w:val="00076D82"/>
    <w:rsid w:val="00077655"/>
    <w:rsid w:val="00080284"/>
    <w:rsid w:val="00081EC2"/>
    <w:rsid w:val="000823FE"/>
    <w:rsid w:val="000825E2"/>
    <w:rsid w:val="00082B41"/>
    <w:rsid w:val="00083800"/>
    <w:rsid w:val="00084A65"/>
    <w:rsid w:val="00085090"/>
    <w:rsid w:val="00086572"/>
    <w:rsid w:val="00090EDD"/>
    <w:rsid w:val="00091A92"/>
    <w:rsid w:val="00093C49"/>
    <w:rsid w:val="00095A80"/>
    <w:rsid w:val="000973C8"/>
    <w:rsid w:val="000973E1"/>
    <w:rsid w:val="0009774C"/>
    <w:rsid w:val="000A1402"/>
    <w:rsid w:val="000A20BA"/>
    <w:rsid w:val="000A262C"/>
    <w:rsid w:val="000A38C0"/>
    <w:rsid w:val="000A3C8D"/>
    <w:rsid w:val="000A40EA"/>
    <w:rsid w:val="000A40EC"/>
    <w:rsid w:val="000A54EE"/>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7043"/>
    <w:rsid w:val="000C1D59"/>
    <w:rsid w:val="000C347C"/>
    <w:rsid w:val="000C4AEB"/>
    <w:rsid w:val="000C501D"/>
    <w:rsid w:val="000C74BA"/>
    <w:rsid w:val="000C7531"/>
    <w:rsid w:val="000C7C3F"/>
    <w:rsid w:val="000D0BD6"/>
    <w:rsid w:val="000D0C61"/>
    <w:rsid w:val="000D27AD"/>
    <w:rsid w:val="000D29D1"/>
    <w:rsid w:val="000D2B0A"/>
    <w:rsid w:val="000D3286"/>
    <w:rsid w:val="000D344D"/>
    <w:rsid w:val="000D40E7"/>
    <w:rsid w:val="000D584F"/>
    <w:rsid w:val="000D6DCC"/>
    <w:rsid w:val="000D794A"/>
    <w:rsid w:val="000E071E"/>
    <w:rsid w:val="000E27AA"/>
    <w:rsid w:val="000E337A"/>
    <w:rsid w:val="000E3456"/>
    <w:rsid w:val="000E4350"/>
    <w:rsid w:val="000E4408"/>
    <w:rsid w:val="000E5716"/>
    <w:rsid w:val="000E75EA"/>
    <w:rsid w:val="000E7A79"/>
    <w:rsid w:val="000F0E97"/>
    <w:rsid w:val="000F15B2"/>
    <w:rsid w:val="000F19DE"/>
    <w:rsid w:val="000F2E1F"/>
    <w:rsid w:val="000F37B0"/>
    <w:rsid w:val="000F4389"/>
    <w:rsid w:val="000F4595"/>
    <w:rsid w:val="000F45EC"/>
    <w:rsid w:val="000F46C5"/>
    <w:rsid w:val="000F4CB2"/>
    <w:rsid w:val="000F568D"/>
    <w:rsid w:val="000F6351"/>
    <w:rsid w:val="000F67CF"/>
    <w:rsid w:val="00101C4F"/>
    <w:rsid w:val="00102C9F"/>
    <w:rsid w:val="001036C8"/>
    <w:rsid w:val="001068D2"/>
    <w:rsid w:val="001103BD"/>
    <w:rsid w:val="00111208"/>
    <w:rsid w:val="00111808"/>
    <w:rsid w:val="0011339F"/>
    <w:rsid w:val="00114E96"/>
    <w:rsid w:val="00115828"/>
    <w:rsid w:val="0011644A"/>
    <w:rsid w:val="00117332"/>
    <w:rsid w:val="001204DD"/>
    <w:rsid w:val="00121D83"/>
    <w:rsid w:val="00122839"/>
    <w:rsid w:val="001237AC"/>
    <w:rsid w:val="00123FC0"/>
    <w:rsid w:val="00124665"/>
    <w:rsid w:val="00124DAF"/>
    <w:rsid w:val="00124E12"/>
    <w:rsid w:val="0012673D"/>
    <w:rsid w:val="001269B8"/>
    <w:rsid w:val="00127099"/>
    <w:rsid w:val="00132B71"/>
    <w:rsid w:val="0013427A"/>
    <w:rsid w:val="001362C2"/>
    <w:rsid w:val="001364DB"/>
    <w:rsid w:val="00136955"/>
    <w:rsid w:val="00136E19"/>
    <w:rsid w:val="001371B2"/>
    <w:rsid w:val="00137873"/>
    <w:rsid w:val="00137D78"/>
    <w:rsid w:val="001409A0"/>
    <w:rsid w:val="00141125"/>
    <w:rsid w:val="00141F08"/>
    <w:rsid w:val="00141FF2"/>
    <w:rsid w:val="00142026"/>
    <w:rsid w:val="0014287A"/>
    <w:rsid w:val="00142DE2"/>
    <w:rsid w:val="00144C87"/>
    <w:rsid w:val="001467B1"/>
    <w:rsid w:val="00150175"/>
    <w:rsid w:val="001502C8"/>
    <w:rsid w:val="0015130F"/>
    <w:rsid w:val="00151892"/>
    <w:rsid w:val="001540E4"/>
    <w:rsid w:val="00155464"/>
    <w:rsid w:val="00155BFD"/>
    <w:rsid w:val="00157390"/>
    <w:rsid w:val="00160998"/>
    <w:rsid w:val="00160CD6"/>
    <w:rsid w:val="0016316A"/>
    <w:rsid w:val="00164171"/>
    <w:rsid w:val="00164DC9"/>
    <w:rsid w:val="00164E58"/>
    <w:rsid w:val="00165033"/>
    <w:rsid w:val="00165B18"/>
    <w:rsid w:val="001670EA"/>
    <w:rsid w:val="001674A0"/>
    <w:rsid w:val="00170205"/>
    <w:rsid w:val="00170A50"/>
    <w:rsid w:val="0017157A"/>
    <w:rsid w:val="00171F0C"/>
    <w:rsid w:val="00174FFD"/>
    <w:rsid w:val="001759CA"/>
    <w:rsid w:val="00176E51"/>
    <w:rsid w:val="0017726A"/>
    <w:rsid w:val="00177B88"/>
    <w:rsid w:val="00177DD3"/>
    <w:rsid w:val="00180278"/>
    <w:rsid w:val="001818A7"/>
    <w:rsid w:val="00182725"/>
    <w:rsid w:val="001829C8"/>
    <w:rsid w:val="00182CA0"/>
    <w:rsid w:val="00183FB0"/>
    <w:rsid w:val="00184098"/>
    <w:rsid w:val="00185D8A"/>
    <w:rsid w:val="00186904"/>
    <w:rsid w:val="00186B0A"/>
    <w:rsid w:val="001905BD"/>
    <w:rsid w:val="00190946"/>
    <w:rsid w:val="001925BD"/>
    <w:rsid w:val="00192699"/>
    <w:rsid w:val="00192FE6"/>
    <w:rsid w:val="00193451"/>
    <w:rsid w:val="00193986"/>
    <w:rsid w:val="00193B08"/>
    <w:rsid w:val="0019435C"/>
    <w:rsid w:val="00194570"/>
    <w:rsid w:val="00196BF4"/>
    <w:rsid w:val="001972DA"/>
    <w:rsid w:val="001976AA"/>
    <w:rsid w:val="001A02F6"/>
    <w:rsid w:val="001A15C6"/>
    <w:rsid w:val="001A5E19"/>
    <w:rsid w:val="001B01FA"/>
    <w:rsid w:val="001B0832"/>
    <w:rsid w:val="001B10F3"/>
    <w:rsid w:val="001B18A7"/>
    <w:rsid w:val="001B1D02"/>
    <w:rsid w:val="001B25D9"/>
    <w:rsid w:val="001B2762"/>
    <w:rsid w:val="001B36FC"/>
    <w:rsid w:val="001B41ED"/>
    <w:rsid w:val="001B4607"/>
    <w:rsid w:val="001B4F86"/>
    <w:rsid w:val="001B69CA"/>
    <w:rsid w:val="001B7E0C"/>
    <w:rsid w:val="001C0674"/>
    <w:rsid w:val="001C18A9"/>
    <w:rsid w:val="001C226F"/>
    <w:rsid w:val="001C4130"/>
    <w:rsid w:val="001C52F3"/>
    <w:rsid w:val="001C66AC"/>
    <w:rsid w:val="001C6754"/>
    <w:rsid w:val="001C77F0"/>
    <w:rsid w:val="001C7A39"/>
    <w:rsid w:val="001D1B8A"/>
    <w:rsid w:val="001D2304"/>
    <w:rsid w:val="001D2B7D"/>
    <w:rsid w:val="001D46A0"/>
    <w:rsid w:val="001D4E22"/>
    <w:rsid w:val="001D5FB0"/>
    <w:rsid w:val="001D689E"/>
    <w:rsid w:val="001D7CA4"/>
    <w:rsid w:val="001D7E58"/>
    <w:rsid w:val="001E1791"/>
    <w:rsid w:val="001E30A0"/>
    <w:rsid w:val="001E3F75"/>
    <w:rsid w:val="001E4D4F"/>
    <w:rsid w:val="001E57CF"/>
    <w:rsid w:val="001E5981"/>
    <w:rsid w:val="001E74BA"/>
    <w:rsid w:val="001E7B9F"/>
    <w:rsid w:val="001F01FB"/>
    <w:rsid w:val="001F0658"/>
    <w:rsid w:val="001F0E92"/>
    <w:rsid w:val="001F1306"/>
    <w:rsid w:val="001F1987"/>
    <w:rsid w:val="001F23BD"/>
    <w:rsid w:val="001F34DA"/>
    <w:rsid w:val="001F4DAC"/>
    <w:rsid w:val="001F5019"/>
    <w:rsid w:val="001F53CA"/>
    <w:rsid w:val="001F650F"/>
    <w:rsid w:val="001F67AA"/>
    <w:rsid w:val="001F7599"/>
    <w:rsid w:val="00204B3A"/>
    <w:rsid w:val="00204E26"/>
    <w:rsid w:val="0020535A"/>
    <w:rsid w:val="00205F67"/>
    <w:rsid w:val="00206955"/>
    <w:rsid w:val="00210309"/>
    <w:rsid w:val="00212FB8"/>
    <w:rsid w:val="00213709"/>
    <w:rsid w:val="002149AF"/>
    <w:rsid w:val="00214A86"/>
    <w:rsid w:val="00215664"/>
    <w:rsid w:val="00215AAA"/>
    <w:rsid w:val="0021683C"/>
    <w:rsid w:val="00216B2E"/>
    <w:rsid w:val="002171A3"/>
    <w:rsid w:val="0022170C"/>
    <w:rsid w:val="00221985"/>
    <w:rsid w:val="00221EC5"/>
    <w:rsid w:val="00222A7A"/>
    <w:rsid w:val="00223C69"/>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500"/>
    <w:rsid w:val="00233938"/>
    <w:rsid w:val="00233D0E"/>
    <w:rsid w:val="00236450"/>
    <w:rsid w:val="0023765A"/>
    <w:rsid w:val="00237921"/>
    <w:rsid w:val="00241311"/>
    <w:rsid w:val="00242E22"/>
    <w:rsid w:val="0024336B"/>
    <w:rsid w:val="0024424F"/>
    <w:rsid w:val="00244D28"/>
    <w:rsid w:val="00245720"/>
    <w:rsid w:val="00245A6F"/>
    <w:rsid w:val="00245FD5"/>
    <w:rsid w:val="002465E4"/>
    <w:rsid w:val="00246C0C"/>
    <w:rsid w:val="002477DF"/>
    <w:rsid w:val="00250726"/>
    <w:rsid w:val="0025074A"/>
    <w:rsid w:val="00251AD6"/>
    <w:rsid w:val="00252BBC"/>
    <w:rsid w:val="00252C17"/>
    <w:rsid w:val="0025307F"/>
    <w:rsid w:val="002551BD"/>
    <w:rsid w:val="002568D0"/>
    <w:rsid w:val="00257FFB"/>
    <w:rsid w:val="0026198E"/>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86A43"/>
    <w:rsid w:val="00290CDD"/>
    <w:rsid w:val="0029136E"/>
    <w:rsid w:val="00292399"/>
    <w:rsid w:val="002935DC"/>
    <w:rsid w:val="00294445"/>
    <w:rsid w:val="00294B4D"/>
    <w:rsid w:val="00294E53"/>
    <w:rsid w:val="002960D5"/>
    <w:rsid w:val="00296371"/>
    <w:rsid w:val="0029687F"/>
    <w:rsid w:val="002A1062"/>
    <w:rsid w:val="002A2012"/>
    <w:rsid w:val="002A2413"/>
    <w:rsid w:val="002A2F5E"/>
    <w:rsid w:val="002A352A"/>
    <w:rsid w:val="002A607D"/>
    <w:rsid w:val="002A7D9C"/>
    <w:rsid w:val="002B132E"/>
    <w:rsid w:val="002B2813"/>
    <w:rsid w:val="002B2D29"/>
    <w:rsid w:val="002B3B5A"/>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28E8"/>
    <w:rsid w:val="002D365F"/>
    <w:rsid w:val="002D406E"/>
    <w:rsid w:val="002D4FA1"/>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4DA6"/>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A18"/>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7163"/>
    <w:rsid w:val="00327305"/>
    <w:rsid w:val="00327531"/>
    <w:rsid w:val="00330187"/>
    <w:rsid w:val="00330D47"/>
    <w:rsid w:val="00331C77"/>
    <w:rsid w:val="00331DB6"/>
    <w:rsid w:val="00331F96"/>
    <w:rsid w:val="00332B55"/>
    <w:rsid w:val="00335EA8"/>
    <w:rsid w:val="003363DD"/>
    <w:rsid w:val="00340361"/>
    <w:rsid w:val="00340795"/>
    <w:rsid w:val="00340D5F"/>
    <w:rsid w:val="0034111C"/>
    <w:rsid w:val="00341E60"/>
    <w:rsid w:val="0034217F"/>
    <w:rsid w:val="00342AD2"/>
    <w:rsid w:val="00343954"/>
    <w:rsid w:val="00345405"/>
    <w:rsid w:val="00345612"/>
    <w:rsid w:val="00345DDD"/>
    <w:rsid w:val="00346FED"/>
    <w:rsid w:val="0035007F"/>
    <w:rsid w:val="00351E01"/>
    <w:rsid w:val="0035274C"/>
    <w:rsid w:val="00352D21"/>
    <w:rsid w:val="0035443D"/>
    <w:rsid w:val="00354FEE"/>
    <w:rsid w:val="0035536A"/>
    <w:rsid w:val="00356275"/>
    <w:rsid w:val="003569B7"/>
    <w:rsid w:val="00356B54"/>
    <w:rsid w:val="00356C0B"/>
    <w:rsid w:val="00357B9C"/>
    <w:rsid w:val="00361412"/>
    <w:rsid w:val="003615CA"/>
    <w:rsid w:val="00363346"/>
    <w:rsid w:val="003642A6"/>
    <w:rsid w:val="00364853"/>
    <w:rsid w:val="00367337"/>
    <w:rsid w:val="00367367"/>
    <w:rsid w:val="00367FD8"/>
    <w:rsid w:val="00370B63"/>
    <w:rsid w:val="00370FCC"/>
    <w:rsid w:val="003711AF"/>
    <w:rsid w:val="00371364"/>
    <w:rsid w:val="003733E5"/>
    <w:rsid w:val="00374848"/>
    <w:rsid w:val="003757B7"/>
    <w:rsid w:val="00375D09"/>
    <w:rsid w:val="0037739D"/>
    <w:rsid w:val="0037751C"/>
    <w:rsid w:val="00380F3F"/>
    <w:rsid w:val="00382232"/>
    <w:rsid w:val="00382F1A"/>
    <w:rsid w:val="00383282"/>
    <w:rsid w:val="00383658"/>
    <w:rsid w:val="0038412E"/>
    <w:rsid w:val="00386053"/>
    <w:rsid w:val="0038771D"/>
    <w:rsid w:val="0039287E"/>
    <w:rsid w:val="00393507"/>
    <w:rsid w:val="00393E44"/>
    <w:rsid w:val="00394270"/>
    <w:rsid w:val="00396EAE"/>
    <w:rsid w:val="00397AB6"/>
    <w:rsid w:val="00397ACA"/>
    <w:rsid w:val="003A10C3"/>
    <w:rsid w:val="003A597F"/>
    <w:rsid w:val="003A71A8"/>
    <w:rsid w:val="003A7926"/>
    <w:rsid w:val="003B00CA"/>
    <w:rsid w:val="003B030B"/>
    <w:rsid w:val="003B0432"/>
    <w:rsid w:val="003B05D9"/>
    <w:rsid w:val="003B0821"/>
    <w:rsid w:val="003B0BE9"/>
    <w:rsid w:val="003B0DAF"/>
    <w:rsid w:val="003B19F8"/>
    <w:rsid w:val="003B2E9B"/>
    <w:rsid w:val="003B2F8D"/>
    <w:rsid w:val="003B4FAA"/>
    <w:rsid w:val="003B547A"/>
    <w:rsid w:val="003B68C8"/>
    <w:rsid w:val="003B6CB0"/>
    <w:rsid w:val="003B75B9"/>
    <w:rsid w:val="003C0DA2"/>
    <w:rsid w:val="003C0DBA"/>
    <w:rsid w:val="003C1A18"/>
    <w:rsid w:val="003C3261"/>
    <w:rsid w:val="003C5A08"/>
    <w:rsid w:val="003C5C41"/>
    <w:rsid w:val="003C7461"/>
    <w:rsid w:val="003D0788"/>
    <w:rsid w:val="003D0E0F"/>
    <w:rsid w:val="003D132A"/>
    <w:rsid w:val="003D1517"/>
    <w:rsid w:val="003D2938"/>
    <w:rsid w:val="003D2C75"/>
    <w:rsid w:val="003D3FBA"/>
    <w:rsid w:val="003D402B"/>
    <w:rsid w:val="003D4444"/>
    <w:rsid w:val="003D764F"/>
    <w:rsid w:val="003D7D81"/>
    <w:rsid w:val="003E04EB"/>
    <w:rsid w:val="003E0667"/>
    <w:rsid w:val="003E0BCE"/>
    <w:rsid w:val="003E13E0"/>
    <w:rsid w:val="003E1660"/>
    <w:rsid w:val="003E1CD1"/>
    <w:rsid w:val="003E2A2D"/>
    <w:rsid w:val="003E2EEE"/>
    <w:rsid w:val="003E40BD"/>
    <w:rsid w:val="003E473F"/>
    <w:rsid w:val="003E521F"/>
    <w:rsid w:val="003E64A9"/>
    <w:rsid w:val="003E7002"/>
    <w:rsid w:val="003E7905"/>
    <w:rsid w:val="003F0336"/>
    <w:rsid w:val="003F2147"/>
    <w:rsid w:val="003F4488"/>
    <w:rsid w:val="003F53EE"/>
    <w:rsid w:val="003F5547"/>
    <w:rsid w:val="003F5C40"/>
    <w:rsid w:val="003F6E12"/>
    <w:rsid w:val="003F75ED"/>
    <w:rsid w:val="004002B7"/>
    <w:rsid w:val="00400F31"/>
    <w:rsid w:val="004012AE"/>
    <w:rsid w:val="0040130A"/>
    <w:rsid w:val="00402295"/>
    <w:rsid w:val="00406B4D"/>
    <w:rsid w:val="00407F6A"/>
    <w:rsid w:val="0041443C"/>
    <w:rsid w:val="004154F7"/>
    <w:rsid w:val="00416D44"/>
    <w:rsid w:val="004176FF"/>
    <w:rsid w:val="00421A27"/>
    <w:rsid w:val="00421D0A"/>
    <w:rsid w:val="004221AD"/>
    <w:rsid w:val="004229D8"/>
    <w:rsid w:val="0042416C"/>
    <w:rsid w:val="004241C5"/>
    <w:rsid w:val="00424FA7"/>
    <w:rsid w:val="00424FBD"/>
    <w:rsid w:val="00426A87"/>
    <w:rsid w:val="004309D8"/>
    <w:rsid w:val="004313D1"/>
    <w:rsid w:val="00431FD5"/>
    <w:rsid w:val="00432110"/>
    <w:rsid w:val="00433EBE"/>
    <w:rsid w:val="00434406"/>
    <w:rsid w:val="0043751F"/>
    <w:rsid w:val="00440FED"/>
    <w:rsid w:val="00441194"/>
    <w:rsid w:val="00441B0A"/>
    <w:rsid w:val="00441B92"/>
    <w:rsid w:val="00442607"/>
    <w:rsid w:val="0044474B"/>
    <w:rsid w:val="00445FF7"/>
    <w:rsid w:val="004501CE"/>
    <w:rsid w:val="00453341"/>
    <w:rsid w:val="004545C6"/>
    <w:rsid w:val="00454DCA"/>
    <w:rsid w:val="00455B17"/>
    <w:rsid w:val="00455FE9"/>
    <w:rsid w:val="004561C0"/>
    <w:rsid w:val="00456544"/>
    <w:rsid w:val="00456649"/>
    <w:rsid w:val="004567B7"/>
    <w:rsid w:val="00456856"/>
    <w:rsid w:val="00457810"/>
    <w:rsid w:val="00460839"/>
    <w:rsid w:val="00461210"/>
    <w:rsid w:val="00462490"/>
    <w:rsid w:val="00462A0A"/>
    <w:rsid w:val="00463F47"/>
    <w:rsid w:val="00465299"/>
    <w:rsid w:val="00466A0F"/>
    <w:rsid w:val="0046795B"/>
    <w:rsid w:val="004708C0"/>
    <w:rsid w:val="004715CB"/>
    <w:rsid w:val="00471863"/>
    <w:rsid w:val="00472233"/>
    <w:rsid w:val="00473353"/>
    <w:rsid w:val="00473A14"/>
    <w:rsid w:val="00474CA8"/>
    <w:rsid w:val="00474E43"/>
    <w:rsid w:val="00475A4A"/>
    <w:rsid w:val="0048076D"/>
    <w:rsid w:val="00481A3B"/>
    <w:rsid w:val="00481C24"/>
    <w:rsid w:val="00481D90"/>
    <w:rsid w:val="00481E96"/>
    <w:rsid w:val="00482CD4"/>
    <w:rsid w:val="00483261"/>
    <w:rsid w:val="00484021"/>
    <w:rsid w:val="00485843"/>
    <w:rsid w:val="00485B23"/>
    <w:rsid w:val="0048630D"/>
    <w:rsid w:val="004874E4"/>
    <w:rsid w:val="0049070D"/>
    <w:rsid w:val="004914A9"/>
    <w:rsid w:val="00491BE4"/>
    <w:rsid w:val="00491DB2"/>
    <w:rsid w:val="00492877"/>
    <w:rsid w:val="0049639A"/>
    <w:rsid w:val="00496DC2"/>
    <w:rsid w:val="00496E75"/>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BAF"/>
    <w:rsid w:val="004A64F6"/>
    <w:rsid w:val="004A67F0"/>
    <w:rsid w:val="004A71C3"/>
    <w:rsid w:val="004A74D2"/>
    <w:rsid w:val="004A7769"/>
    <w:rsid w:val="004B23AD"/>
    <w:rsid w:val="004B24E5"/>
    <w:rsid w:val="004B2965"/>
    <w:rsid w:val="004B4224"/>
    <w:rsid w:val="004B4647"/>
    <w:rsid w:val="004B5E52"/>
    <w:rsid w:val="004B7455"/>
    <w:rsid w:val="004B74FF"/>
    <w:rsid w:val="004B787C"/>
    <w:rsid w:val="004B7CE4"/>
    <w:rsid w:val="004C0401"/>
    <w:rsid w:val="004C0C49"/>
    <w:rsid w:val="004C183D"/>
    <w:rsid w:val="004C2669"/>
    <w:rsid w:val="004C3AE2"/>
    <w:rsid w:val="004C3EC7"/>
    <w:rsid w:val="004C3EEE"/>
    <w:rsid w:val="004C483D"/>
    <w:rsid w:val="004C4EF9"/>
    <w:rsid w:val="004C6AB8"/>
    <w:rsid w:val="004C6C7D"/>
    <w:rsid w:val="004C795A"/>
    <w:rsid w:val="004C7F93"/>
    <w:rsid w:val="004D26B8"/>
    <w:rsid w:val="004D38C2"/>
    <w:rsid w:val="004D4FBD"/>
    <w:rsid w:val="004D4FC0"/>
    <w:rsid w:val="004D7DA8"/>
    <w:rsid w:val="004E2892"/>
    <w:rsid w:val="004E362B"/>
    <w:rsid w:val="004E3681"/>
    <w:rsid w:val="004E3D74"/>
    <w:rsid w:val="004E5AD0"/>
    <w:rsid w:val="004E708D"/>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2FA"/>
    <w:rsid w:val="00501304"/>
    <w:rsid w:val="00501425"/>
    <w:rsid w:val="005036BE"/>
    <w:rsid w:val="00504311"/>
    <w:rsid w:val="0050485C"/>
    <w:rsid w:val="00504AC6"/>
    <w:rsid w:val="00510C5E"/>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D6D"/>
    <w:rsid w:val="00522F9D"/>
    <w:rsid w:val="00523E75"/>
    <w:rsid w:val="005243E0"/>
    <w:rsid w:val="00524454"/>
    <w:rsid w:val="005256F3"/>
    <w:rsid w:val="00525C15"/>
    <w:rsid w:val="005265A3"/>
    <w:rsid w:val="00526783"/>
    <w:rsid w:val="0052721C"/>
    <w:rsid w:val="005278FB"/>
    <w:rsid w:val="00527C99"/>
    <w:rsid w:val="00527FB1"/>
    <w:rsid w:val="005314C5"/>
    <w:rsid w:val="0053162F"/>
    <w:rsid w:val="00531777"/>
    <w:rsid w:val="0053281C"/>
    <w:rsid w:val="00532D02"/>
    <w:rsid w:val="005340C9"/>
    <w:rsid w:val="00534EE8"/>
    <w:rsid w:val="00535F84"/>
    <w:rsid w:val="0053662A"/>
    <w:rsid w:val="005375FE"/>
    <w:rsid w:val="00540541"/>
    <w:rsid w:val="00540B5A"/>
    <w:rsid w:val="005420DE"/>
    <w:rsid w:val="00542249"/>
    <w:rsid w:val="005431F5"/>
    <w:rsid w:val="00543707"/>
    <w:rsid w:val="00543EBB"/>
    <w:rsid w:val="00544213"/>
    <w:rsid w:val="005453F3"/>
    <w:rsid w:val="00545549"/>
    <w:rsid w:val="00546312"/>
    <w:rsid w:val="005467DC"/>
    <w:rsid w:val="005469F5"/>
    <w:rsid w:val="00546A74"/>
    <w:rsid w:val="005518ED"/>
    <w:rsid w:val="00552093"/>
    <w:rsid w:val="00552309"/>
    <w:rsid w:val="00554E4B"/>
    <w:rsid w:val="00555F67"/>
    <w:rsid w:val="00556605"/>
    <w:rsid w:val="00556CC5"/>
    <w:rsid w:val="00556EE8"/>
    <w:rsid w:val="005601AC"/>
    <w:rsid w:val="005606A4"/>
    <w:rsid w:val="005607B8"/>
    <w:rsid w:val="00560CF5"/>
    <w:rsid w:val="00562330"/>
    <w:rsid w:val="0056272D"/>
    <w:rsid w:val="00562BAB"/>
    <w:rsid w:val="0056308E"/>
    <w:rsid w:val="005638C1"/>
    <w:rsid w:val="0056415C"/>
    <w:rsid w:val="005649BF"/>
    <w:rsid w:val="005650ED"/>
    <w:rsid w:val="00565869"/>
    <w:rsid w:val="00567415"/>
    <w:rsid w:val="00567610"/>
    <w:rsid w:val="00570D9F"/>
    <w:rsid w:val="00571CA8"/>
    <w:rsid w:val="005734C0"/>
    <w:rsid w:val="00574BA6"/>
    <w:rsid w:val="00580793"/>
    <w:rsid w:val="00581470"/>
    <w:rsid w:val="00581893"/>
    <w:rsid w:val="00582087"/>
    <w:rsid w:val="005831DD"/>
    <w:rsid w:val="00584320"/>
    <w:rsid w:val="00585484"/>
    <w:rsid w:val="00587229"/>
    <w:rsid w:val="00587503"/>
    <w:rsid w:val="005877C3"/>
    <w:rsid w:val="00587F7F"/>
    <w:rsid w:val="005907D2"/>
    <w:rsid w:val="00590E8D"/>
    <w:rsid w:val="00591511"/>
    <w:rsid w:val="0059331A"/>
    <w:rsid w:val="00593970"/>
    <w:rsid w:val="005949E8"/>
    <w:rsid w:val="00596BBA"/>
    <w:rsid w:val="005972F8"/>
    <w:rsid w:val="005975C4"/>
    <w:rsid w:val="00597ED8"/>
    <w:rsid w:val="005A2D6D"/>
    <w:rsid w:val="005A34D5"/>
    <w:rsid w:val="005A4904"/>
    <w:rsid w:val="005A4959"/>
    <w:rsid w:val="005A515A"/>
    <w:rsid w:val="005A6120"/>
    <w:rsid w:val="005A6BC4"/>
    <w:rsid w:val="005A704D"/>
    <w:rsid w:val="005B1FF6"/>
    <w:rsid w:val="005B303B"/>
    <w:rsid w:val="005B3C6D"/>
    <w:rsid w:val="005B4045"/>
    <w:rsid w:val="005B49A7"/>
    <w:rsid w:val="005B4AEC"/>
    <w:rsid w:val="005B609E"/>
    <w:rsid w:val="005B6DF6"/>
    <w:rsid w:val="005B6EA6"/>
    <w:rsid w:val="005B780E"/>
    <w:rsid w:val="005B7B7D"/>
    <w:rsid w:val="005C1948"/>
    <w:rsid w:val="005C19A5"/>
    <w:rsid w:val="005C263C"/>
    <w:rsid w:val="005C2679"/>
    <w:rsid w:val="005C41D4"/>
    <w:rsid w:val="005C6FAD"/>
    <w:rsid w:val="005D0079"/>
    <w:rsid w:val="005D059A"/>
    <w:rsid w:val="005D07AE"/>
    <w:rsid w:val="005D07C5"/>
    <w:rsid w:val="005D1478"/>
    <w:rsid w:val="005D1FF8"/>
    <w:rsid w:val="005D4213"/>
    <w:rsid w:val="005D4302"/>
    <w:rsid w:val="005D5A20"/>
    <w:rsid w:val="005D612D"/>
    <w:rsid w:val="005D6F3E"/>
    <w:rsid w:val="005D786C"/>
    <w:rsid w:val="005E00E5"/>
    <w:rsid w:val="005E049F"/>
    <w:rsid w:val="005E1588"/>
    <w:rsid w:val="005E3073"/>
    <w:rsid w:val="005E316A"/>
    <w:rsid w:val="005E5E1A"/>
    <w:rsid w:val="005E6C16"/>
    <w:rsid w:val="005E7117"/>
    <w:rsid w:val="005E746D"/>
    <w:rsid w:val="005F0108"/>
    <w:rsid w:val="005F0ECC"/>
    <w:rsid w:val="005F21A5"/>
    <w:rsid w:val="005F2470"/>
    <w:rsid w:val="005F28C6"/>
    <w:rsid w:val="005F2B20"/>
    <w:rsid w:val="005F3F16"/>
    <w:rsid w:val="005F5241"/>
    <w:rsid w:val="005F52CC"/>
    <w:rsid w:val="005F5E6F"/>
    <w:rsid w:val="005F6BD4"/>
    <w:rsid w:val="005F77B0"/>
    <w:rsid w:val="005F7985"/>
    <w:rsid w:val="0060004D"/>
    <w:rsid w:val="00600CEB"/>
    <w:rsid w:val="00602A84"/>
    <w:rsid w:val="00602AA1"/>
    <w:rsid w:val="00602B30"/>
    <w:rsid w:val="00603131"/>
    <w:rsid w:val="00604367"/>
    <w:rsid w:val="006044BE"/>
    <w:rsid w:val="0060475F"/>
    <w:rsid w:val="006060C2"/>
    <w:rsid w:val="00606A26"/>
    <w:rsid w:val="00606AC6"/>
    <w:rsid w:val="00606CC0"/>
    <w:rsid w:val="00607D81"/>
    <w:rsid w:val="00610747"/>
    <w:rsid w:val="00610E03"/>
    <w:rsid w:val="00610EC7"/>
    <w:rsid w:val="0061176E"/>
    <w:rsid w:val="00612A14"/>
    <w:rsid w:val="0061417F"/>
    <w:rsid w:val="00614CD1"/>
    <w:rsid w:val="0061567B"/>
    <w:rsid w:val="00616921"/>
    <w:rsid w:val="0062152A"/>
    <w:rsid w:val="00621893"/>
    <w:rsid w:val="00623583"/>
    <w:rsid w:val="0062462F"/>
    <w:rsid w:val="00624BA1"/>
    <w:rsid w:val="006257E9"/>
    <w:rsid w:val="0062661B"/>
    <w:rsid w:val="00626D80"/>
    <w:rsid w:val="00627717"/>
    <w:rsid w:val="00630118"/>
    <w:rsid w:val="006310AE"/>
    <w:rsid w:val="00631762"/>
    <w:rsid w:val="00632196"/>
    <w:rsid w:val="00632FD1"/>
    <w:rsid w:val="00633BF2"/>
    <w:rsid w:val="00633F67"/>
    <w:rsid w:val="006345C3"/>
    <w:rsid w:val="006362F9"/>
    <w:rsid w:val="006369A9"/>
    <w:rsid w:val="006373CD"/>
    <w:rsid w:val="0063747D"/>
    <w:rsid w:val="0064165D"/>
    <w:rsid w:val="006433BD"/>
    <w:rsid w:val="00643784"/>
    <w:rsid w:val="00644186"/>
    <w:rsid w:val="00644A21"/>
    <w:rsid w:val="006452EE"/>
    <w:rsid w:val="00645C9F"/>
    <w:rsid w:val="00646305"/>
    <w:rsid w:val="006463D6"/>
    <w:rsid w:val="00646A6C"/>
    <w:rsid w:val="00646F20"/>
    <w:rsid w:val="006475E6"/>
    <w:rsid w:val="006508B9"/>
    <w:rsid w:val="00650CA1"/>
    <w:rsid w:val="00651854"/>
    <w:rsid w:val="006539E8"/>
    <w:rsid w:val="006563F3"/>
    <w:rsid w:val="006565D8"/>
    <w:rsid w:val="00656B96"/>
    <w:rsid w:val="00656CF4"/>
    <w:rsid w:val="0065736B"/>
    <w:rsid w:val="00657AE5"/>
    <w:rsid w:val="006619B0"/>
    <w:rsid w:val="00661B9B"/>
    <w:rsid w:val="00662012"/>
    <w:rsid w:val="00662543"/>
    <w:rsid w:val="006626D0"/>
    <w:rsid w:val="00664E8C"/>
    <w:rsid w:val="00665138"/>
    <w:rsid w:val="0066528A"/>
    <w:rsid w:val="00665F7C"/>
    <w:rsid w:val="0066699A"/>
    <w:rsid w:val="00666DFC"/>
    <w:rsid w:val="00666EBB"/>
    <w:rsid w:val="00666F7A"/>
    <w:rsid w:val="00667385"/>
    <w:rsid w:val="0066779E"/>
    <w:rsid w:val="0067269D"/>
    <w:rsid w:val="00672988"/>
    <w:rsid w:val="00672AEA"/>
    <w:rsid w:val="00672C64"/>
    <w:rsid w:val="00674E6A"/>
    <w:rsid w:val="00675266"/>
    <w:rsid w:val="0067661A"/>
    <w:rsid w:val="00676A64"/>
    <w:rsid w:val="00677925"/>
    <w:rsid w:val="00680F46"/>
    <w:rsid w:val="00681FDC"/>
    <w:rsid w:val="0068251F"/>
    <w:rsid w:val="006829E8"/>
    <w:rsid w:val="00682A0C"/>
    <w:rsid w:val="00682B53"/>
    <w:rsid w:val="00682F27"/>
    <w:rsid w:val="0069011A"/>
    <w:rsid w:val="00690E2E"/>
    <w:rsid w:val="006915D7"/>
    <w:rsid w:val="00692814"/>
    <w:rsid w:val="0069320E"/>
    <w:rsid w:val="006932E7"/>
    <w:rsid w:val="00693347"/>
    <w:rsid w:val="0069334C"/>
    <w:rsid w:val="00696D63"/>
    <w:rsid w:val="0069729C"/>
    <w:rsid w:val="006A032F"/>
    <w:rsid w:val="006A41AE"/>
    <w:rsid w:val="006A4856"/>
    <w:rsid w:val="006A530D"/>
    <w:rsid w:val="006A564B"/>
    <w:rsid w:val="006A5CBF"/>
    <w:rsid w:val="006B0386"/>
    <w:rsid w:val="006B08CF"/>
    <w:rsid w:val="006B0B90"/>
    <w:rsid w:val="006B1545"/>
    <w:rsid w:val="006B2DA7"/>
    <w:rsid w:val="006B2F4D"/>
    <w:rsid w:val="006B3682"/>
    <w:rsid w:val="006B48CB"/>
    <w:rsid w:val="006B4FE8"/>
    <w:rsid w:val="006B715C"/>
    <w:rsid w:val="006B7CE0"/>
    <w:rsid w:val="006C08C5"/>
    <w:rsid w:val="006C1445"/>
    <w:rsid w:val="006C2A59"/>
    <w:rsid w:val="006C3959"/>
    <w:rsid w:val="006C4FC1"/>
    <w:rsid w:val="006C51A5"/>
    <w:rsid w:val="006C529D"/>
    <w:rsid w:val="006C5670"/>
    <w:rsid w:val="006C58B2"/>
    <w:rsid w:val="006C65A1"/>
    <w:rsid w:val="006C7B01"/>
    <w:rsid w:val="006C7CC9"/>
    <w:rsid w:val="006C7CFC"/>
    <w:rsid w:val="006D0E6B"/>
    <w:rsid w:val="006D1073"/>
    <w:rsid w:val="006D2146"/>
    <w:rsid w:val="006D2D0B"/>
    <w:rsid w:val="006D632E"/>
    <w:rsid w:val="006D668E"/>
    <w:rsid w:val="006E094A"/>
    <w:rsid w:val="006E12B1"/>
    <w:rsid w:val="006E13D1"/>
    <w:rsid w:val="006E1A08"/>
    <w:rsid w:val="006E283E"/>
    <w:rsid w:val="006E2A4B"/>
    <w:rsid w:val="006E4D0C"/>
    <w:rsid w:val="006E4D1B"/>
    <w:rsid w:val="006E5B78"/>
    <w:rsid w:val="006E6BA3"/>
    <w:rsid w:val="006F01EB"/>
    <w:rsid w:val="006F1116"/>
    <w:rsid w:val="006F3196"/>
    <w:rsid w:val="006F3C54"/>
    <w:rsid w:val="006F5E64"/>
    <w:rsid w:val="006F60DE"/>
    <w:rsid w:val="006F7914"/>
    <w:rsid w:val="006F7E46"/>
    <w:rsid w:val="00700AB4"/>
    <w:rsid w:val="00700FCA"/>
    <w:rsid w:val="00701645"/>
    <w:rsid w:val="00702C80"/>
    <w:rsid w:val="00702D5A"/>
    <w:rsid w:val="00702EF7"/>
    <w:rsid w:val="00703989"/>
    <w:rsid w:val="007042E9"/>
    <w:rsid w:val="0070687A"/>
    <w:rsid w:val="00710393"/>
    <w:rsid w:val="0071118B"/>
    <w:rsid w:val="00711E13"/>
    <w:rsid w:val="00712EDA"/>
    <w:rsid w:val="007136D0"/>
    <w:rsid w:val="007155A9"/>
    <w:rsid w:val="007158E1"/>
    <w:rsid w:val="0071705B"/>
    <w:rsid w:val="00720505"/>
    <w:rsid w:val="007236A3"/>
    <w:rsid w:val="007239B6"/>
    <w:rsid w:val="0072490A"/>
    <w:rsid w:val="0072517D"/>
    <w:rsid w:val="0072558B"/>
    <w:rsid w:val="00726878"/>
    <w:rsid w:val="0073124A"/>
    <w:rsid w:val="00731B79"/>
    <w:rsid w:val="00731EFA"/>
    <w:rsid w:val="007331CE"/>
    <w:rsid w:val="00733893"/>
    <w:rsid w:val="00734A05"/>
    <w:rsid w:val="00735C6F"/>
    <w:rsid w:val="007408D5"/>
    <w:rsid w:val="00742B44"/>
    <w:rsid w:val="007440FE"/>
    <w:rsid w:val="0074655A"/>
    <w:rsid w:val="007469B7"/>
    <w:rsid w:val="00746C78"/>
    <w:rsid w:val="00751B94"/>
    <w:rsid w:val="00753BB5"/>
    <w:rsid w:val="00756832"/>
    <w:rsid w:val="007626D0"/>
    <w:rsid w:val="007651CA"/>
    <w:rsid w:val="00767519"/>
    <w:rsid w:val="00767EE3"/>
    <w:rsid w:val="007704E1"/>
    <w:rsid w:val="00772569"/>
    <w:rsid w:val="00772E8C"/>
    <w:rsid w:val="007736D3"/>
    <w:rsid w:val="00773B54"/>
    <w:rsid w:val="0077500F"/>
    <w:rsid w:val="0077548E"/>
    <w:rsid w:val="00777315"/>
    <w:rsid w:val="00777387"/>
    <w:rsid w:val="007802E4"/>
    <w:rsid w:val="00780919"/>
    <w:rsid w:val="007825F0"/>
    <w:rsid w:val="007826C8"/>
    <w:rsid w:val="00782972"/>
    <w:rsid w:val="00783ACA"/>
    <w:rsid w:val="00784190"/>
    <w:rsid w:val="0078457B"/>
    <w:rsid w:val="00784756"/>
    <w:rsid w:val="0078539D"/>
    <w:rsid w:val="007856C1"/>
    <w:rsid w:val="00786ED1"/>
    <w:rsid w:val="00787051"/>
    <w:rsid w:val="0079018D"/>
    <w:rsid w:val="00791A00"/>
    <w:rsid w:val="00791DBA"/>
    <w:rsid w:val="00791DC7"/>
    <w:rsid w:val="00792CEE"/>
    <w:rsid w:val="00794E92"/>
    <w:rsid w:val="0079656A"/>
    <w:rsid w:val="00796D86"/>
    <w:rsid w:val="00796F15"/>
    <w:rsid w:val="007A138F"/>
    <w:rsid w:val="007A1640"/>
    <w:rsid w:val="007A3723"/>
    <w:rsid w:val="007A39DF"/>
    <w:rsid w:val="007A3A7F"/>
    <w:rsid w:val="007A43ED"/>
    <w:rsid w:val="007A4920"/>
    <w:rsid w:val="007A4997"/>
    <w:rsid w:val="007A4BDD"/>
    <w:rsid w:val="007A6881"/>
    <w:rsid w:val="007A72EE"/>
    <w:rsid w:val="007B0397"/>
    <w:rsid w:val="007B3502"/>
    <w:rsid w:val="007B44ED"/>
    <w:rsid w:val="007B491A"/>
    <w:rsid w:val="007B5370"/>
    <w:rsid w:val="007B6123"/>
    <w:rsid w:val="007B61F5"/>
    <w:rsid w:val="007B63FA"/>
    <w:rsid w:val="007B7496"/>
    <w:rsid w:val="007B7AF5"/>
    <w:rsid w:val="007B7D52"/>
    <w:rsid w:val="007C0802"/>
    <w:rsid w:val="007C12BE"/>
    <w:rsid w:val="007C2739"/>
    <w:rsid w:val="007C4B0F"/>
    <w:rsid w:val="007C4DAD"/>
    <w:rsid w:val="007C501D"/>
    <w:rsid w:val="007C5830"/>
    <w:rsid w:val="007C5DB8"/>
    <w:rsid w:val="007C6CA2"/>
    <w:rsid w:val="007D05B2"/>
    <w:rsid w:val="007D0C44"/>
    <w:rsid w:val="007D1972"/>
    <w:rsid w:val="007D1F33"/>
    <w:rsid w:val="007D2146"/>
    <w:rsid w:val="007D24BF"/>
    <w:rsid w:val="007D2BBA"/>
    <w:rsid w:val="007D3307"/>
    <w:rsid w:val="007D432A"/>
    <w:rsid w:val="007D5A88"/>
    <w:rsid w:val="007D5E27"/>
    <w:rsid w:val="007D6F64"/>
    <w:rsid w:val="007D752A"/>
    <w:rsid w:val="007E12FD"/>
    <w:rsid w:val="007E25AB"/>
    <w:rsid w:val="007E2C70"/>
    <w:rsid w:val="007E45BC"/>
    <w:rsid w:val="007E5AC2"/>
    <w:rsid w:val="007E79C5"/>
    <w:rsid w:val="007F0036"/>
    <w:rsid w:val="007F143A"/>
    <w:rsid w:val="007F2845"/>
    <w:rsid w:val="007F43BC"/>
    <w:rsid w:val="007F43C1"/>
    <w:rsid w:val="007F4740"/>
    <w:rsid w:val="007F5CEB"/>
    <w:rsid w:val="007F6202"/>
    <w:rsid w:val="007F7E1D"/>
    <w:rsid w:val="008006C6"/>
    <w:rsid w:val="00800C52"/>
    <w:rsid w:val="00800FE1"/>
    <w:rsid w:val="0080153E"/>
    <w:rsid w:val="00805533"/>
    <w:rsid w:val="0080742D"/>
    <w:rsid w:val="008100AC"/>
    <w:rsid w:val="008114D3"/>
    <w:rsid w:val="0081151E"/>
    <w:rsid w:val="00812498"/>
    <w:rsid w:val="0081263E"/>
    <w:rsid w:val="008127E6"/>
    <w:rsid w:val="0081336E"/>
    <w:rsid w:val="00813928"/>
    <w:rsid w:val="008202CD"/>
    <w:rsid w:val="00820DC7"/>
    <w:rsid w:val="00820FFB"/>
    <w:rsid w:val="00821698"/>
    <w:rsid w:val="008221FE"/>
    <w:rsid w:val="00822B6B"/>
    <w:rsid w:val="00822BF5"/>
    <w:rsid w:val="00824894"/>
    <w:rsid w:val="00825366"/>
    <w:rsid w:val="00826C7B"/>
    <w:rsid w:val="00826DD9"/>
    <w:rsid w:val="00826E01"/>
    <w:rsid w:val="008277A8"/>
    <w:rsid w:val="008278B6"/>
    <w:rsid w:val="008307ED"/>
    <w:rsid w:val="00832918"/>
    <w:rsid w:val="00833065"/>
    <w:rsid w:val="0083350F"/>
    <w:rsid w:val="00834358"/>
    <w:rsid w:val="008346BD"/>
    <w:rsid w:val="008355F3"/>
    <w:rsid w:val="00836B7A"/>
    <w:rsid w:val="008409AA"/>
    <w:rsid w:val="00840FB8"/>
    <w:rsid w:val="0084353E"/>
    <w:rsid w:val="00843A7A"/>
    <w:rsid w:val="008447F5"/>
    <w:rsid w:val="00846292"/>
    <w:rsid w:val="00850413"/>
    <w:rsid w:val="008506E1"/>
    <w:rsid w:val="008515EE"/>
    <w:rsid w:val="008528D3"/>
    <w:rsid w:val="008543BB"/>
    <w:rsid w:val="00854553"/>
    <w:rsid w:val="00855B86"/>
    <w:rsid w:val="008565F1"/>
    <w:rsid w:val="0086042D"/>
    <w:rsid w:val="00860874"/>
    <w:rsid w:val="008617D0"/>
    <w:rsid w:val="00862008"/>
    <w:rsid w:val="00862720"/>
    <w:rsid w:val="008628C8"/>
    <w:rsid w:val="00862B2A"/>
    <w:rsid w:val="008630B9"/>
    <w:rsid w:val="00863F37"/>
    <w:rsid w:val="0086406B"/>
    <w:rsid w:val="00864C8C"/>
    <w:rsid w:val="00867651"/>
    <w:rsid w:val="008704A9"/>
    <w:rsid w:val="00870D04"/>
    <w:rsid w:val="0087121B"/>
    <w:rsid w:val="008714B6"/>
    <w:rsid w:val="0087238A"/>
    <w:rsid w:val="008743F3"/>
    <w:rsid w:val="0087444A"/>
    <w:rsid w:val="00875139"/>
    <w:rsid w:val="00875410"/>
    <w:rsid w:val="008808BE"/>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1216"/>
    <w:rsid w:val="00894FDC"/>
    <w:rsid w:val="008A16F9"/>
    <w:rsid w:val="008A1D3E"/>
    <w:rsid w:val="008A4B16"/>
    <w:rsid w:val="008A4D63"/>
    <w:rsid w:val="008A6D62"/>
    <w:rsid w:val="008B13E9"/>
    <w:rsid w:val="008B3B51"/>
    <w:rsid w:val="008B4057"/>
    <w:rsid w:val="008B4145"/>
    <w:rsid w:val="008B4CAC"/>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6220"/>
    <w:rsid w:val="008E721F"/>
    <w:rsid w:val="008E7D63"/>
    <w:rsid w:val="008F00DB"/>
    <w:rsid w:val="008F110E"/>
    <w:rsid w:val="008F1264"/>
    <w:rsid w:val="008F47C6"/>
    <w:rsid w:val="008F4CF7"/>
    <w:rsid w:val="008F4EDF"/>
    <w:rsid w:val="008F5948"/>
    <w:rsid w:val="00900093"/>
    <w:rsid w:val="009006A2"/>
    <w:rsid w:val="0090102B"/>
    <w:rsid w:val="00901448"/>
    <w:rsid w:val="009026AD"/>
    <w:rsid w:val="009036BC"/>
    <w:rsid w:val="00903AFB"/>
    <w:rsid w:val="00905C47"/>
    <w:rsid w:val="00906379"/>
    <w:rsid w:val="0090638B"/>
    <w:rsid w:val="00906393"/>
    <w:rsid w:val="00907086"/>
    <w:rsid w:val="009101EA"/>
    <w:rsid w:val="009106FC"/>
    <w:rsid w:val="0091090F"/>
    <w:rsid w:val="009118BB"/>
    <w:rsid w:val="0091191F"/>
    <w:rsid w:val="00912A2F"/>
    <w:rsid w:val="009148F3"/>
    <w:rsid w:val="00915B81"/>
    <w:rsid w:val="00915D6B"/>
    <w:rsid w:val="009160DF"/>
    <w:rsid w:val="009162C7"/>
    <w:rsid w:val="00916EC2"/>
    <w:rsid w:val="009178BD"/>
    <w:rsid w:val="009213BD"/>
    <w:rsid w:val="00922DC3"/>
    <w:rsid w:val="00923AFA"/>
    <w:rsid w:val="00924627"/>
    <w:rsid w:val="009250A8"/>
    <w:rsid w:val="009255BA"/>
    <w:rsid w:val="00925BE6"/>
    <w:rsid w:val="0092658D"/>
    <w:rsid w:val="00926F61"/>
    <w:rsid w:val="0093123D"/>
    <w:rsid w:val="00933040"/>
    <w:rsid w:val="009330E9"/>
    <w:rsid w:val="00933B95"/>
    <w:rsid w:val="00935B49"/>
    <w:rsid w:val="00935D15"/>
    <w:rsid w:val="009411FB"/>
    <w:rsid w:val="009414A9"/>
    <w:rsid w:val="00941B71"/>
    <w:rsid w:val="00941F73"/>
    <w:rsid w:val="009421AD"/>
    <w:rsid w:val="0094221C"/>
    <w:rsid w:val="0094409C"/>
    <w:rsid w:val="00944159"/>
    <w:rsid w:val="009444D9"/>
    <w:rsid w:val="009449B2"/>
    <w:rsid w:val="00944A82"/>
    <w:rsid w:val="00946C4D"/>
    <w:rsid w:val="009471B7"/>
    <w:rsid w:val="009502A9"/>
    <w:rsid w:val="0095285B"/>
    <w:rsid w:val="00953FE9"/>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592"/>
    <w:rsid w:val="00971DDF"/>
    <w:rsid w:val="009731D6"/>
    <w:rsid w:val="00973422"/>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6303"/>
    <w:rsid w:val="00996306"/>
    <w:rsid w:val="00996744"/>
    <w:rsid w:val="009967DA"/>
    <w:rsid w:val="0099705B"/>
    <w:rsid w:val="00997CF4"/>
    <w:rsid w:val="009A1169"/>
    <w:rsid w:val="009A1AAC"/>
    <w:rsid w:val="009A3789"/>
    <w:rsid w:val="009A4860"/>
    <w:rsid w:val="009A6919"/>
    <w:rsid w:val="009A6AC7"/>
    <w:rsid w:val="009A6CC2"/>
    <w:rsid w:val="009A7831"/>
    <w:rsid w:val="009B0408"/>
    <w:rsid w:val="009B0843"/>
    <w:rsid w:val="009B1E47"/>
    <w:rsid w:val="009B20D0"/>
    <w:rsid w:val="009B2CED"/>
    <w:rsid w:val="009B345D"/>
    <w:rsid w:val="009B5A4D"/>
    <w:rsid w:val="009B7321"/>
    <w:rsid w:val="009B7A72"/>
    <w:rsid w:val="009B7BB8"/>
    <w:rsid w:val="009C126A"/>
    <w:rsid w:val="009C1D4C"/>
    <w:rsid w:val="009C2DD2"/>
    <w:rsid w:val="009C441F"/>
    <w:rsid w:val="009C4A07"/>
    <w:rsid w:val="009C4B8E"/>
    <w:rsid w:val="009C51D5"/>
    <w:rsid w:val="009C543C"/>
    <w:rsid w:val="009C553F"/>
    <w:rsid w:val="009C599A"/>
    <w:rsid w:val="009C650E"/>
    <w:rsid w:val="009C70DB"/>
    <w:rsid w:val="009D0E75"/>
    <w:rsid w:val="009D19BC"/>
    <w:rsid w:val="009D2348"/>
    <w:rsid w:val="009D2F0C"/>
    <w:rsid w:val="009D3578"/>
    <w:rsid w:val="009D3A5F"/>
    <w:rsid w:val="009D3EF3"/>
    <w:rsid w:val="009D5193"/>
    <w:rsid w:val="009D5C32"/>
    <w:rsid w:val="009D6472"/>
    <w:rsid w:val="009D79F4"/>
    <w:rsid w:val="009E2B4C"/>
    <w:rsid w:val="009E308C"/>
    <w:rsid w:val="009E3CD1"/>
    <w:rsid w:val="009E4AB3"/>
    <w:rsid w:val="009E5AF5"/>
    <w:rsid w:val="009E5EB5"/>
    <w:rsid w:val="009E74F0"/>
    <w:rsid w:val="009F0768"/>
    <w:rsid w:val="009F7867"/>
    <w:rsid w:val="009F7D66"/>
    <w:rsid w:val="00A00BD2"/>
    <w:rsid w:val="00A00E56"/>
    <w:rsid w:val="00A01C99"/>
    <w:rsid w:val="00A027F3"/>
    <w:rsid w:val="00A02FAD"/>
    <w:rsid w:val="00A03978"/>
    <w:rsid w:val="00A05DF3"/>
    <w:rsid w:val="00A05F1A"/>
    <w:rsid w:val="00A0670C"/>
    <w:rsid w:val="00A0689F"/>
    <w:rsid w:val="00A07E08"/>
    <w:rsid w:val="00A12798"/>
    <w:rsid w:val="00A153BE"/>
    <w:rsid w:val="00A15DEE"/>
    <w:rsid w:val="00A167B5"/>
    <w:rsid w:val="00A168A6"/>
    <w:rsid w:val="00A16DBE"/>
    <w:rsid w:val="00A17C4F"/>
    <w:rsid w:val="00A20653"/>
    <w:rsid w:val="00A20A39"/>
    <w:rsid w:val="00A21013"/>
    <w:rsid w:val="00A2190A"/>
    <w:rsid w:val="00A22681"/>
    <w:rsid w:val="00A238BD"/>
    <w:rsid w:val="00A23DA4"/>
    <w:rsid w:val="00A243E4"/>
    <w:rsid w:val="00A2459D"/>
    <w:rsid w:val="00A24E23"/>
    <w:rsid w:val="00A25F05"/>
    <w:rsid w:val="00A311AE"/>
    <w:rsid w:val="00A312A6"/>
    <w:rsid w:val="00A3130E"/>
    <w:rsid w:val="00A3232C"/>
    <w:rsid w:val="00A324CF"/>
    <w:rsid w:val="00A32E8B"/>
    <w:rsid w:val="00A32ED6"/>
    <w:rsid w:val="00A344A5"/>
    <w:rsid w:val="00A346C3"/>
    <w:rsid w:val="00A42D07"/>
    <w:rsid w:val="00A450C0"/>
    <w:rsid w:val="00A45468"/>
    <w:rsid w:val="00A455F8"/>
    <w:rsid w:val="00A4791B"/>
    <w:rsid w:val="00A50A48"/>
    <w:rsid w:val="00A51242"/>
    <w:rsid w:val="00A51522"/>
    <w:rsid w:val="00A51573"/>
    <w:rsid w:val="00A51A5E"/>
    <w:rsid w:val="00A52895"/>
    <w:rsid w:val="00A53DA0"/>
    <w:rsid w:val="00A55350"/>
    <w:rsid w:val="00A5765D"/>
    <w:rsid w:val="00A607CB"/>
    <w:rsid w:val="00A6351F"/>
    <w:rsid w:val="00A65A70"/>
    <w:rsid w:val="00A66F36"/>
    <w:rsid w:val="00A676D9"/>
    <w:rsid w:val="00A67EFC"/>
    <w:rsid w:val="00A7031E"/>
    <w:rsid w:val="00A71140"/>
    <w:rsid w:val="00A71DC7"/>
    <w:rsid w:val="00A72B7B"/>
    <w:rsid w:val="00A73790"/>
    <w:rsid w:val="00A73C9A"/>
    <w:rsid w:val="00A74692"/>
    <w:rsid w:val="00A75726"/>
    <w:rsid w:val="00A7618B"/>
    <w:rsid w:val="00A7640B"/>
    <w:rsid w:val="00A7778B"/>
    <w:rsid w:val="00A803BC"/>
    <w:rsid w:val="00A80969"/>
    <w:rsid w:val="00A84805"/>
    <w:rsid w:val="00A858C5"/>
    <w:rsid w:val="00A86EA7"/>
    <w:rsid w:val="00A91244"/>
    <w:rsid w:val="00A91778"/>
    <w:rsid w:val="00A91AA1"/>
    <w:rsid w:val="00A92776"/>
    <w:rsid w:val="00A93181"/>
    <w:rsid w:val="00A938E6"/>
    <w:rsid w:val="00A93CCF"/>
    <w:rsid w:val="00A95BD5"/>
    <w:rsid w:val="00A96F78"/>
    <w:rsid w:val="00AA1087"/>
    <w:rsid w:val="00AA25A9"/>
    <w:rsid w:val="00AA26D9"/>
    <w:rsid w:val="00AA3DEA"/>
    <w:rsid w:val="00AA4759"/>
    <w:rsid w:val="00AA51AD"/>
    <w:rsid w:val="00AA591E"/>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276B"/>
    <w:rsid w:val="00AC429F"/>
    <w:rsid w:val="00AC5BC3"/>
    <w:rsid w:val="00AC60B4"/>
    <w:rsid w:val="00AD00C5"/>
    <w:rsid w:val="00AD165F"/>
    <w:rsid w:val="00AD2794"/>
    <w:rsid w:val="00AD2B9F"/>
    <w:rsid w:val="00AD2DC5"/>
    <w:rsid w:val="00AD3455"/>
    <w:rsid w:val="00AD3CAD"/>
    <w:rsid w:val="00AD69FF"/>
    <w:rsid w:val="00AD702B"/>
    <w:rsid w:val="00AD72E6"/>
    <w:rsid w:val="00AD7C95"/>
    <w:rsid w:val="00AE0960"/>
    <w:rsid w:val="00AE3DE1"/>
    <w:rsid w:val="00AE44AC"/>
    <w:rsid w:val="00AE60C3"/>
    <w:rsid w:val="00AE63B3"/>
    <w:rsid w:val="00AE6E76"/>
    <w:rsid w:val="00AE6F68"/>
    <w:rsid w:val="00AE7527"/>
    <w:rsid w:val="00AF259C"/>
    <w:rsid w:val="00AF2D54"/>
    <w:rsid w:val="00AF3458"/>
    <w:rsid w:val="00AF3F7B"/>
    <w:rsid w:val="00AF4145"/>
    <w:rsid w:val="00AF42B4"/>
    <w:rsid w:val="00AF4B8A"/>
    <w:rsid w:val="00AF4F1B"/>
    <w:rsid w:val="00AF5EC6"/>
    <w:rsid w:val="00AF66B6"/>
    <w:rsid w:val="00AF6E8A"/>
    <w:rsid w:val="00AF7213"/>
    <w:rsid w:val="00AF7D92"/>
    <w:rsid w:val="00B00C28"/>
    <w:rsid w:val="00B011CC"/>
    <w:rsid w:val="00B022D6"/>
    <w:rsid w:val="00B02A2D"/>
    <w:rsid w:val="00B03575"/>
    <w:rsid w:val="00B04048"/>
    <w:rsid w:val="00B04F3D"/>
    <w:rsid w:val="00B05702"/>
    <w:rsid w:val="00B06DD9"/>
    <w:rsid w:val="00B06F15"/>
    <w:rsid w:val="00B07CD6"/>
    <w:rsid w:val="00B07E52"/>
    <w:rsid w:val="00B10010"/>
    <w:rsid w:val="00B11775"/>
    <w:rsid w:val="00B12632"/>
    <w:rsid w:val="00B12660"/>
    <w:rsid w:val="00B12F5F"/>
    <w:rsid w:val="00B1302D"/>
    <w:rsid w:val="00B149A6"/>
    <w:rsid w:val="00B1513F"/>
    <w:rsid w:val="00B15B31"/>
    <w:rsid w:val="00B15B89"/>
    <w:rsid w:val="00B171F5"/>
    <w:rsid w:val="00B1746F"/>
    <w:rsid w:val="00B17EA8"/>
    <w:rsid w:val="00B20725"/>
    <w:rsid w:val="00B20B94"/>
    <w:rsid w:val="00B2506B"/>
    <w:rsid w:val="00B2628E"/>
    <w:rsid w:val="00B26611"/>
    <w:rsid w:val="00B266B0"/>
    <w:rsid w:val="00B27921"/>
    <w:rsid w:val="00B3000E"/>
    <w:rsid w:val="00B326A8"/>
    <w:rsid w:val="00B329EB"/>
    <w:rsid w:val="00B33508"/>
    <w:rsid w:val="00B3377E"/>
    <w:rsid w:val="00B35786"/>
    <w:rsid w:val="00B35DA4"/>
    <w:rsid w:val="00B37425"/>
    <w:rsid w:val="00B40A96"/>
    <w:rsid w:val="00B4184B"/>
    <w:rsid w:val="00B422A7"/>
    <w:rsid w:val="00B42A32"/>
    <w:rsid w:val="00B42FA6"/>
    <w:rsid w:val="00B431AE"/>
    <w:rsid w:val="00B4399E"/>
    <w:rsid w:val="00B43A16"/>
    <w:rsid w:val="00B44666"/>
    <w:rsid w:val="00B45C10"/>
    <w:rsid w:val="00B45CE1"/>
    <w:rsid w:val="00B46A75"/>
    <w:rsid w:val="00B500CD"/>
    <w:rsid w:val="00B51BB0"/>
    <w:rsid w:val="00B5239C"/>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805"/>
    <w:rsid w:val="00B67939"/>
    <w:rsid w:val="00B70A76"/>
    <w:rsid w:val="00B721CD"/>
    <w:rsid w:val="00B7267A"/>
    <w:rsid w:val="00B726FF"/>
    <w:rsid w:val="00B7291A"/>
    <w:rsid w:val="00B72A91"/>
    <w:rsid w:val="00B72AA4"/>
    <w:rsid w:val="00B75454"/>
    <w:rsid w:val="00B75603"/>
    <w:rsid w:val="00B76BCD"/>
    <w:rsid w:val="00B76EE9"/>
    <w:rsid w:val="00B77880"/>
    <w:rsid w:val="00B80D90"/>
    <w:rsid w:val="00B80E77"/>
    <w:rsid w:val="00B82613"/>
    <w:rsid w:val="00B828B5"/>
    <w:rsid w:val="00B84E9C"/>
    <w:rsid w:val="00B85522"/>
    <w:rsid w:val="00B8593C"/>
    <w:rsid w:val="00B869DF"/>
    <w:rsid w:val="00B90E2A"/>
    <w:rsid w:val="00B90F2A"/>
    <w:rsid w:val="00B9198D"/>
    <w:rsid w:val="00B93008"/>
    <w:rsid w:val="00B94025"/>
    <w:rsid w:val="00B9406D"/>
    <w:rsid w:val="00B94BA7"/>
    <w:rsid w:val="00B94BE9"/>
    <w:rsid w:val="00B94E0E"/>
    <w:rsid w:val="00B97CA3"/>
    <w:rsid w:val="00BA2B80"/>
    <w:rsid w:val="00BA3D7B"/>
    <w:rsid w:val="00BA76A9"/>
    <w:rsid w:val="00BB3E2B"/>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70FB"/>
    <w:rsid w:val="00BD3E68"/>
    <w:rsid w:val="00BD504A"/>
    <w:rsid w:val="00BD598A"/>
    <w:rsid w:val="00BD75B4"/>
    <w:rsid w:val="00BD7BFE"/>
    <w:rsid w:val="00BD7D14"/>
    <w:rsid w:val="00BE02B4"/>
    <w:rsid w:val="00BE0A4E"/>
    <w:rsid w:val="00BE1553"/>
    <w:rsid w:val="00BE19DC"/>
    <w:rsid w:val="00BE41EC"/>
    <w:rsid w:val="00BE4EC9"/>
    <w:rsid w:val="00BE56B1"/>
    <w:rsid w:val="00BE631E"/>
    <w:rsid w:val="00BE71F7"/>
    <w:rsid w:val="00BF0CCF"/>
    <w:rsid w:val="00BF0FC5"/>
    <w:rsid w:val="00BF10BC"/>
    <w:rsid w:val="00BF21AC"/>
    <w:rsid w:val="00BF2E53"/>
    <w:rsid w:val="00BF3133"/>
    <w:rsid w:val="00BF3669"/>
    <w:rsid w:val="00BF3C0D"/>
    <w:rsid w:val="00BF711C"/>
    <w:rsid w:val="00BF7C74"/>
    <w:rsid w:val="00C00ED8"/>
    <w:rsid w:val="00C03309"/>
    <w:rsid w:val="00C03452"/>
    <w:rsid w:val="00C067D5"/>
    <w:rsid w:val="00C072FE"/>
    <w:rsid w:val="00C12E39"/>
    <w:rsid w:val="00C13DA5"/>
    <w:rsid w:val="00C14164"/>
    <w:rsid w:val="00C15D8E"/>
    <w:rsid w:val="00C17012"/>
    <w:rsid w:val="00C178FB"/>
    <w:rsid w:val="00C22B28"/>
    <w:rsid w:val="00C22B5A"/>
    <w:rsid w:val="00C23E6D"/>
    <w:rsid w:val="00C247BF"/>
    <w:rsid w:val="00C257B7"/>
    <w:rsid w:val="00C27265"/>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B71"/>
    <w:rsid w:val="00C520B1"/>
    <w:rsid w:val="00C522D6"/>
    <w:rsid w:val="00C5306D"/>
    <w:rsid w:val="00C54010"/>
    <w:rsid w:val="00C54020"/>
    <w:rsid w:val="00C5406F"/>
    <w:rsid w:val="00C545C5"/>
    <w:rsid w:val="00C55566"/>
    <w:rsid w:val="00C55B1D"/>
    <w:rsid w:val="00C568FE"/>
    <w:rsid w:val="00C573E9"/>
    <w:rsid w:val="00C5749F"/>
    <w:rsid w:val="00C6038F"/>
    <w:rsid w:val="00C61498"/>
    <w:rsid w:val="00C61D4B"/>
    <w:rsid w:val="00C6225E"/>
    <w:rsid w:val="00C62B0A"/>
    <w:rsid w:val="00C63F08"/>
    <w:rsid w:val="00C6528C"/>
    <w:rsid w:val="00C661E8"/>
    <w:rsid w:val="00C663A8"/>
    <w:rsid w:val="00C6648F"/>
    <w:rsid w:val="00C66D27"/>
    <w:rsid w:val="00C66E69"/>
    <w:rsid w:val="00C70084"/>
    <w:rsid w:val="00C7235B"/>
    <w:rsid w:val="00C725B1"/>
    <w:rsid w:val="00C72E18"/>
    <w:rsid w:val="00C731AD"/>
    <w:rsid w:val="00C73379"/>
    <w:rsid w:val="00C7380B"/>
    <w:rsid w:val="00C74421"/>
    <w:rsid w:val="00C7542D"/>
    <w:rsid w:val="00C75F2F"/>
    <w:rsid w:val="00C75FEE"/>
    <w:rsid w:val="00C76F1D"/>
    <w:rsid w:val="00C77D26"/>
    <w:rsid w:val="00C80BDF"/>
    <w:rsid w:val="00C84D39"/>
    <w:rsid w:val="00C85277"/>
    <w:rsid w:val="00C85556"/>
    <w:rsid w:val="00C85D76"/>
    <w:rsid w:val="00C864D4"/>
    <w:rsid w:val="00C873AC"/>
    <w:rsid w:val="00C87B19"/>
    <w:rsid w:val="00C92490"/>
    <w:rsid w:val="00C93462"/>
    <w:rsid w:val="00C94384"/>
    <w:rsid w:val="00C94A30"/>
    <w:rsid w:val="00C94A34"/>
    <w:rsid w:val="00C94C2B"/>
    <w:rsid w:val="00C96F79"/>
    <w:rsid w:val="00C97CF9"/>
    <w:rsid w:val="00CA0642"/>
    <w:rsid w:val="00CA17DD"/>
    <w:rsid w:val="00CA1863"/>
    <w:rsid w:val="00CA192A"/>
    <w:rsid w:val="00CA26CE"/>
    <w:rsid w:val="00CA391D"/>
    <w:rsid w:val="00CA3ACD"/>
    <w:rsid w:val="00CA4F8B"/>
    <w:rsid w:val="00CA64D5"/>
    <w:rsid w:val="00CB09DA"/>
    <w:rsid w:val="00CB0BD9"/>
    <w:rsid w:val="00CB1CAC"/>
    <w:rsid w:val="00CB1D87"/>
    <w:rsid w:val="00CB1DE8"/>
    <w:rsid w:val="00CB1E3B"/>
    <w:rsid w:val="00CB1F1D"/>
    <w:rsid w:val="00CB3C8E"/>
    <w:rsid w:val="00CB4212"/>
    <w:rsid w:val="00CB45BC"/>
    <w:rsid w:val="00CB4C59"/>
    <w:rsid w:val="00CB600D"/>
    <w:rsid w:val="00CB71F8"/>
    <w:rsid w:val="00CC26DB"/>
    <w:rsid w:val="00CC300C"/>
    <w:rsid w:val="00CC35AE"/>
    <w:rsid w:val="00CC3837"/>
    <w:rsid w:val="00CC3DAA"/>
    <w:rsid w:val="00CC43B0"/>
    <w:rsid w:val="00CC49C7"/>
    <w:rsid w:val="00CC4B65"/>
    <w:rsid w:val="00CC4C2C"/>
    <w:rsid w:val="00CC5057"/>
    <w:rsid w:val="00CC587F"/>
    <w:rsid w:val="00CC79E9"/>
    <w:rsid w:val="00CD0126"/>
    <w:rsid w:val="00CD078F"/>
    <w:rsid w:val="00CD121E"/>
    <w:rsid w:val="00CD1922"/>
    <w:rsid w:val="00CD27A8"/>
    <w:rsid w:val="00CD28F0"/>
    <w:rsid w:val="00CD3ED8"/>
    <w:rsid w:val="00CD6190"/>
    <w:rsid w:val="00CD736C"/>
    <w:rsid w:val="00CD761D"/>
    <w:rsid w:val="00CD76B5"/>
    <w:rsid w:val="00CE1757"/>
    <w:rsid w:val="00CE2346"/>
    <w:rsid w:val="00CE2B02"/>
    <w:rsid w:val="00CE3B50"/>
    <w:rsid w:val="00CE4F2D"/>
    <w:rsid w:val="00CE6F0F"/>
    <w:rsid w:val="00CE7C7C"/>
    <w:rsid w:val="00CF002F"/>
    <w:rsid w:val="00CF0246"/>
    <w:rsid w:val="00CF0C02"/>
    <w:rsid w:val="00CF1899"/>
    <w:rsid w:val="00CF2483"/>
    <w:rsid w:val="00CF24E2"/>
    <w:rsid w:val="00CF321D"/>
    <w:rsid w:val="00CF393D"/>
    <w:rsid w:val="00CF4ABD"/>
    <w:rsid w:val="00CF4B18"/>
    <w:rsid w:val="00CF5A53"/>
    <w:rsid w:val="00CF5D28"/>
    <w:rsid w:val="00CF6942"/>
    <w:rsid w:val="00CF6F1E"/>
    <w:rsid w:val="00D001F9"/>
    <w:rsid w:val="00D0036E"/>
    <w:rsid w:val="00D00BB7"/>
    <w:rsid w:val="00D01EAD"/>
    <w:rsid w:val="00D02C62"/>
    <w:rsid w:val="00D035B9"/>
    <w:rsid w:val="00D05C04"/>
    <w:rsid w:val="00D060FF"/>
    <w:rsid w:val="00D064E8"/>
    <w:rsid w:val="00D06572"/>
    <w:rsid w:val="00D065CD"/>
    <w:rsid w:val="00D07D93"/>
    <w:rsid w:val="00D11FA6"/>
    <w:rsid w:val="00D12325"/>
    <w:rsid w:val="00D14487"/>
    <w:rsid w:val="00D14DBB"/>
    <w:rsid w:val="00D15E7E"/>
    <w:rsid w:val="00D162EF"/>
    <w:rsid w:val="00D20016"/>
    <w:rsid w:val="00D207A7"/>
    <w:rsid w:val="00D20CD6"/>
    <w:rsid w:val="00D20E00"/>
    <w:rsid w:val="00D21005"/>
    <w:rsid w:val="00D21771"/>
    <w:rsid w:val="00D21DBE"/>
    <w:rsid w:val="00D2279F"/>
    <w:rsid w:val="00D22AF1"/>
    <w:rsid w:val="00D22E93"/>
    <w:rsid w:val="00D242DA"/>
    <w:rsid w:val="00D25BD5"/>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4D66"/>
    <w:rsid w:val="00D45D77"/>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1D30"/>
    <w:rsid w:val="00D62ECD"/>
    <w:rsid w:val="00D6334B"/>
    <w:rsid w:val="00D64426"/>
    <w:rsid w:val="00D645A3"/>
    <w:rsid w:val="00D65D78"/>
    <w:rsid w:val="00D66727"/>
    <w:rsid w:val="00D67BC5"/>
    <w:rsid w:val="00D7021B"/>
    <w:rsid w:val="00D70D33"/>
    <w:rsid w:val="00D728AE"/>
    <w:rsid w:val="00D73077"/>
    <w:rsid w:val="00D736A2"/>
    <w:rsid w:val="00D73C57"/>
    <w:rsid w:val="00D742FF"/>
    <w:rsid w:val="00D758B3"/>
    <w:rsid w:val="00D76ADC"/>
    <w:rsid w:val="00D77413"/>
    <w:rsid w:val="00D7787C"/>
    <w:rsid w:val="00D80449"/>
    <w:rsid w:val="00D81F10"/>
    <w:rsid w:val="00D8201E"/>
    <w:rsid w:val="00D822EC"/>
    <w:rsid w:val="00D8303C"/>
    <w:rsid w:val="00D836F7"/>
    <w:rsid w:val="00D84A57"/>
    <w:rsid w:val="00D84C3B"/>
    <w:rsid w:val="00D84DA7"/>
    <w:rsid w:val="00D864F8"/>
    <w:rsid w:val="00D874DF"/>
    <w:rsid w:val="00D87A12"/>
    <w:rsid w:val="00D930E1"/>
    <w:rsid w:val="00D9415C"/>
    <w:rsid w:val="00D942CC"/>
    <w:rsid w:val="00D94ADE"/>
    <w:rsid w:val="00D94D87"/>
    <w:rsid w:val="00D962DC"/>
    <w:rsid w:val="00D97BB5"/>
    <w:rsid w:val="00DA0C12"/>
    <w:rsid w:val="00DA180C"/>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3B1"/>
    <w:rsid w:val="00DC7951"/>
    <w:rsid w:val="00DD0F95"/>
    <w:rsid w:val="00DD1C4B"/>
    <w:rsid w:val="00DD1F7B"/>
    <w:rsid w:val="00DD229E"/>
    <w:rsid w:val="00DD3029"/>
    <w:rsid w:val="00DD3E21"/>
    <w:rsid w:val="00DD55E0"/>
    <w:rsid w:val="00DD5E12"/>
    <w:rsid w:val="00DE0C66"/>
    <w:rsid w:val="00DE1904"/>
    <w:rsid w:val="00DE3DBB"/>
    <w:rsid w:val="00DE43A2"/>
    <w:rsid w:val="00DE4A74"/>
    <w:rsid w:val="00DE4B05"/>
    <w:rsid w:val="00DE541C"/>
    <w:rsid w:val="00DE5E79"/>
    <w:rsid w:val="00DE737B"/>
    <w:rsid w:val="00DF0587"/>
    <w:rsid w:val="00DF100B"/>
    <w:rsid w:val="00DF23CA"/>
    <w:rsid w:val="00DF2929"/>
    <w:rsid w:val="00DF3B76"/>
    <w:rsid w:val="00DF4359"/>
    <w:rsid w:val="00DF4C1A"/>
    <w:rsid w:val="00DF7751"/>
    <w:rsid w:val="00E031BB"/>
    <w:rsid w:val="00E0424A"/>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463"/>
    <w:rsid w:val="00E20155"/>
    <w:rsid w:val="00E239D1"/>
    <w:rsid w:val="00E26727"/>
    <w:rsid w:val="00E26970"/>
    <w:rsid w:val="00E27791"/>
    <w:rsid w:val="00E30F2D"/>
    <w:rsid w:val="00E319DB"/>
    <w:rsid w:val="00E31AFC"/>
    <w:rsid w:val="00E331BF"/>
    <w:rsid w:val="00E3409E"/>
    <w:rsid w:val="00E34F76"/>
    <w:rsid w:val="00E37BE5"/>
    <w:rsid w:val="00E41A27"/>
    <w:rsid w:val="00E41E2F"/>
    <w:rsid w:val="00E42910"/>
    <w:rsid w:val="00E430C7"/>
    <w:rsid w:val="00E457DC"/>
    <w:rsid w:val="00E4608B"/>
    <w:rsid w:val="00E464EC"/>
    <w:rsid w:val="00E46FF0"/>
    <w:rsid w:val="00E501D3"/>
    <w:rsid w:val="00E53A01"/>
    <w:rsid w:val="00E553CE"/>
    <w:rsid w:val="00E564C4"/>
    <w:rsid w:val="00E566C2"/>
    <w:rsid w:val="00E567C9"/>
    <w:rsid w:val="00E604C4"/>
    <w:rsid w:val="00E60809"/>
    <w:rsid w:val="00E611AE"/>
    <w:rsid w:val="00E61300"/>
    <w:rsid w:val="00E614F2"/>
    <w:rsid w:val="00E635B9"/>
    <w:rsid w:val="00E65D15"/>
    <w:rsid w:val="00E66C49"/>
    <w:rsid w:val="00E67EE5"/>
    <w:rsid w:val="00E7013A"/>
    <w:rsid w:val="00E71099"/>
    <w:rsid w:val="00E74104"/>
    <w:rsid w:val="00E7473C"/>
    <w:rsid w:val="00E74F5D"/>
    <w:rsid w:val="00E750D8"/>
    <w:rsid w:val="00E757A8"/>
    <w:rsid w:val="00E76034"/>
    <w:rsid w:val="00E80440"/>
    <w:rsid w:val="00E80515"/>
    <w:rsid w:val="00E817E0"/>
    <w:rsid w:val="00E819FB"/>
    <w:rsid w:val="00E827D2"/>
    <w:rsid w:val="00E82AE8"/>
    <w:rsid w:val="00E82EE4"/>
    <w:rsid w:val="00E831E7"/>
    <w:rsid w:val="00E843B5"/>
    <w:rsid w:val="00E84A3B"/>
    <w:rsid w:val="00E85307"/>
    <w:rsid w:val="00E907E4"/>
    <w:rsid w:val="00E90A24"/>
    <w:rsid w:val="00E90C34"/>
    <w:rsid w:val="00E917E6"/>
    <w:rsid w:val="00E919AC"/>
    <w:rsid w:val="00E93687"/>
    <w:rsid w:val="00E946A6"/>
    <w:rsid w:val="00E947E4"/>
    <w:rsid w:val="00E94C9F"/>
    <w:rsid w:val="00E95CAF"/>
    <w:rsid w:val="00E96A29"/>
    <w:rsid w:val="00E96B28"/>
    <w:rsid w:val="00E96FE6"/>
    <w:rsid w:val="00EA004B"/>
    <w:rsid w:val="00EA0A5C"/>
    <w:rsid w:val="00EA0AD2"/>
    <w:rsid w:val="00EA0CF0"/>
    <w:rsid w:val="00EA1D43"/>
    <w:rsid w:val="00EA29B4"/>
    <w:rsid w:val="00EA4EC9"/>
    <w:rsid w:val="00EA54D5"/>
    <w:rsid w:val="00EA5E0F"/>
    <w:rsid w:val="00EA6103"/>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966"/>
    <w:rsid w:val="00EC2CFF"/>
    <w:rsid w:val="00EC5F2F"/>
    <w:rsid w:val="00EC651E"/>
    <w:rsid w:val="00EC692E"/>
    <w:rsid w:val="00EC745E"/>
    <w:rsid w:val="00EC7EAF"/>
    <w:rsid w:val="00ED1759"/>
    <w:rsid w:val="00ED27C3"/>
    <w:rsid w:val="00ED2B21"/>
    <w:rsid w:val="00ED33AE"/>
    <w:rsid w:val="00ED3775"/>
    <w:rsid w:val="00ED4A6D"/>
    <w:rsid w:val="00ED5692"/>
    <w:rsid w:val="00ED6C73"/>
    <w:rsid w:val="00ED6D4A"/>
    <w:rsid w:val="00ED738C"/>
    <w:rsid w:val="00ED7918"/>
    <w:rsid w:val="00ED7FD3"/>
    <w:rsid w:val="00EE16F6"/>
    <w:rsid w:val="00EE1F1A"/>
    <w:rsid w:val="00EE3663"/>
    <w:rsid w:val="00EE41C4"/>
    <w:rsid w:val="00EE4A40"/>
    <w:rsid w:val="00EE619C"/>
    <w:rsid w:val="00EE76A9"/>
    <w:rsid w:val="00EE799E"/>
    <w:rsid w:val="00EE7B5A"/>
    <w:rsid w:val="00EE7C7E"/>
    <w:rsid w:val="00EE7CA8"/>
    <w:rsid w:val="00EE7FA7"/>
    <w:rsid w:val="00EF1093"/>
    <w:rsid w:val="00EF1707"/>
    <w:rsid w:val="00EF1FCB"/>
    <w:rsid w:val="00EF21C3"/>
    <w:rsid w:val="00EF2E6B"/>
    <w:rsid w:val="00EF44F4"/>
    <w:rsid w:val="00F0030E"/>
    <w:rsid w:val="00F00CD1"/>
    <w:rsid w:val="00F01E6B"/>
    <w:rsid w:val="00F0241C"/>
    <w:rsid w:val="00F05759"/>
    <w:rsid w:val="00F10CB9"/>
    <w:rsid w:val="00F110D5"/>
    <w:rsid w:val="00F12351"/>
    <w:rsid w:val="00F1420E"/>
    <w:rsid w:val="00F143A1"/>
    <w:rsid w:val="00F149D1"/>
    <w:rsid w:val="00F16739"/>
    <w:rsid w:val="00F16DE2"/>
    <w:rsid w:val="00F17C5F"/>
    <w:rsid w:val="00F2052B"/>
    <w:rsid w:val="00F210C7"/>
    <w:rsid w:val="00F213FF"/>
    <w:rsid w:val="00F2260F"/>
    <w:rsid w:val="00F242AD"/>
    <w:rsid w:val="00F247F2"/>
    <w:rsid w:val="00F252A8"/>
    <w:rsid w:val="00F25C8F"/>
    <w:rsid w:val="00F2608D"/>
    <w:rsid w:val="00F265F7"/>
    <w:rsid w:val="00F27FA6"/>
    <w:rsid w:val="00F33DC8"/>
    <w:rsid w:val="00F34444"/>
    <w:rsid w:val="00F360A6"/>
    <w:rsid w:val="00F37F25"/>
    <w:rsid w:val="00F4065A"/>
    <w:rsid w:val="00F40F19"/>
    <w:rsid w:val="00F4275C"/>
    <w:rsid w:val="00F45693"/>
    <w:rsid w:val="00F45A86"/>
    <w:rsid w:val="00F47983"/>
    <w:rsid w:val="00F5170F"/>
    <w:rsid w:val="00F52339"/>
    <w:rsid w:val="00F5277A"/>
    <w:rsid w:val="00F52876"/>
    <w:rsid w:val="00F532E8"/>
    <w:rsid w:val="00F537FF"/>
    <w:rsid w:val="00F560FE"/>
    <w:rsid w:val="00F56EF6"/>
    <w:rsid w:val="00F605B6"/>
    <w:rsid w:val="00F6111C"/>
    <w:rsid w:val="00F613EC"/>
    <w:rsid w:val="00F614C0"/>
    <w:rsid w:val="00F61647"/>
    <w:rsid w:val="00F61F5F"/>
    <w:rsid w:val="00F6280F"/>
    <w:rsid w:val="00F64BEC"/>
    <w:rsid w:val="00F657CF"/>
    <w:rsid w:val="00F66A00"/>
    <w:rsid w:val="00F713A3"/>
    <w:rsid w:val="00F71A8F"/>
    <w:rsid w:val="00F75330"/>
    <w:rsid w:val="00F76BD9"/>
    <w:rsid w:val="00F80318"/>
    <w:rsid w:val="00F80703"/>
    <w:rsid w:val="00F80948"/>
    <w:rsid w:val="00F80A7F"/>
    <w:rsid w:val="00F81387"/>
    <w:rsid w:val="00F81835"/>
    <w:rsid w:val="00F81E3D"/>
    <w:rsid w:val="00F822E3"/>
    <w:rsid w:val="00F825B5"/>
    <w:rsid w:val="00F82866"/>
    <w:rsid w:val="00F84421"/>
    <w:rsid w:val="00F8449B"/>
    <w:rsid w:val="00F84CDE"/>
    <w:rsid w:val="00F85691"/>
    <w:rsid w:val="00F87032"/>
    <w:rsid w:val="00F87094"/>
    <w:rsid w:val="00F87AB3"/>
    <w:rsid w:val="00F913DC"/>
    <w:rsid w:val="00F91DDA"/>
    <w:rsid w:val="00F9397A"/>
    <w:rsid w:val="00F93A37"/>
    <w:rsid w:val="00F94182"/>
    <w:rsid w:val="00F944D9"/>
    <w:rsid w:val="00F94DB3"/>
    <w:rsid w:val="00F9606C"/>
    <w:rsid w:val="00F96500"/>
    <w:rsid w:val="00FA3230"/>
    <w:rsid w:val="00FA3F80"/>
    <w:rsid w:val="00FA413A"/>
    <w:rsid w:val="00FA4144"/>
    <w:rsid w:val="00FA4DDF"/>
    <w:rsid w:val="00FA52EC"/>
    <w:rsid w:val="00FA68DC"/>
    <w:rsid w:val="00FA6E7F"/>
    <w:rsid w:val="00FA6EF4"/>
    <w:rsid w:val="00FA7114"/>
    <w:rsid w:val="00FB0826"/>
    <w:rsid w:val="00FB2379"/>
    <w:rsid w:val="00FB4407"/>
    <w:rsid w:val="00FB4B8A"/>
    <w:rsid w:val="00FB5152"/>
    <w:rsid w:val="00FB680E"/>
    <w:rsid w:val="00FC0065"/>
    <w:rsid w:val="00FC15E7"/>
    <w:rsid w:val="00FC3AEE"/>
    <w:rsid w:val="00FC6238"/>
    <w:rsid w:val="00FC78AD"/>
    <w:rsid w:val="00FD0D70"/>
    <w:rsid w:val="00FD1D37"/>
    <w:rsid w:val="00FD254A"/>
    <w:rsid w:val="00FD33FC"/>
    <w:rsid w:val="00FD3730"/>
    <w:rsid w:val="00FD3ADE"/>
    <w:rsid w:val="00FD3B08"/>
    <w:rsid w:val="00FD4806"/>
    <w:rsid w:val="00FD4BA4"/>
    <w:rsid w:val="00FD534E"/>
    <w:rsid w:val="00FD56C7"/>
    <w:rsid w:val="00FD5CBB"/>
    <w:rsid w:val="00FD6B74"/>
    <w:rsid w:val="00FD70AE"/>
    <w:rsid w:val="00FD7356"/>
    <w:rsid w:val="00FD7564"/>
    <w:rsid w:val="00FE002E"/>
    <w:rsid w:val="00FE04B0"/>
    <w:rsid w:val="00FE2398"/>
    <w:rsid w:val="00FE515A"/>
    <w:rsid w:val="00FE5624"/>
    <w:rsid w:val="00FE5D2C"/>
    <w:rsid w:val="00FE5FBF"/>
    <w:rsid w:val="00FE6C25"/>
    <w:rsid w:val="00FF033A"/>
    <w:rsid w:val="00FF035A"/>
    <w:rsid w:val="00FF0964"/>
    <w:rsid w:val="00FF16F2"/>
    <w:rsid w:val="00FF1D24"/>
    <w:rsid w:val="00FF2B42"/>
    <w:rsid w:val="00FF3B7F"/>
    <w:rsid w:val="00FF42A0"/>
    <w:rsid w:val="00FF6822"/>
    <w:rsid w:val="00FF6839"/>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character" w:customStyle="1" w:styleId="TACChar">
    <w:name w:val="TAC Char"/>
    <w:link w:val="TAC"/>
    <w:locked/>
    <w:rsid w:val="0003163F"/>
    <w:rPr>
      <w:rFonts w:ascii="Arial" w:hAnsi="Arial"/>
      <w:sz w:val="18"/>
      <w:lang w:val="en-GB"/>
    </w:rPr>
  </w:style>
  <w:style w:type="character" w:customStyle="1" w:styleId="TAHCar">
    <w:name w:val="TAH Car"/>
    <w:link w:val="TAH"/>
    <w:locked/>
    <w:rsid w:val="0003163F"/>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2993514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3775355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143754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5583976">
      <w:bodyDiv w:val="1"/>
      <w:marLeft w:val="0"/>
      <w:marRight w:val="0"/>
      <w:marTop w:val="0"/>
      <w:marBottom w:val="0"/>
      <w:divBdr>
        <w:top w:val="none" w:sz="0" w:space="0" w:color="auto"/>
        <w:left w:val="none" w:sz="0" w:space="0" w:color="auto"/>
        <w:bottom w:val="none" w:sz="0" w:space="0" w:color="auto"/>
        <w:right w:val="none" w:sz="0" w:space="0" w:color="auto"/>
      </w:divBdr>
    </w:div>
    <w:div w:id="1515344644">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5AIRPNAIUNRU-1830940522-3052</_dlc_DocId>
    <_dlc_DocIdUrl xmlns="71c5aaf6-e6ce-465b-b873-5148d2a4c105">
      <Url>https://nokia.sharepoint.com/sites/c5g/5gradio/_layouts/15/DocIdRedir.aspx?ID=5AIRPNAIUNRU-1830940522-3052</Url>
      <Description>5AIRPNAIUNRU-1830940522-3052</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A43AE1B-2656-4052-BC86-8AD1B236D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4.xml><?xml version="1.0" encoding="utf-8"?>
<ds:datastoreItem xmlns:ds="http://schemas.openxmlformats.org/officeDocument/2006/customXml" ds:itemID="{FB44DFC4-A9E7-4D79-AE4B-50C7FD91F0A6}">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939A756-B149-48AD-9B57-2DEF6FF14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5</Pages>
  <Words>2082</Words>
  <Characters>11873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4</cp:revision>
  <cp:lastPrinted>2016-06-20T11:35:00Z</cp:lastPrinted>
  <dcterms:created xsi:type="dcterms:W3CDTF">2018-04-06T14:45:00Z</dcterms:created>
  <dcterms:modified xsi:type="dcterms:W3CDTF">2018-04-06T16:08:00Z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2336e800-e809-4fd2-bce6-8c36867eae48</vt:lpwstr>
  </property>
  <property fmtid="{D5CDD505-2E9C-101B-9397-08002B2CF9AE}" pid="8" name="MSIP_Label_46cc7c65-2b09-40ab-abef-d10548338a3b_Enabled">
    <vt:lpwstr>True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Ref">
    <vt:lpwstr>https://api.informationprotection.azure.com/api/5d471751-9675-428d-917b-70f44f9630b0</vt:lpwstr>
  </property>
  <property fmtid="{D5CDD505-2E9C-101B-9397-08002B2CF9AE}" pid="11" name="MSIP_Label_46cc7c65-2b09-40ab-abef-d10548338a3b_Owner">
    <vt:lpwstr>esa.tiirola@nokia-bell-labs.com</vt:lpwstr>
  </property>
  <property fmtid="{D5CDD505-2E9C-101B-9397-08002B2CF9AE}" pid="12" name="MSIP_Label_46cc7c65-2b09-40ab-abef-d10548338a3b_SetDate">
    <vt:lpwstr>2018-03-21T14:53:32.4813624+02:00</vt:lpwstr>
  </property>
  <property fmtid="{D5CDD505-2E9C-101B-9397-08002B2CF9AE}" pid="13" name="MSIP_Label_46cc7c65-2b09-40ab-abef-d10548338a3b_Name">
    <vt:lpwstr>Nokia internal use</vt:lpwstr>
  </property>
  <property fmtid="{D5CDD505-2E9C-101B-9397-08002B2CF9AE}" pid="14" name="MSIP_Label_46cc7c65-2b09-40ab-abef-d10548338a3b_Application">
    <vt:lpwstr>Microsoft Azure Information Protection</vt:lpwstr>
  </property>
  <property fmtid="{D5CDD505-2E9C-101B-9397-08002B2CF9AE}" pid="15" name="MSIP_Label_46cc7c65-2b09-40ab-abef-d10548338a3b_Extended_MSFT_Method">
    <vt:lpwstr>Manual</vt:lpwstr>
  </property>
  <property fmtid="{D5CDD505-2E9C-101B-9397-08002B2CF9AE}" pid="16" name="Sensitivity">
    <vt:lpwstr>Nokia internal use</vt:lpwstr>
  </property>
</Properties>
</file>